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023E5">
      <w:pPr>
        <w:spacing w:after="200" w:line="276" w:lineRule="auto"/>
        <w:jc w:val="center"/>
        <w:rPr>
          <w:rFonts w:ascii="Arial" w:eastAsia="Calibri" w:hAnsi="Arial" w:cs="Arial"/>
          <w:b/>
          <w:bCs/>
          <w:lang w:val="en-ZA"/>
        </w:rPr>
      </w:pPr>
    </w:p>
    <w:p w:rsidR="00000000" w:rsidRDefault="00034F49">
      <w:pPr>
        <w:spacing w:after="200" w:line="276" w:lineRule="auto"/>
        <w:jc w:val="center"/>
        <w:rPr>
          <w:rFonts w:ascii="Arial" w:eastAsia="Calibri" w:hAnsi="Arial" w:cs="Arial"/>
          <w:b/>
          <w:bCs/>
          <w:lang w:val="en-ZA"/>
        </w:rPr>
      </w:pPr>
      <w:r>
        <w:rPr>
          <w:rFonts w:ascii="Arial" w:eastAsia="Calibri" w:hAnsi="Arial" w:cs="Arial"/>
          <w:b/>
          <w:bCs/>
          <w:noProof/>
          <w:lang w:val="en-ZA" w:eastAsia="en-ZA"/>
        </w:rPr>
        <w:drawing>
          <wp:inline distT="0" distB="0" distL="0" distR="0">
            <wp:extent cx="956945" cy="79883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956945" cy="798830"/>
                    </a:xfrm>
                    <a:prstGeom prst="rect">
                      <a:avLst/>
                    </a:prstGeom>
                    <a:noFill/>
                    <a:ln w="9525">
                      <a:noFill/>
                      <a:miter lim="800000"/>
                      <a:headEnd/>
                      <a:tailEnd/>
                    </a:ln>
                  </pic:spPr>
                </pic:pic>
              </a:graphicData>
            </a:graphic>
          </wp:inline>
        </w:drawing>
      </w:r>
    </w:p>
    <w:p w:rsidR="00000000" w:rsidRDefault="000023E5">
      <w:pPr>
        <w:jc w:val="center"/>
        <w:rPr>
          <w:rFonts w:ascii="Arial" w:eastAsia="Calibri" w:hAnsi="Arial" w:cs="Arial"/>
          <w:b/>
          <w:lang w:val="en-ZA"/>
        </w:rPr>
      </w:pPr>
      <w:r>
        <w:rPr>
          <w:rFonts w:ascii="Arial" w:eastAsia="Calibri" w:hAnsi="Arial" w:cs="Arial"/>
          <w:b/>
          <w:lang w:val="en-ZA"/>
        </w:rPr>
        <w:t>MINISTRY:  JUSTICE AND CORRECTIONAL SERVICES</w:t>
      </w:r>
    </w:p>
    <w:p w:rsidR="00000000" w:rsidRDefault="000023E5">
      <w:pPr>
        <w:jc w:val="center"/>
        <w:outlineLvl w:val="0"/>
        <w:rPr>
          <w:rFonts w:ascii="Arial" w:eastAsia="Arial Unicode MS" w:hAnsi="Arial"/>
          <w:b/>
          <w:color w:val="000000"/>
          <w:szCs w:val="20"/>
          <w:lang w:val="en-ZA" w:eastAsia="en-ZA"/>
        </w:rPr>
      </w:pPr>
      <w:r>
        <w:rPr>
          <w:rFonts w:ascii="Arial" w:eastAsia="Arial Unicode MS" w:hAnsi="Arial Unicode MS"/>
          <w:b/>
          <w:color w:val="000000"/>
          <w:szCs w:val="20"/>
          <w:lang w:val="en-ZA" w:eastAsia="en-ZA"/>
        </w:rPr>
        <w:t>REPUBLIC OF SOUTH AFRICA</w:t>
      </w:r>
    </w:p>
    <w:p w:rsidR="00000000" w:rsidRDefault="000023E5">
      <w:pPr>
        <w:pBdr>
          <w:bottom w:val="single" w:sz="4" w:space="0" w:color="auto"/>
        </w:pBdr>
        <w:spacing w:after="200" w:line="276" w:lineRule="auto"/>
        <w:jc w:val="center"/>
        <w:rPr>
          <w:rFonts w:ascii="Arial" w:eastAsia="Calibri" w:hAnsi="Arial" w:cs="Arial"/>
          <w:b/>
          <w:bCs/>
          <w:lang w:val="en-ZA"/>
        </w:rPr>
      </w:pPr>
    </w:p>
    <w:p w:rsidR="00000000" w:rsidRDefault="000023E5">
      <w:pPr>
        <w:spacing w:after="200" w:line="276" w:lineRule="auto"/>
        <w:jc w:val="both"/>
        <w:rPr>
          <w:rFonts w:ascii="Arial" w:eastAsia="Calibri" w:hAnsi="Arial" w:cs="Arial"/>
          <w:b/>
          <w:bCs/>
          <w:lang w:val="en-GB"/>
        </w:rPr>
      </w:pPr>
      <w:r>
        <w:rPr>
          <w:rFonts w:ascii="Arial" w:eastAsia="Calibri" w:hAnsi="Arial" w:cs="Arial"/>
          <w:b/>
          <w:bCs/>
          <w:lang w:val="en-ZA"/>
        </w:rPr>
        <w:t>NATIONAL ASSEMBLY</w:t>
      </w:r>
    </w:p>
    <w:p w:rsidR="00000000" w:rsidRDefault="000023E5">
      <w:pPr>
        <w:spacing w:after="200" w:line="276" w:lineRule="auto"/>
        <w:jc w:val="both"/>
        <w:rPr>
          <w:rFonts w:ascii="Arial" w:eastAsia="Calibri" w:hAnsi="Arial" w:cs="Arial"/>
          <w:b/>
          <w:bCs/>
          <w:lang w:val="en-GB"/>
        </w:rPr>
      </w:pPr>
      <w:r>
        <w:rPr>
          <w:rFonts w:ascii="Arial" w:eastAsia="Calibri" w:hAnsi="Arial" w:cs="Arial"/>
          <w:b/>
          <w:bCs/>
          <w:lang w:val="en-GB"/>
        </w:rPr>
        <w:t xml:space="preserve">QUESTION </w:t>
      </w:r>
      <w:r>
        <w:rPr>
          <w:rFonts w:ascii="Arial" w:eastAsia="Calibri" w:hAnsi="Arial" w:cs="Arial"/>
          <w:b/>
          <w:bCs/>
          <w:lang w:val="en-GB"/>
        </w:rPr>
        <w:t>FOR WRITTEN REPLY</w:t>
      </w:r>
    </w:p>
    <w:p w:rsidR="00000000" w:rsidRDefault="000023E5">
      <w:pPr>
        <w:spacing w:after="200" w:line="276" w:lineRule="auto"/>
        <w:jc w:val="both"/>
        <w:rPr>
          <w:rFonts w:ascii="Arial" w:eastAsia="Calibri" w:hAnsi="Arial" w:cs="Arial"/>
          <w:b/>
          <w:bCs/>
          <w:lang w:val="en-GB"/>
        </w:rPr>
      </w:pPr>
      <w:r>
        <w:rPr>
          <w:rFonts w:ascii="Arial" w:eastAsia="Calibri" w:hAnsi="Arial" w:cs="Arial"/>
          <w:b/>
          <w:bCs/>
          <w:lang w:val="en-GB"/>
        </w:rPr>
        <w:t xml:space="preserve">PARLIAMENTARY </w:t>
      </w:r>
      <w:r>
        <w:rPr>
          <w:rFonts w:ascii="Arial" w:eastAsia="Calibri" w:hAnsi="Arial" w:cs="Arial"/>
          <w:b/>
          <w:bCs/>
          <w:lang w:val="en-GB"/>
        </w:rPr>
        <w:t xml:space="preserve">QUESTION </w:t>
      </w:r>
      <w:r>
        <w:rPr>
          <w:rFonts w:ascii="Arial" w:eastAsia="Calibri" w:hAnsi="Arial" w:cs="Arial"/>
          <w:b/>
          <w:bCs/>
          <w:lang w:val="en-GB"/>
        </w:rPr>
        <w:t>NO:</w:t>
      </w:r>
      <w:r>
        <w:rPr>
          <w:rFonts w:ascii="Arial" w:eastAsia="Calibri" w:hAnsi="Arial" w:cs="Arial"/>
          <w:b/>
          <w:bCs/>
          <w:lang w:val="en-GB"/>
        </w:rPr>
        <w:t>2440</w:t>
      </w:r>
    </w:p>
    <w:p w:rsidR="00000000" w:rsidRDefault="000023E5">
      <w:pPr>
        <w:spacing w:after="200" w:line="276" w:lineRule="auto"/>
        <w:jc w:val="both"/>
        <w:rPr>
          <w:rFonts w:ascii="Arial" w:eastAsia="Calibri" w:hAnsi="Arial" w:cs="Arial"/>
          <w:b/>
          <w:bCs/>
          <w:lang w:val="en-GB"/>
        </w:rPr>
      </w:pPr>
      <w:r>
        <w:rPr>
          <w:rFonts w:ascii="Arial" w:eastAsia="Calibri" w:hAnsi="Arial" w:cs="Arial"/>
          <w:b/>
          <w:bCs/>
          <w:lang w:val="en-GB"/>
        </w:rPr>
        <w:t>DATE OF  QUESTION : 26</w:t>
      </w:r>
      <w:r>
        <w:rPr>
          <w:rFonts w:ascii="Arial" w:eastAsia="Calibri" w:hAnsi="Arial" w:cs="Arial"/>
          <w:b/>
          <w:bCs/>
          <w:lang w:val="en-GB"/>
        </w:rPr>
        <w:t xml:space="preserve"> AUGUST </w:t>
      </w:r>
      <w:r>
        <w:rPr>
          <w:rFonts w:ascii="Arial" w:eastAsia="Calibri" w:hAnsi="Arial" w:cs="Arial"/>
          <w:b/>
          <w:bCs/>
          <w:lang w:val="en-GB"/>
        </w:rPr>
        <w:t>2022</w:t>
      </w:r>
    </w:p>
    <w:p w:rsidR="00000000" w:rsidRDefault="000023E5">
      <w:pPr>
        <w:spacing w:after="200" w:line="276" w:lineRule="auto"/>
        <w:jc w:val="both"/>
        <w:rPr>
          <w:rFonts w:ascii="Arial" w:eastAsia="Calibri" w:hAnsi="Arial" w:cs="Arial"/>
          <w:b/>
          <w:bCs/>
          <w:lang w:val="en-GB"/>
        </w:rPr>
      </w:pPr>
      <w:r>
        <w:rPr>
          <w:rFonts w:ascii="Arial" w:eastAsia="Calibri" w:hAnsi="Arial" w:cs="Arial"/>
          <w:b/>
          <w:bCs/>
          <w:lang w:val="en-GB"/>
        </w:rPr>
        <w:t>D</w:t>
      </w:r>
      <w:r>
        <w:rPr>
          <w:rFonts w:ascii="Arial" w:eastAsia="Calibri" w:hAnsi="Arial" w:cs="Arial"/>
          <w:b/>
          <w:bCs/>
          <w:lang w:val="en-GB"/>
        </w:rPr>
        <w:t>ATE OF SUBMISSION: 09 SEPTEMBER 2022</w:t>
      </w:r>
    </w:p>
    <w:p w:rsidR="00000000" w:rsidRDefault="000023E5">
      <w:pPr>
        <w:spacing w:before="100" w:beforeAutospacing="1" w:after="100" w:afterAutospacing="1" w:line="276" w:lineRule="auto"/>
        <w:jc w:val="center"/>
        <w:outlineLvl w:val="0"/>
        <w:rPr>
          <w:rFonts w:ascii="Arial" w:eastAsia="Calibri" w:hAnsi="Arial" w:cs="Arial"/>
          <w:b/>
          <w:bCs/>
          <w:u w:val="single"/>
          <w:lang w:val="en-GB"/>
        </w:rPr>
      </w:pPr>
    </w:p>
    <w:p w:rsidR="00000000" w:rsidRDefault="000023E5">
      <w:pPr>
        <w:spacing w:before="120" w:after="120" w:line="360" w:lineRule="auto"/>
        <w:jc w:val="both"/>
        <w:rPr>
          <w:rFonts w:ascii="Arial" w:hAnsi="Arial" w:cs="Arial"/>
          <w:b/>
          <w:bCs/>
          <w:lang w:val="en-ZA"/>
        </w:rPr>
      </w:pPr>
      <w:r>
        <w:rPr>
          <w:rFonts w:ascii="Arial" w:hAnsi="Arial" w:cs="Arial"/>
          <w:b/>
          <w:bCs/>
          <w:lang w:val="en-ZA"/>
        </w:rPr>
        <w:t xml:space="preserve">Ms N </w:t>
      </w:r>
      <w:r>
        <w:rPr>
          <w:rFonts w:ascii="Arial" w:hAnsi="Arial" w:cs="Arial"/>
          <w:b/>
          <w:bCs/>
          <w:lang w:val="en-ZA"/>
        </w:rPr>
        <w:t xml:space="preserve">V Mente (EFF) to ask the Minister of Justice and Correctional Services: </w:t>
      </w:r>
    </w:p>
    <w:p w:rsidR="00000000" w:rsidRDefault="000023E5">
      <w:pPr>
        <w:spacing w:before="120" w:after="120" w:line="360" w:lineRule="auto"/>
        <w:jc w:val="both"/>
        <w:rPr>
          <w:rFonts w:ascii="Arial" w:hAnsi="Arial" w:cs="Arial"/>
          <w:lang w:val="en-ZA"/>
        </w:rPr>
      </w:pPr>
      <w:r>
        <w:rPr>
          <w:rFonts w:ascii="Arial" w:hAnsi="Arial" w:cs="Arial"/>
          <w:lang w:val="en-ZA"/>
        </w:rPr>
        <w:t>Whether, he has noted the report by the Committee on the Elimination of Discrimination against Women released in May 2021, which indicated that the Government’s inability to successfu</w:t>
      </w:r>
      <w:r>
        <w:rPr>
          <w:rFonts w:ascii="Arial" w:hAnsi="Arial" w:cs="Arial"/>
          <w:lang w:val="en-ZA"/>
        </w:rPr>
        <w:t xml:space="preserve">lly prosecute perpetrators of violent crimes against women is a violation of women’s rights in this country; if not, what is the position in this regard; if so, what interventions and/or measures has he taken to ensure that the capacity to prosecute these </w:t>
      </w:r>
      <w:r>
        <w:rPr>
          <w:rFonts w:ascii="Arial" w:hAnsi="Arial" w:cs="Arial"/>
          <w:lang w:val="en-ZA"/>
        </w:rPr>
        <w:t xml:space="preserve">crimes is improved? </w:t>
      </w:r>
    </w:p>
    <w:p w:rsidR="00000000" w:rsidRDefault="000023E5">
      <w:pPr>
        <w:spacing w:before="120" w:after="120" w:line="360" w:lineRule="auto"/>
        <w:jc w:val="right"/>
        <w:rPr>
          <w:rFonts w:ascii="Arial" w:hAnsi="Arial" w:cs="Arial"/>
          <w:lang w:val="en-ZA"/>
        </w:rPr>
      </w:pPr>
      <w:r>
        <w:rPr>
          <w:rFonts w:ascii="Arial" w:hAnsi="Arial" w:cs="Arial"/>
          <w:b/>
          <w:lang w:val="en-ZA"/>
        </w:rPr>
        <w:t>NW2838E</w:t>
      </w:r>
      <w:r>
        <w:t xml:space="preserve"> </w:t>
      </w:r>
    </w:p>
    <w:p w:rsidR="00000000" w:rsidRDefault="000023E5">
      <w:pPr>
        <w:spacing w:line="360" w:lineRule="auto"/>
        <w:rPr>
          <w:rFonts w:ascii="Arial" w:hAnsi="Arial" w:cs="Arial"/>
          <w:b/>
        </w:rPr>
      </w:pPr>
      <w:r>
        <w:rPr>
          <w:rFonts w:ascii="Arial" w:hAnsi="Arial" w:cs="Arial"/>
          <w:lang w:val="en-ZA"/>
        </w:rPr>
        <w:br w:type="page"/>
      </w:r>
      <w:r>
        <w:rPr>
          <w:rFonts w:ascii="Arial" w:hAnsi="Arial" w:cs="Arial"/>
          <w:b/>
        </w:rPr>
        <w:lastRenderedPageBreak/>
        <w:t>REPLY:</w:t>
      </w:r>
    </w:p>
    <w:p w:rsidR="00000000" w:rsidRDefault="000023E5">
      <w:pPr>
        <w:spacing w:line="360" w:lineRule="auto"/>
        <w:jc w:val="both"/>
        <w:rPr>
          <w:rFonts w:ascii="Arial" w:hAnsi="Arial" w:cs="Arial"/>
          <w:bCs/>
        </w:rPr>
      </w:pPr>
    </w:p>
    <w:p w:rsidR="00000000" w:rsidRDefault="000023E5">
      <w:pPr>
        <w:spacing w:line="360" w:lineRule="auto"/>
        <w:jc w:val="both"/>
        <w:rPr>
          <w:rFonts w:ascii="Arial" w:hAnsi="Arial" w:cs="Arial"/>
          <w:bCs/>
        </w:rPr>
      </w:pPr>
      <w:r>
        <w:rPr>
          <w:rFonts w:ascii="Arial" w:hAnsi="Arial" w:cs="Arial"/>
          <w:bCs/>
        </w:rPr>
        <w:t>It must be noted that the National Prosecuting Authority (NPA) Sexual Offenses and Community Affairs (SOCA) Unit participated in the Convention on the Elimination of All Forms of Discrimination against Women (CEDAW) f</w:t>
      </w:r>
      <w:r>
        <w:rPr>
          <w:rFonts w:ascii="Arial" w:hAnsi="Arial" w:cs="Arial"/>
          <w:bCs/>
        </w:rPr>
        <w:t xml:space="preserve">eedback country report session on 5 November 2021 on a virtual platform. Comprehensive inputs were submitted to the NPA at the session. </w:t>
      </w:r>
    </w:p>
    <w:p w:rsidR="00000000" w:rsidRDefault="000023E5">
      <w:pPr>
        <w:spacing w:line="360" w:lineRule="auto"/>
        <w:jc w:val="both"/>
        <w:rPr>
          <w:rFonts w:ascii="Arial" w:hAnsi="Arial" w:cs="Arial"/>
          <w:bCs/>
        </w:rPr>
      </w:pPr>
    </w:p>
    <w:p w:rsidR="00000000" w:rsidRDefault="000023E5">
      <w:pPr>
        <w:spacing w:line="360" w:lineRule="auto"/>
        <w:jc w:val="both"/>
        <w:rPr>
          <w:rFonts w:ascii="Arial" w:hAnsi="Arial" w:cs="Arial"/>
          <w:bCs/>
        </w:rPr>
      </w:pPr>
      <w:r>
        <w:rPr>
          <w:rFonts w:ascii="Arial" w:hAnsi="Arial" w:cs="Arial"/>
          <w:bCs/>
        </w:rPr>
        <w:t>As reflected at the session, the Covid-19 pandemic had a negative impact on the performance of courts due to the unava</w:t>
      </w:r>
      <w:r>
        <w:rPr>
          <w:rFonts w:ascii="Arial" w:hAnsi="Arial" w:cs="Arial"/>
          <w:bCs/>
        </w:rPr>
        <w:t xml:space="preserve">ilability of officials and witnesses because of various reasons related to the different levels of lockdown.     </w:t>
      </w:r>
    </w:p>
    <w:p w:rsidR="00000000" w:rsidRDefault="000023E5">
      <w:pPr>
        <w:spacing w:line="360" w:lineRule="auto"/>
        <w:jc w:val="both"/>
        <w:rPr>
          <w:rFonts w:ascii="Arial" w:hAnsi="Arial" w:cs="Arial"/>
          <w:bCs/>
        </w:rPr>
      </w:pPr>
    </w:p>
    <w:p w:rsidR="00000000" w:rsidRDefault="000023E5">
      <w:pPr>
        <w:spacing w:line="360" w:lineRule="auto"/>
        <w:jc w:val="both"/>
        <w:rPr>
          <w:rFonts w:ascii="Arial" w:hAnsi="Arial" w:cs="Arial"/>
          <w:bCs/>
        </w:rPr>
      </w:pPr>
      <w:r>
        <w:rPr>
          <w:rFonts w:ascii="Arial" w:hAnsi="Arial" w:cs="Arial"/>
          <w:bCs/>
        </w:rPr>
        <w:t xml:space="preserve">Irrespective of the aforementioned, a number of interventions and measures were implemented by the NPA as follows: </w:t>
      </w:r>
    </w:p>
    <w:p w:rsidR="00000000" w:rsidRDefault="000023E5">
      <w:pPr>
        <w:numPr>
          <w:ilvl w:val="0"/>
          <w:numId w:val="2"/>
        </w:numPr>
        <w:spacing w:line="360" w:lineRule="auto"/>
        <w:ind w:left="567" w:hanging="567"/>
        <w:jc w:val="both"/>
        <w:rPr>
          <w:rFonts w:ascii="Arial" w:hAnsi="Arial" w:cs="Arial"/>
        </w:rPr>
      </w:pPr>
      <w:r>
        <w:rPr>
          <w:rFonts w:ascii="Arial" w:hAnsi="Arial" w:cs="Arial"/>
        </w:rPr>
        <w:t xml:space="preserve">The </w:t>
      </w:r>
      <w:r>
        <w:rPr>
          <w:rFonts w:ascii="Arial" w:hAnsi="Arial" w:cs="Arial"/>
          <w:b/>
          <w:bCs/>
        </w:rPr>
        <w:t>Thuthuzela Care Centr</w:t>
      </w:r>
      <w:r>
        <w:rPr>
          <w:rFonts w:ascii="Arial" w:hAnsi="Arial" w:cs="Arial"/>
          <w:b/>
          <w:bCs/>
        </w:rPr>
        <w:t>es (TCCs)</w:t>
      </w:r>
      <w:r>
        <w:rPr>
          <w:rFonts w:ascii="Arial" w:hAnsi="Arial" w:cs="Arial"/>
        </w:rPr>
        <w:t xml:space="preserve"> have expanded from only focusing on services to victims of sexual offences to welcoming victims of gender-based violence, more particularly, domestic violence. Staff have been adequately sensitised and no victim of gender-based violence is turned</w:t>
      </w:r>
      <w:r>
        <w:rPr>
          <w:rFonts w:ascii="Arial" w:hAnsi="Arial" w:cs="Arial"/>
        </w:rPr>
        <w:t xml:space="preserve"> away. The TCCs have become a supportive environment for women to report incidents of domestic violence. At one of our centres in Worcester, Western Cape, a domestic violence protocol has been put in place to increase the identification of domestic violenc</w:t>
      </w:r>
      <w:r>
        <w:rPr>
          <w:rFonts w:ascii="Arial" w:hAnsi="Arial" w:cs="Arial"/>
        </w:rPr>
        <w:t>e victims who enter the health facility, increase the number of victims able to access victim support services through referral to the TCC (including referral to a shelter) as well as empower the victim for their protection, i.e. by assisting them in apply</w:t>
      </w:r>
      <w:r>
        <w:rPr>
          <w:rFonts w:ascii="Arial" w:hAnsi="Arial" w:cs="Arial"/>
        </w:rPr>
        <w:t>ing for the protection order and facilitating the issuing of the order in court. The NPA, with the Department of Health, plans to roll out the domestic violence protocol to all its TCCs and the relevant hospitals. The Domestic Violence protocol when implem</w:t>
      </w:r>
      <w:r>
        <w:rPr>
          <w:rFonts w:ascii="Arial" w:hAnsi="Arial" w:cs="Arial"/>
        </w:rPr>
        <w:t>ented nationally, will ensure a focused attempt to identify all domestic violence victims as they enter the trauma section of the hospital and through an immediate victim-centric approach reduce the chances of further harm. This approach will ensure the de</w:t>
      </w:r>
      <w:r>
        <w:rPr>
          <w:rFonts w:ascii="Arial" w:hAnsi="Arial" w:cs="Arial"/>
        </w:rPr>
        <w:t>-stigmatisation of the victim, dismantle commonly held victim-blaming beliefs, reduce judicial bias and gender stereotypes, and protect women complainants from retaliation by perpetrators.</w:t>
      </w:r>
    </w:p>
    <w:p w:rsidR="00000000" w:rsidRDefault="000023E5">
      <w:pPr>
        <w:spacing w:line="360" w:lineRule="auto"/>
        <w:ind w:left="567"/>
        <w:jc w:val="both"/>
        <w:rPr>
          <w:rFonts w:ascii="Arial" w:hAnsi="Arial" w:cs="Arial"/>
        </w:rPr>
      </w:pPr>
    </w:p>
    <w:p w:rsidR="00000000" w:rsidRDefault="000023E5">
      <w:pPr>
        <w:spacing w:line="360" w:lineRule="auto"/>
        <w:ind w:left="567"/>
        <w:jc w:val="both"/>
        <w:rPr>
          <w:rFonts w:ascii="Arial" w:hAnsi="Arial" w:cs="Arial"/>
        </w:rPr>
      </w:pPr>
      <w:r>
        <w:rPr>
          <w:rFonts w:ascii="Arial" w:hAnsi="Arial" w:cs="Arial"/>
        </w:rPr>
        <w:t>Currently, there are sixty-one (61) TCC sites nationally, providin</w:t>
      </w:r>
      <w:r>
        <w:rPr>
          <w:rFonts w:ascii="Arial" w:hAnsi="Arial" w:cs="Arial"/>
        </w:rPr>
        <w:t xml:space="preserve">g services to victims and the NPA is planning to roll-out an additional 9 sites towards March 2024. </w:t>
      </w:r>
    </w:p>
    <w:p w:rsidR="00000000" w:rsidRDefault="000023E5">
      <w:pPr>
        <w:spacing w:line="360" w:lineRule="auto"/>
        <w:ind w:left="567"/>
        <w:jc w:val="both"/>
        <w:rPr>
          <w:rFonts w:ascii="Arial" w:hAnsi="Arial" w:cs="Arial"/>
        </w:rPr>
      </w:pPr>
    </w:p>
    <w:p w:rsidR="00000000" w:rsidRDefault="000023E5">
      <w:pPr>
        <w:numPr>
          <w:ilvl w:val="0"/>
          <w:numId w:val="3"/>
        </w:numPr>
        <w:spacing w:line="360" w:lineRule="auto"/>
        <w:jc w:val="both"/>
        <w:rPr>
          <w:rFonts w:ascii="Arial" w:hAnsi="Arial" w:cs="Arial"/>
        </w:rPr>
      </w:pPr>
      <w:r>
        <w:rPr>
          <w:rFonts w:ascii="Arial" w:hAnsi="Arial" w:cs="Arial"/>
        </w:rPr>
        <w:t xml:space="preserve">The NPA has also embarked on an </w:t>
      </w:r>
      <w:r>
        <w:rPr>
          <w:rFonts w:ascii="Arial" w:hAnsi="Arial" w:cs="Arial"/>
          <w:b/>
          <w:bCs/>
        </w:rPr>
        <w:t>efficacy review of all the TCC sites</w:t>
      </w:r>
      <w:r>
        <w:rPr>
          <w:rFonts w:ascii="Arial" w:hAnsi="Arial" w:cs="Arial"/>
        </w:rPr>
        <w:t xml:space="preserve"> to ensure that the standards of service offered at the sites are consistent. Where ce</w:t>
      </w:r>
      <w:r>
        <w:rPr>
          <w:rFonts w:ascii="Arial" w:hAnsi="Arial" w:cs="Arial"/>
        </w:rPr>
        <w:t xml:space="preserve">rtain services are lacking, steps have been taken to address this. The efficacy review includes a focus on enhancing the accessibility to services for disabled victims. </w:t>
      </w:r>
    </w:p>
    <w:p w:rsidR="00000000" w:rsidRDefault="000023E5">
      <w:pPr>
        <w:numPr>
          <w:ilvl w:val="0"/>
          <w:numId w:val="3"/>
        </w:numPr>
        <w:spacing w:line="360" w:lineRule="auto"/>
        <w:jc w:val="both"/>
        <w:rPr>
          <w:rFonts w:ascii="Arial" w:hAnsi="Arial" w:cs="Arial"/>
        </w:rPr>
      </w:pPr>
      <w:r>
        <w:rPr>
          <w:rFonts w:ascii="Arial" w:hAnsi="Arial" w:cs="Arial"/>
        </w:rPr>
        <w:t>The NPA has, with reference to the latest list of thirty (30) gender-based violence (G</w:t>
      </w:r>
      <w:r>
        <w:rPr>
          <w:rFonts w:ascii="Arial" w:hAnsi="Arial" w:cs="Arial"/>
        </w:rPr>
        <w:t xml:space="preserve">BV) hotspots, analysed such list and can confirm that all of these sites are covered by providing services from the TCCs to victims, excluding Diepsloot, but interventions are ongoing to address the position.    </w:t>
      </w:r>
    </w:p>
    <w:p w:rsidR="00000000" w:rsidRDefault="000023E5">
      <w:pPr>
        <w:pStyle w:val="ListParagraph"/>
        <w:numPr>
          <w:ilvl w:val="0"/>
          <w:numId w:val="3"/>
        </w:numPr>
        <w:spacing w:line="360" w:lineRule="auto"/>
        <w:jc w:val="both"/>
        <w:rPr>
          <w:rFonts w:ascii="Arial" w:hAnsi="Arial" w:cs="Arial"/>
          <w:lang w:val="en-GB"/>
        </w:rPr>
      </w:pPr>
      <w:r>
        <w:rPr>
          <w:rFonts w:ascii="Arial" w:hAnsi="Arial" w:cs="Arial"/>
          <w:lang w:val="en-GB"/>
        </w:rPr>
        <w:t xml:space="preserve">The number of </w:t>
      </w:r>
      <w:r>
        <w:rPr>
          <w:rFonts w:ascii="Arial" w:hAnsi="Arial" w:cs="Arial"/>
          <w:b/>
          <w:bCs/>
          <w:lang w:val="en-GB"/>
        </w:rPr>
        <w:t>matters reported at the TCCs</w:t>
      </w:r>
      <w:r>
        <w:rPr>
          <w:rFonts w:ascii="Arial" w:hAnsi="Arial" w:cs="Arial"/>
          <w:lang w:val="en-GB"/>
        </w:rPr>
        <w:t xml:space="preserve"> </w:t>
      </w:r>
      <w:r>
        <w:rPr>
          <w:rFonts w:ascii="Arial" w:hAnsi="Arial" w:cs="Arial"/>
          <w:lang w:val="en-GB"/>
        </w:rPr>
        <w:t xml:space="preserve">during this financial year, increased by 16.4% overall from the previous financial year (2020/21). This reflects a total number of 34 456 matters reported, which is an increase of 4862 matters from the previous financial year.  </w:t>
      </w:r>
    </w:p>
    <w:p w:rsidR="00000000" w:rsidRDefault="000023E5">
      <w:pPr>
        <w:numPr>
          <w:ilvl w:val="0"/>
          <w:numId w:val="3"/>
        </w:numPr>
        <w:shd w:val="clear" w:color="auto" w:fill="FFFFFF"/>
        <w:spacing w:line="360" w:lineRule="auto"/>
        <w:jc w:val="both"/>
        <w:rPr>
          <w:rFonts w:ascii="Arial" w:hAnsi="Arial" w:cs="Arial"/>
          <w:lang w:val="en-ZA" w:eastAsia="en-ZA"/>
        </w:rPr>
      </w:pPr>
      <w:r>
        <w:rPr>
          <w:rFonts w:ascii="Arial" w:hAnsi="Arial" w:cs="Arial"/>
          <w:color w:val="000000"/>
          <w:lang w:eastAsia="en-ZA"/>
        </w:rPr>
        <w:t>For the past five (5) years</w:t>
      </w:r>
      <w:r>
        <w:rPr>
          <w:rFonts w:ascii="Arial" w:hAnsi="Arial" w:cs="Arial"/>
          <w:color w:val="000000"/>
          <w:lang w:eastAsia="en-ZA"/>
        </w:rPr>
        <w:t xml:space="preserve">, the current TCC sites delivered services to 168 049 victims at the sites, whilst 88% of these matters on average were specifically on sexual offences. Furthermore, 57% of these matters are specifically with children as victims.     </w:t>
      </w:r>
    </w:p>
    <w:p w:rsidR="00000000" w:rsidRDefault="000023E5">
      <w:pPr>
        <w:pStyle w:val="ListParagraph"/>
        <w:numPr>
          <w:ilvl w:val="0"/>
          <w:numId w:val="3"/>
        </w:numPr>
        <w:spacing w:line="360" w:lineRule="auto"/>
        <w:jc w:val="both"/>
        <w:rPr>
          <w:rFonts w:ascii="Arial" w:hAnsi="Arial" w:cs="Arial"/>
          <w:lang w:val="en-GB" w:eastAsia="en-ZA"/>
        </w:rPr>
      </w:pPr>
      <w:r>
        <w:rPr>
          <w:rFonts w:ascii="Arial" w:hAnsi="Arial" w:cs="Arial"/>
          <w:lang w:val="en-GB"/>
        </w:rPr>
        <w:t>Regarding TCC reporte</w:t>
      </w:r>
      <w:r>
        <w:rPr>
          <w:rFonts w:ascii="Arial" w:hAnsi="Arial" w:cs="Arial"/>
          <w:lang w:val="en-GB"/>
        </w:rPr>
        <w:t xml:space="preserve">d matters that were prosecuted, an </w:t>
      </w:r>
      <w:r>
        <w:rPr>
          <w:rFonts w:ascii="Arial" w:hAnsi="Arial" w:cs="Arial"/>
          <w:b/>
          <w:bCs/>
          <w:lang w:val="en-GB"/>
        </w:rPr>
        <w:t>average conviction rate</w:t>
      </w:r>
      <w:r>
        <w:rPr>
          <w:rFonts w:ascii="Arial" w:hAnsi="Arial" w:cs="Arial"/>
          <w:lang w:val="en-GB"/>
        </w:rPr>
        <w:t xml:space="preserve"> of 76.7% for this financial year was achieved. This is 6.7% above the NPA Annual Performance Plan (APP) target. It is also the 7</w:t>
      </w:r>
      <w:r>
        <w:rPr>
          <w:rFonts w:ascii="Arial" w:hAnsi="Arial" w:cs="Arial"/>
          <w:vertAlign w:val="superscript"/>
          <w:lang w:val="en-GB"/>
        </w:rPr>
        <w:t>th</w:t>
      </w:r>
      <w:r>
        <w:rPr>
          <w:rFonts w:ascii="Arial" w:hAnsi="Arial" w:cs="Arial"/>
          <w:lang w:val="en-GB"/>
        </w:rPr>
        <w:t xml:space="preserve"> year that we have consecutively achieved a conviction rate of abov</w:t>
      </w:r>
      <w:r>
        <w:rPr>
          <w:rFonts w:ascii="Arial" w:hAnsi="Arial" w:cs="Arial"/>
          <w:lang w:val="en-GB"/>
        </w:rPr>
        <w:t xml:space="preserve">e 70%. The current conviction rate reflects 1 033 convictions from the 1 346 verdict cases finalised. In the said financial year, the number of matters finalised with a verdict increased from 993 in the previous financial to 1 346, hence an improvement of </w:t>
      </w:r>
      <w:r>
        <w:rPr>
          <w:rFonts w:ascii="Arial" w:hAnsi="Arial" w:cs="Arial"/>
          <w:lang w:val="en-GB"/>
        </w:rPr>
        <w:t>35.5%. The current TCC conviction percentage is also 2.9% above that of the national conviction rate for all sexual offences which stood at 73.8%. Furthermore, when placed in perspective, for the 2011/12 financial year the conviction rate for TCC cases was</w:t>
      </w:r>
      <w:r>
        <w:rPr>
          <w:rFonts w:ascii="Arial" w:hAnsi="Arial" w:cs="Arial"/>
          <w:lang w:val="en-GB"/>
        </w:rPr>
        <w:t xml:space="preserve"> 60.7%, therefore a considerable improvement of 16% over a period of 10 years regarding the conviction rate of TCC-reported cases as compared with the said financial year of 2011/12. </w:t>
      </w:r>
    </w:p>
    <w:p w:rsidR="00000000" w:rsidRDefault="000023E5">
      <w:pPr>
        <w:pStyle w:val="ListParagraph"/>
        <w:numPr>
          <w:ilvl w:val="0"/>
          <w:numId w:val="3"/>
        </w:numPr>
        <w:spacing w:line="360" w:lineRule="auto"/>
        <w:jc w:val="both"/>
        <w:rPr>
          <w:rFonts w:ascii="Arial" w:hAnsi="Arial" w:cs="Arial"/>
          <w:lang w:val="en-ZA"/>
        </w:rPr>
      </w:pPr>
      <w:r>
        <w:rPr>
          <w:rFonts w:ascii="Arial" w:hAnsi="Arial" w:cs="Arial"/>
          <w:lang w:val="en-GB"/>
        </w:rPr>
        <w:t xml:space="preserve">The table below provides a </w:t>
      </w:r>
      <w:r>
        <w:rPr>
          <w:rFonts w:ascii="Arial" w:hAnsi="Arial" w:cs="Arial"/>
          <w:b/>
          <w:bCs/>
          <w:lang w:val="en-GB"/>
        </w:rPr>
        <w:t>breakdown of all sexual offence cases nationa</w:t>
      </w:r>
      <w:r>
        <w:rPr>
          <w:rFonts w:ascii="Arial" w:hAnsi="Arial" w:cs="Arial"/>
          <w:b/>
          <w:bCs/>
          <w:lang w:val="en-GB"/>
        </w:rPr>
        <w:t>lly prosecuted</w:t>
      </w:r>
      <w:r>
        <w:rPr>
          <w:rFonts w:ascii="Arial" w:hAnsi="Arial" w:cs="Arial"/>
          <w:lang w:val="en-GB"/>
        </w:rPr>
        <w:t xml:space="preserve"> (including the TCC cases) and finalised with a verdict for the past nine years:   </w:t>
      </w:r>
      <w:r>
        <w:rPr>
          <w:rFonts w:ascii="Arial" w:hAnsi="Arial" w:cs="Arial"/>
        </w:rPr>
        <w:t xml:space="preserve">            </w:t>
      </w:r>
    </w:p>
    <w:tbl>
      <w:tblPr>
        <w:tblW w:w="11161" w:type="dxa"/>
        <w:tblInd w:w="-743" w:type="dxa"/>
        <w:tblLayout w:type="fixed"/>
        <w:tblCellMar>
          <w:left w:w="0" w:type="dxa"/>
          <w:right w:w="0" w:type="dxa"/>
        </w:tblCellMar>
        <w:tblLook w:val="0000"/>
      </w:tblPr>
      <w:tblGrid>
        <w:gridCol w:w="1688"/>
        <w:gridCol w:w="1084"/>
        <w:gridCol w:w="1084"/>
        <w:gridCol w:w="1084"/>
        <w:gridCol w:w="1084"/>
        <w:gridCol w:w="1084"/>
        <w:gridCol w:w="1351"/>
        <w:gridCol w:w="1351"/>
        <w:gridCol w:w="1351"/>
      </w:tblGrid>
      <w:tr w:rsidR="00000000">
        <w:tc>
          <w:tcPr>
            <w:tcW w:w="16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00000" w:rsidRDefault="000023E5">
            <w:pPr>
              <w:spacing w:line="360" w:lineRule="auto"/>
              <w:jc w:val="both"/>
              <w:rPr>
                <w:rFonts w:ascii="Arial" w:hAnsi="Arial" w:cs="Arial"/>
                <w:b/>
              </w:rPr>
            </w:pPr>
            <w:r>
              <w:rPr>
                <w:rFonts w:ascii="Arial" w:hAnsi="Arial" w:cs="Arial"/>
                <w:b/>
              </w:rPr>
              <w:t>Financial years</w:t>
            </w:r>
          </w:p>
        </w:tc>
        <w:tc>
          <w:tcPr>
            <w:tcW w:w="108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00000" w:rsidRDefault="000023E5">
            <w:pPr>
              <w:spacing w:line="360" w:lineRule="auto"/>
              <w:jc w:val="both"/>
              <w:rPr>
                <w:rFonts w:ascii="Arial" w:hAnsi="Arial" w:cs="Arial"/>
                <w:b/>
              </w:rPr>
            </w:pPr>
            <w:r>
              <w:rPr>
                <w:rFonts w:ascii="Arial" w:hAnsi="Arial" w:cs="Arial"/>
                <w:b/>
              </w:rPr>
              <w:t>2014/15</w:t>
            </w:r>
          </w:p>
        </w:tc>
        <w:tc>
          <w:tcPr>
            <w:tcW w:w="108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00000" w:rsidRDefault="000023E5">
            <w:pPr>
              <w:spacing w:line="360" w:lineRule="auto"/>
              <w:jc w:val="both"/>
              <w:rPr>
                <w:rFonts w:ascii="Arial" w:hAnsi="Arial" w:cs="Arial"/>
                <w:b/>
              </w:rPr>
            </w:pPr>
            <w:r>
              <w:rPr>
                <w:rFonts w:ascii="Arial" w:hAnsi="Arial" w:cs="Arial"/>
                <w:b/>
              </w:rPr>
              <w:t>2015/16</w:t>
            </w:r>
          </w:p>
        </w:tc>
        <w:tc>
          <w:tcPr>
            <w:tcW w:w="108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00000" w:rsidRDefault="000023E5">
            <w:pPr>
              <w:spacing w:line="360" w:lineRule="auto"/>
              <w:jc w:val="both"/>
              <w:rPr>
                <w:rFonts w:ascii="Arial" w:hAnsi="Arial" w:cs="Arial"/>
                <w:b/>
              </w:rPr>
            </w:pPr>
            <w:r>
              <w:rPr>
                <w:rFonts w:ascii="Arial" w:hAnsi="Arial" w:cs="Arial"/>
                <w:b/>
              </w:rPr>
              <w:t>2016/17</w:t>
            </w:r>
          </w:p>
        </w:tc>
        <w:tc>
          <w:tcPr>
            <w:tcW w:w="108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00000" w:rsidRDefault="000023E5">
            <w:pPr>
              <w:spacing w:line="360" w:lineRule="auto"/>
              <w:jc w:val="both"/>
              <w:rPr>
                <w:rFonts w:ascii="Arial" w:hAnsi="Arial" w:cs="Arial"/>
                <w:b/>
              </w:rPr>
            </w:pPr>
            <w:r>
              <w:rPr>
                <w:rFonts w:ascii="Arial" w:hAnsi="Arial" w:cs="Arial"/>
                <w:b/>
              </w:rPr>
              <w:t>2017/18</w:t>
            </w:r>
          </w:p>
        </w:tc>
        <w:tc>
          <w:tcPr>
            <w:tcW w:w="108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00000" w:rsidRDefault="000023E5">
            <w:pPr>
              <w:spacing w:line="360" w:lineRule="auto"/>
              <w:jc w:val="both"/>
              <w:rPr>
                <w:rFonts w:ascii="Arial" w:hAnsi="Arial" w:cs="Arial"/>
                <w:b/>
              </w:rPr>
            </w:pPr>
            <w:r>
              <w:rPr>
                <w:rFonts w:ascii="Arial" w:hAnsi="Arial" w:cs="Arial"/>
                <w:b/>
              </w:rPr>
              <w:t>2018/19</w:t>
            </w:r>
          </w:p>
        </w:tc>
        <w:tc>
          <w:tcPr>
            <w:tcW w:w="135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00000" w:rsidRDefault="000023E5">
            <w:pPr>
              <w:spacing w:line="360" w:lineRule="auto"/>
              <w:jc w:val="both"/>
              <w:rPr>
                <w:rFonts w:ascii="Arial" w:hAnsi="Arial" w:cs="Arial"/>
                <w:b/>
              </w:rPr>
            </w:pPr>
            <w:r>
              <w:rPr>
                <w:rFonts w:ascii="Arial" w:hAnsi="Arial" w:cs="Arial"/>
                <w:b/>
              </w:rPr>
              <w:t>2019/2020</w:t>
            </w:r>
          </w:p>
        </w:tc>
        <w:tc>
          <w:tcPr>
            <w:tcW w:w="135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00000" w:rsidRDefault="000023E5">
            <w:pPr>
              <w:spacing w:line="360" w:lineRule="auto"/>
              <w:jc w:val="both"/>
              <w:rPr>
                <w:rFonts w:ascii="Arial" w:hAnsi="Arial" w:cs="Arial"/>
                <w:b/>
              </w:rPr>
            </w:pPr>
            <w:r>
              <w:rPr>
                <w:rFonts w:ascii="Arial" w:hAnsi="Arial" w:cs="Arial"/>
                <w:b/>
              </w:rPr>
              <w:t>2020/2021</w:t>
            </w:r>
          </w:p>
        </w:tc>
        <w:tc>
          <w:tcPr>
            <w:tcW w:w="135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00000" w:rsidRDefault="000023E5">
            <w:pPr>
              <w:spacing w:line="360" w:lineRule="auto"/>
              <w:jc w:val="both"/>
              <w:rPr>
                <w:rFonts w:ascii="Arial" w:hAnsi="Arial" w:cs="Arial"/>
                <w:b/>
                <w:bCs/>
              </w:rPr>
            </w:pPr>
            <w:r>
              <w:rPr>
                <w:rFonts w:ascii="Arial" w:hAnsi="Arial" w:cs="Arial"/>
                <w:b/>
                <w:bCs/>
              </w:rPr>
              <w:t>2021/2022</w:t>
            </w:r>
          </w:p>
        </w:tc>
      </w:tr>
      <w:tr w:rsidR="00000000">
        <w:tc>
          <w:tcPr>
            <w:tcW w:w="16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00000" w:rsidRDefault="000023E5">
            <w:pPr>
              <w:spacing w:line="360" w:lineRule="auto"/>
              <w:jc w:val="both"/>
              <w:rPr>
                <w:rFonts w:ascii="Arial" w:hAnsi="Arial" w:cs="Arial"/>
              </w:rPr>
            </w:pPr>
            <w:r>
              <w:rPr>
                <w:rFonts w:ascii="Arial" w:hAnsi="Arial" w:cs="Arial"/>
              </w:rPr>
              <w:t xml:space="preserve">Conviction % </w:t>
            </w:r>
          </w:p>
        </w:tc>
        <w:tc>
          <w:tcPr>
            <w:tcW w:w="1084" w:type="dxa"/>
            <w:tcBorders>
              <w:top w:val="nil"/>
              <w:left w:val="nil"/>
              <w:bottom w:val="single" w:sz="8" w:space="0" w:color="auto"/>
              <w:right w:val="single" w:sz="8" w:space="0" w:color="auto"/>
            </w:tcBorders>
            <w:tcMar>
              <w:top w:w="0" w:type="dxa"/>
              <w:left w:w="108" w:type="dxa"/>
              <w:bottom w:w="0" w:type="dxa"/>
              <w:right w:w="108" w:type="dxa"/>
            </w:tcMar>
          </w:tcPr>
          <w:p w:rsidR="00000000" w:rsidRDefault="000023E5">
            <w:pPr>
              <w:spacing w:line="360" w:lineRule="auto"/>
              <w:jc w:val="both"/>
              <w:rPr>
                <w:rFonts w:ascii="Arial" w:hAnsi="Arial" w:cs="Arial"/>
              </w:rPr>
            </w:pPr>
            <w:r>
              <w:rPr>
                <w:rFonts w:ascii="Arial" w:hAnsi="Arial" w:cs="Arial"/>
              </w:rPr>
              <w:t>69%</w:t>
            </w:r>
          </w:p>
        </w:tc>
        <w:tc>
          <w:tcPr>
            <w:tcW w:w="1084" w:type="dxa"/>
            <w:tcBorders>
              <w:top w:val="nil"/>
              <w:left w:val="nil"/>
              <w:bottom w:val="single" w:sz="8" w:space="0" w:color="auto"/>
              <w:right w:val="single" w:sz="8" w:space="0" w:color="auto"/>
            </w:tcBorders>
            <w:tcMar>
              <w:top w:w="0" w:type="dxa"/>
              <w:left w:w="108" w:type="dxa"/>
              <w:bottom w:w="0" w:type="dxa"/>
              <w:right w:w="108" w:type="dxa"/>
            </w:tcMar>
          </w:tcPr>
          <w:p w:rsidR="00000000" w:rsidRDefault="000023E5">
            <w:pPr>
              <w:spacing w:line="360" w:lineRule="auto"/>
              <w:jc w:val="both"/>
              <w:rPr>
                <w:rFonts w:ascii="Arial" w:hAnsi="Arial" w:cs="Arial"/>
              </w:rPr>
            </w:pPr>
            <w:r>
              <w:rPr>
                <w:rFonts w:ascii="Arial" w:hAnsi="Arial" w:cs="Arial"/>
              </w:rPr>
              <w:t>70.1%</w:t>
            </w:r>
          </w:p>
        </w:tc>
        <w:tc>
          <w:tcPr>
            <w:tcW w:w="1084" w:type="dxa"/>
            <w:tcBorders>
              <w:top w:val="nil"/>
              <w:left w:val="nil"/>
              <w:bottom w:val="single" w:sz="8" w:space="0" w:color="auto"/>
              <w:right w:val="single" w:sz="8" w:space="0" w:color="auto"/>
            </w:tcBorders>
            <w:tcMar>
              <w:top w:w="0" w:type="dxa"/>
              <w:left w:w="108" w:type="dxa"/>
              <w:bottom w:w="0" w:type="dxa"/>
              <w:right w:w="108" w:type="dxa"/>
            </w:tcMar>
          </w:tcPr>
          <w:p w:rsidR="00000000" w:rsidRDefault="000023E5">
            <w:pPr>
              <w:spacing w:line="360" w:lineRule="auto"/>
              <w:jc w:val="both"/>
              <w:rPr>
                <w:rFonts w:ascii="Arial" w:hAnsi="Arial" w:cs="Arial"/>
              </w:rPr>
            </w:pPr>
            <w:r>
              <w:rPr>
                <w:rFonts w:ascii="Arial" w:hAnsi="Arial" w:cs="Arial"/>
              </w:rPr>
              <w:t>71.7%</w:t>
            </w:r>
          </w:p>
        </w:tc>
        <w:tc>
          <w:tcPr>
            <w:tcW w:w="1084" w:type="dxa"/>
            <w:tcBorders>
              <w:top w:val="nil"/>
              <w:left w:val="nil"/>
              <w:bottom w:val="single" w:sz="8" w:space="0" w:color="auto"/>
              <w:right w:val="single" w:sz="8" w:space="0" w:color="auto"/>
            </w:tcBorders>
            <w:tcMar>
              <w:top w:w="0" w:type="dxa"/>
              <w:left w:w="108" w:type="dxa"/>
              <w:bottom w:w="0" w:type="dxa"/>
              <w:right w:w="108" w:type="dxa"/>
            </w:tcMar>
          </w:tcPr>
          <w:p w:rsidR="00000000" w:rsidRDefault="000023E5">
            <w:pPr>
              <w:spacing w:line="360" w:lineRule="auto"/>
              <w:jc w:val="both"/>
              <w:rPr>
                <w:rFonts w:ascii="Arial" w:hAnsi="Arial" w:cs="Arial"/>
              </w:rPr>
            </w:pPr>
            <w:r>
              <w:rPr>
                <w:rFonts w:ascii="Arial" w:hAnsi="Arial" w:cs="Arial"/>
              </w:rPr>
              <w:t>72.7%</w:t>
            </w:r>
          </w:p>
        </w:tc>
        <w:tc>
          <w:tcPr>
            <w:tcW w:w="1084" w:type="dxa"/>
            <w:tcBorders>
              <w:top w:val="nil"/>
              <w:left w:val="nil"/>
              <w:bottom w:val="single" w:sz="8" w:space="0" w:color="auto"/>
              <w:right w:val="single" w:sz="8" w:space="0" w:color="auto"/>
            </w:tcBorders>
            <w:tcMar>
              <w:top w:w="0" w:type="dxa"/>
              <w:left w:w="108" w:type="dxa"/>
              <w:bottom w:w="0" w:type="dxa"/>
              <w:right w:w="108" w:type="dxa"/>
            </w:tcMar>
          </w:tcPr>
          <w:p w:rsidR="00000000" w:rsidRDefault="000023E5">
            <w:pPr>
              <w:spacing w:line="360" w:lineRule="auto"/>
              <w:jc w:val="both"/>
              <w:rPr>
                <w:rFonts w:ascii="Arial" w:hAnsi="Arial" w:cs="Arial"/>
              </w:rPr>
            </w:pPr>
            <w:r>
              <w:rPr>
                <w:rFonts w:ascii="Arial" w:hAnsi="Arial" w:cs="Arial"/>
              </w:rPr>
              <w:t>74.4%</w:t>
            </w:r>
          </w:p>
        </w:tc>
        <w:tc>
          <w:tcPr>
            <w:tcW w:w="1351" w:type="dxa"/>
            <w:tcBorders>
              <w:top w:val="nil"/>
              <w:left w:val="nil"/>
              <w:bottom w:val="single" w:sz="8" w:space="0" w:color="auto"/>
              <w:right w:val="single" w:sz="8" w:space="0" w:color="auto"/>
            </w:tcBorders>
            <w:tcMar>
              <w:top w:w="0" w:type="dxa"/>
              <w:left w:w="108" w:type="dxa"/>
              <w:bottom w:w="0" w:type="dxa"/>
              <w:right w:w="108" w:type="dxa"/>
            </w:tcMar>
          </w:tcPr>
          <w:p w:rsidR="00000000" w:rsidRDefault="000023E5">
            <w:pPr>
              <w:spacing w:line="360" w:lineRule="auto"/>
              <w:jc w:val="both"/>
              <w:rPr>
                <w:rFonts w:ascii="Arial" w:hAnsi="Arial" w:cs="Arial"/>
              </w:rPr>
            </w:pPr>
            <w:r>
              <w:rPr>
                <w:rFonts w:ascii="Arial" w:hAnsi="Arial" w:cs="Arial"/>
              </w:rPr>
              <w:t>75.2%</w:t>
            </w:r>
          </w:p>
        </w:tc>
        <w:tc>
          <w:tcPr>
            <w:tcW w:w="1351" w:type="dxa"/>
            <w:tcBorders>
              <w:top w:val="nil"/>
              <w:left w:val="nil"/>
              <w:bottom w:val="single" w:sz="8" w:space="0" w:color="auto"/>
              <w:right w:val="single" w:sz="8" w:space="0" w:color="auto"/>
            </w:tcBorders>
            <w:tcMar>
              <w:top w:w="0" w:type="dxa"/>
              <w:left w:w="108" w:type="dxa"/>
              <w:bottom w:w="0" w:type="dxa"/>
              <w:right w:w="108" w:type="dxa"/>
            </w:tcMar>
          </w:tcPr>
          <w:p w:rsidR="00000000" w:rsidRDefault="000023E5">
            <w:pPr>
              <w:spacing w:line="360" w:lineRule="auto"/>
              <w:jc w:val="both"/>
              <w:rPr>
                <w:rFonts w:ascii="Arial" w:hAnsi="Arial" w:cs="Arial"/>
              </w:rPr>
            </w:pPr>
            <w:r>
              <w:rPr>
                <w:rFonts w:ascii="Arial" w:hAnsi="Arial" w:cs="Arial"/>
              </w:rPr>
              <w:t>75.8%</w:t>
            </w:r>
          </w:p>
        </w:tc>
        <w:tc>
          <w:tcPr>
            <w:tcW w:w="1351" w:type="dxa"/>
            <w:tcBorders>
              <w:top w:val="nil"/>
              <w:left w:val="nil"/>
              <w:bottom w:val="single" w:sz="8" w:space="0" w:color="auto"/>
              <w:right w:val="single" w:sz="8" w:space="0" w:color="auto"/>
            </w:tcBorders>
            <w:tcMar>
              <w:top w:w="0" w:type="dxa"/>
              <w:left w:w="108" w:type="dxa"/>
              <w:bottom w:w="0" w:type="dxa"/>
              <w:right w:w="108" w:type="dxa"/>
            </w:tcMar>
          </w:tcPr>
          <w:p w:rsidR="00000000" w:rsidRDefault="000023E5">
            <w:pPr>
              <w:spacing w:line="360" w:lineRule="auto"/>
              <w:jc w:val="both"/>
              <w:rPr>
                <w:rFonts w:ascii="Arial" w:hAnsi="Arial" w:cs="Arial"/>
                <w:b/>
                <w:bCs/>
              </w:rPr>
            </w:pPr>
            <w:r>
              <w:rPr>
                <w:rFonts w:ascii="Arial" w:hAnsi="Arial" w:cs="Arial"/>
                <w:b/>
                <w:bCs/>
              </w:rPr>
              <w:t>73.8%</w:t>
            </w:r>
          </w:p>
        </w:tc>
      </w:tr>
      <w:tr w:rsidR="00000000">
        <w:tc>
          <w:tcPr>
            <w:tcW w:w="16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00000" w:rsidRDefault="000023E5">
            <w:pPr>
              <w:spacing w:line="360" w:lineRule="auto"/>
              <w:jc w:val="both"/>
              <w:rPr>
                <w:rFonts w:ascii="Arial" w:hAnsi="Arial" w:cs="Arial"/>
              </w:rPr>
            </w:pPr>
            <w:r>
              <w:rPr>
                <w:rFonts w:ascii="Arial" w:hAnsi="Arial" w:cs="Arial"/>
              </w:rPr>
              <w:t>Actual convictions</w:t>
            </w:r>
          </w:p>
        </w:tc>
        <w:tc>
          <w:tcPr>
            <w:tcW w:w="1084" w:type="dxa"/>
            <w:tcBorders>
              <w:top w:val="nil"/>
              <w:left w:val="nil"/>
              <w:bottom w:val="single" w:sz="8" w:space="0" w:color="auto"/>
              <w:right w:val="single" w:sz="8" w:space="0" w:color="auto"/>
            </w:tcBorders>
            <w:tcMar>
              <w:top w:w="0" w:type="dxa"/>
              <w:left w:w="108" w:type="dxa"/>
              <w:bottom w:w="0" w:type="dxa"/>
              <w:right w:w="108" w:type="dxa"/>
            </w:tcMar>
          </w:tcPr>
          <w:p w:rsidR="00000000" w:rsidRDefault="000023E5">
            <w:pPr>
              <w:spacing w:line="360" w:lineRule="auto"/>
              <w:jc w:val="both"/>
              <w:rPr>
                <w:rFonts w:ascii="Arial" w:hAnsi="Arial" w:cs="Arial"/>
              </w:rPr>
            </w:pPr>
            <w:r>
              <w:rPr>
                <w:rFonts w:ascii="Arial" w:hAnsi="Arial" w:cs="Arial"/>
              </w:rPr>
              <w:t>5 084</w:t>
            </w:r>
          </w:p>
        </w:tc>
        <w:tc>
          <w:tcPr>
            <w:tcW w:w="1084" w:type="dxa"/>
            <w:tcBorders>
              <w:top w:val="nil"/>
              <w:left w:val="nil"/>
              <w:bottom w:val="single" w:sz="8" w:space="0" w:color="auto"/>
              <w:right w:val="single" w:sz="8" w:space="0" w:color="auto"/>
            </w:tcBorders>
            <w:tcMar>
              <w:top w:w="0" w:type="dxa"/>
              <w:left w:w="108" w:type="dxa"/>
              <w:bottom w:w="0" w:type="dxa"/>
              <w:right w:w="108" w:type="dxa"/>
            </w:tcMar>
          </w:tcPr>
          <w:p w:rsidR="00000000" w:rsidRDefault="000023E5">
            <w:pPr>
              <w:spacing w:line="360" w:lineRule="auto"/>
              <w:jc w:val="both"/>
              <w:rPr>
                <w:rFonts w:ascii="Arial" w:hAnsi="Arial" w:cs="Arial"/>
              </w:rPr>
            </w:pPr>
            <w:r>
              <w:rPr>
                <w:rFonts w:ascii="Arial" w:hAnsi="Arial" w:cs="Arial"/>
              </w:rPr>
              <w:t>4 978</w:t>
            </w:r>
          </w:p>
        </w:tc>
        <w:tc>
          <w:tcPr>
            <w:tcW w:w="1084" w:type="dxa"/>
            <w:tcBorders>
              <w:top w:val="nil"/>
              <w:left w:val="nil"/>
              <w:bottom w:val="single" w:sz="8" w:space="0" w:color="auto"/>
              <w:right w:val="single" w:sz="8" w:space="0" w:color="auto"/>
            </w:tcBorders>
            <w:tcMar>
              <w:top w:w="0" w:type="dxa"/>
              <w:left w:w="108" w:type="dxa"/>
              <w:bottom w:w="0" w:type="dxa"/>
              <w:right w:w="108" w:type="dxa"/>
            </w:tcMar>
          </w:tcPr>
          <w:p w:rsidR="00000000" w:rsidRDefault="000023E5">
            <w:pPr>
              <w:spacing w:line="360" w:lineRule="auto"/>
              <w:jc w:val="both"/>
              <w:rPr>
                <w:rFonts w:ascii="Arial" w:hAnsi="Arial" w:cs="Arial"/>
              </w:rPr>
            </w:pPr>
            <w:r>
              <w:rPr>
                <w:rFonts w:ascii="Arial" w:hAnsi="Arial" w:cs="Arial"/>
              </w:rPr>
              <w:t>4 780</w:t>
            </w:r>
          </w:p>
        </w:tc>
        <w:tc>
          <w:tcPr>
            <w:tcW w:w="1084" w:type="dxa"/>
            <w:tcBorders>
              <w:top w:val="nil"/>
              <w:left w:val="nil"/>
              <w:bottom w:val="single" w:sz="8" w:space="0" w:color="auto"/>
              <w:right w:val="single" w:sz="8" w:space="0" w:color="auto"/>
            </w:tcBorders>
            <w:tcMar>
              <w:top w:w="0" w:type="dxa"/>
              <w:left w:w="108" w:type="dxa"/>
              <w:bottom w:w="0" w:type="dxa"/>
              <w:right w:w="108" w:type="dxa"/>
            </w:tcMar>
          </w:tcPr>
          <w:p w:rsidR="00000000" w:rsidRDefault="000023E5">
            <w:pPr>
              <w:spacing w:line="360" w:lineRule="auto"/>
              <w:jc w:val="both"/>
              <w:rPr>
                <w:rFonts w:ascii="Arial" w:hAnsi="Arial" w:cs="Arial"/>
              </w:rPr>
            </w:pPr>
            <w:r>
              <w:rPr>
                <w:rFonts w:ascii="Arial" w:hAnsi="Arial" w:cs="Arial"/>
              </w:rPr>
              <w:t>5 004</w:t>
            </w:r>
          </w:p>
        </w:tc>
        <w:tc>
          <w:tcPr>
            <w:tcW w:w="1084" w:type="dxa"/>
            <w:tcBorders>
              <w:top w:val="nil"/>
              <w:left w:val="nil"/>
              <w:bottom w:val="single" w:sz="8" w:space="0" w:color="auto"/>
              <w:right w:val="single" w:sz="8" w:space="0" w:color="auto"/>
            </w:tcBorders>
            <w:tcMar>
              <w:top w:w="0" w:type="dxa"/>
              <w:left w:w="108" w:type="dxa"/>
              <w:bottom w:w="0" w:type="dxa"/>
              <w:right w:w="108" w:type="dxa"/>
            </w:tcMar>
          </w:tcPr>
          <w:p w:rsidR="00000000" w:rsidRDefault="000023E5">
            <w:pPr>
              <w:spacing w:line="360" w:lineRule="auto"/>
              <w:jc w:val="both"/>
              <w:rPr>
                <w:rFonts w:ascii="Arial" w:hAnsi="Arial" w:cs="Arial"/>
              </w:rPr>
            </w:pPr>
            <w:r>
              <w:rPr>
                <w:rFonts w:ascii="Arial" w:hAnsi="Arial" w:cs="Arial"/>
              </w:rPr>
              <w:t>4 724</w:t>
            </w:r>
          </w:p>
        </w:tc>
        <w:tc>
          <w:tcPr>
            <w:tcW w:w="1351" w:type="dxa"/>
            <w:tcBorders>
              <w:top w:val="nil"/>
              <w:left w:val="nil"/>
              <w:bottom w:val="single" w:sz="8" w:space="0" w:color="auto"/>
              <w:right w:val="single" w:sz="8" w:space="0" w:color="auto"/>
            </w:tcBorders>
            <w:tcMar>
              <w:top w:w="0" w:type="dxa"/>
              <w:left w:w="108" w:type="dxa"/>
              <w:bottom w:w="0" w:type="dxa"/>
              <w:right w:w="108" w:type="dxa"/>
            </w:tcMar>
          </w:tcPr>
          <w:p w:rsidR="00000000" w:rsidRDefault="000023E5">
            <w:pPr>
              <w:spacing w:line="360" w:lineRule="auto"/>
              <w:jc w:val="both"/>
              <w:rPr>
                <w:rFonts w:ascii="Arial" w:hAnsi="Arial" w:cs="Arial"/>
              </w:rPr>
            </w:pPr>
            <w:r>
              <w:rPr>
                <w:rFonts w:ascii="Arial" w:hAnsi="Arial" w:cs="Arial"/>
              </w:rPr>
              <w:t>4 098</w:t>
            </w:r>
          </w:p>
        </w:tc>
        <w:tc>
          <w:tcPr>
            <w:tcW w:w="1351" w:type="dxa"/>
            <w:tcBorders>
              <w:top w:val="nil"/>
              <w:left w:val="nil"/>
              <w:bottom w:val="single" w:sz="8" w:space="0" w:color="auto"/>
              <w:right w:val="single" w:sz="8" w:space="0" w:color="auto"/>
            </w:tcBorders>
            <w:tcMar>
              <w:top w:w="0" w:type="dxa"/>
              <w:left w:w="108" w:type="dxa"/>
              <w:bottom w:w="0" w:type="dxa"/>
              <w:right w:w="108" w:type="dxa"/>
            </w:tcMar>
          </w:tcPr>
          <w:p w:rsidR="00000000" w:rsidRDefault="000023E5">
            <w:pPr>
              <w:spacing w:line="360" w:lineRule="auto"/>
              <w:jc w:val="both"/>
              <w:rPr>
                <w:rFonts w:ascii="Arial" w:hAnsi="Arial" w:cs="Arial"/>
              </w:rPr>
            </w:pPr>
            <w:r>
              <w:rPr>
                <w:rFonts w:ascii="Arial" w:hAnsi="Arial" w:cs="Arial"/>
              </w:rPr>
              <w:t>2 539</w:t>
            </w:r>
          </w:p>
        </w:tc>
        <w:tc>
          <w:tcPr>
            <w:tcW w:w="1351" w:type="dxa"/>
            <w:tcBorders>
              <w:top w:val="nil"/>
              <w:left w:val="nil"/>
              <w:bottom w:val="single" w:sz="8" w:space="0" w:color="auto"/>
              <w:right w:val="single" w:sz="8" w:space="0" w:color="auto"/>
            </w:tcBorders>
            <w:tcMar>
              <w:top w:w="0" w:type="dxa"/>
              <w:left w:w="108" w:type="dxa"/>
              <w:bottom w:w="0" w:type="dxa"/>
              <w:right w:w="108" w:type="dxa"/>
            </w:tcMar>
          </w:tcPr>
          <w:p w:rsidR="00000000" w:rsidRDefault="000023E5">
            <w:pPr>
              <w:spacing w:line="360" w:lineRule="auto"/>
              <w:jc w:val="both"/>
              <w:rPr>
                <w:rFonts w:ascii="Arial" w:hAnsi="Arial" w:cs="Arial"/>
                <w:b/>
                <w:bCs/>
              </w:rPr>
            </w:pPr>
            <w:r>
              <w:rPr>
                <w:rFonts w:ascii="Arial" w:hAnsi="Arial" w:cs="Arial"/>
                <w:b/>
                <w:bCs/>
              </w:rPr>
              <w:t>3 161</w:t>
            </w:r>
          </w:p>
        </w:tc>
      </w:tr>
      <w:tr w:rsidR="00000000">
        <w:tc>
          <w:tcPr>
            <w:tcW w:w="16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00000" w:rsidRDefault="000023E5">
            <w:pPr>
              <w:spacing w:line="360" w:lineRule="auto"/>
              <w:jc w:val="both"/>
              <w:rPr>
                <w:rFonts w:ascii="Arial" w:hAnsi="Arial" w:cs="Arial"/>
              </w:rPr>
            </w:pPr>
            <w:r>
              <w:rPr>
                <w:rFonts w:ascii="Arial" w:hAnsi="Arial" w:cs="Arial"/>
              </w:rPr>
              <w:t xml:space="preserve">Finalized cases </w:t>
            </w:r>
          </w:p>
        </w:tc>
        <w:tc>
          <w:tcPr>
            <w:tcW w:w="1084" w:type="dxa"/>
            <w:tcBorders>
              <w:top w:val="nil"/>
              <w:left w:val="nil"/>
              <w:bottom w:val="single" w:sz="8" w:space="0" w:color="auto"/>
              <w:right w:val="single" w:sz="8" w:space="0" w:color="auto"/>
            </w:tcBorders>
            <w:tcMar>
              <w:top w:w="0" w:type="dxa"/>
              <w:left w:w="108" w:type="dxa"/>
              <w:bottom w:w="0" w:type="dxa"/>
              <w:right w:w="108" w:type="dxa"/>
            </w:tcMar>
          </w:tcPr>
          <w:p w:rsidR="00000000" w:rsidRDefault="000023E5">
            <w:pPr>
              <w:spacing w:line="360" w:lineRule="auto"/>
              <w:jc w:val="both"/>
              <w:rPr>
                <w:rFonts w:ascii="Arial" w:hAnsi="Arial" w:cs="Arial"/>
              </w:rPr>
            </w:pPr>
            <w:r>
              <w:rPr>
                <w:rFonts w:ascii="Arial" w:hAnsi="Arial" w:cs="Arial"/>
              </w:rPr>
              <w:t>7 372</w:t>
            </w:r>
          </w:p>
        </w:tc>
        <w:tc>
          <w:tcPr>
            <w:tcW w:w="1084" w:type="dxa"/>
            <w:tcBorders>
              <w:top w:val="nil"/>
              <w:left w:val="nil"/>
              <w:bottom w:val="single" w:sz="8" w:space="0" w:color="auto"/>
              <w:right w:val="single" w:sz="8" w:space="0" w:color="auto"/>
            </w:tcBorders>
            <w:tcMar>
              <w:top w:w="0" w:type="dxa"/>
              <w:left w:w="108" w:type="dxa"/>
              <w:bottom w:w="0" w:type="dxa"/>
              <w:right w:w="108" w:type="dxa"/>
            </w:tcMar>
          </w:tcPr>
          <w:p w:rsidR="00000000" w:rsidRDefault="000023E5">
            <w:pPr>
              <w:spacing w:line="360" w:lineRule="auto"/>
              <w:jc w:val="both"/>
              <w:rPr>
                <w:rFonts w:ascii="Arial" w:hAnsi="Arial" w:cs="Arial"/>
              </w:rPr>
            </w:pPr>
            <w:r>
              <w:rPr>
                <w:rFonts w:ascii="Arial" w:hAnsi="Arial" w:cs="Arial"/>
              </w:rPr>
              <w:t>7 098</w:t>
            </w:r>
          </w:p>
        </w:tc>
        <w:tc>
          <w:tcPr>
            <w:tcW w:w="1084" w:type="dxa"/>
            <w:tcBorders>
              <w:top w:val="nil"/>
              <w:left w:val="nil"/>
              <w:bottom w:val="single" w:sz="8" w:space="0" w:color="auto"/>
              <w:right w:val="single" w:sz="8" w:space="0" w:color="auto"/>
            </w:tcBorders>
            <w:tcMar>
              <w:top w:w="0" w:type="dxa"/>
              <w:left w:w="108" w:type="dxa"/>
              <w:bottom w:w="0" w:type="dxa"/>
              <w:right w:w="108" w:type="dxa"/>
            </w:tcMar>
          </w:tcPr>
          <w:p w:rsidR="00000000" w:rsidRDefault="000023E5">
            <w:pPr>
              <w:spacing w:line="360" w:lineRule="auto"/>
              <w:jc w:val="both"/>
              <w:rPr>
                <w:rFonts w:ascii="Arial" w:hAnsi="Arial" w:cs="Arial"/>
              </w:rPr>
            </w:pPr>
            <w:r>
              <w:rPr>
                <w:rFonts w:ascii="Arial" w:hAnsi="Arial" w:cs="Arial"/>
              </w:rPr>
              <w:t>6 669</w:t>
            </w:r>
          </w:p>
        </w:tc>
        <w:tc>
          <w:tcPr>
            <w:tcW w:w="1084" w:type="dxa"/>
            <w:tcBorders>
              <w:top w:val="nil"/>
              <w:left w:val="nil"/>
              <w:bottom w:val="single" w:sz="8" w:space="0" w:color="auto"/>
              <w:right w:val="single" w:sz="8" w:space="0" w:color="auto"/>
            </w:tcBorders>
            <w:tcMar>
              <w:top w:w="0" w:type="dxa"/>
              <w:left w:w="108" w:type="dxa"/>
              <w:bottom w:w="0" w:type="dxa"/>
              <w:right w:w="108" w:type="dxa"/>
            </w:tcMar>
          </w:tcPr>
          <w:p w:rsidR="00000000" w:rsidRDefault="000023E5">
            <w:pPr>
              <w:spacing w:line="360" w:lineRule="auto"/>
              <w:jc w:val="both"/>
              <w:rPr>
                <w:rFonts w:ascii="Arial" w:hAnsi="Arial" w:cs="Arial"/>
              </w:rPr>
            </w:pPr>
            <w:r>
              <w:rPr>
                <w:rFonts w:ascii="Arial" w:hAnsi="Arial" w:cs="Arial"/>
              </w:rPr>
              <w:t>6 879</w:t>
            </w:r>
          </w:p>
        </w:tc>
        <w:tc>
          <w:tcPr>
            <w:tcW w:w="1084" w:type="dxa"/>
            <w:tcBorders>
              <w:top w:val="nil"/>
              <w:left w:val="nil"/>
              <w:bottom w:val="single" w:sz="8" w:space="0" w:color="auto"/>
              <w:right w:val="single" w:sz="8" w:space="0" w:color="auto"/>
            </w:tcBorders>
            <w:tcMar>
              <w:top w:w="0" w:type="dxa"/>
              <w:left w:w="108" w:type="dxa"/>
              <w:bottom w:w="0" w:type="dxa"/>
              <w:right w:w="108" w:type="dxa"/>
            </w:tcMar>
          </w:tcPr>
          <w:p w:rsidR="00000000" w:rsidRDefault="000023E5">
            <w:pPr>
              <w:spacing w:line="360" w:lineRule="auto"/>
              <w:jc w:val="both"/>
              <w:rPr>
                <w:rFonts w:ascii="Arial" w:hAnsi="Arial" w:cs="Arial"/>
              </w:rPr>
            </w:pPr>
            <w:r>
              <w:rPr>
                <w:rFonts w:ascii="Arial" w:hAnsi="Arial" w:cs="Arial"/>
              </w:rPr>
              <w:t>6 353</w:t>
            </w:r>
          </w:p>
        </w:tc>
        <w:tc>
          <w:tcPr>
            <w:tcW w:w="1351" w:type="dxa"/>
            <w:tcBorders>
              <w:top w:val="nil"/>
              <w:left w:val="nil"/>
              <w:bottom w:val="single" w:sz="8" w:space="0" w:color="auto"/>
              <w:right w:val="single" w:sz="8" w:space="0" w:color="auto"/>
            </w:tcBorders>
            <w:tcMar>
              <w:top w:w="0" w:type="dxa"/>
              <w:left w:w="108" w:type="dxa"/>
              <w:bottom w:w="0" w:type="dxa"/>
              <w:right w:w="108" w:type="dxa"/>
            </w:tcMar>
          </w:tcPr>
          <w:p w:rsidR="00000000" w:rsidRDefault="000023E5">
            <w:pPr>
              <w:spacing w:line="360" w:lineRule="auto"/>
              <w:jc w:val="both"/>
              <w:rPr>
                <w:rFonts w:ascii="Arial" w:hAnsi="Arial" w:cs="Arial"/>
              </w:rPr>
            </w:pPr>
            <w:r>
              <w:rPr>
                <w:rFonts w:ascii="Arial" w:hAnsi="Arial" w:cs="Arial"/>
              </w:rPr>
              <w:t>5 451</w:t>
            </w:r>
          </w:p>
        </w:tc>
        <w:tc>
          <w:tcPr>
            <w:tcW w:w="1351" w:type="dxa"/>
            <w:tcBorders>
              <w:top w:val="nil"/>
              <w:left w:val="nil"/>
              <w:bottom w:val="single" w:sz="8" w:space="0" w:color="auto"/>
              <w:right w:val="single" w:sz="8" w:space="0" w:color="auto"/>
            </w:tcBorders>
            <w:tcMar>
              <w:top w:w="0" w:type="dxa"/>
              <w:left w:w="108" w:type="dxa"/>
              <w:bottom w:w="0" w:type="dxa"/>
              <w:right w:w="108" w:type="dxa"/>
            </w:tcMar>
          </w:tcPr>
          <w:p w:rsidR="00000000" w:rsidRDefault="000023E5">
            <w:pPr>
              <w:spacing w:line="360" w:lineRule="auto"/>
              <w:jc w:val="both"/>
              <w:rPr>
                <w:rFonts w:ascii="Arial" w:hAnsi="Arial" w:cs="Arial"/>
              </w:rPr>
            </w:pPr>
            <w:r>
              <w:rPr>
                <w:rFonts w:ascii="Arial" w:hAnsi="Arial" w:cs="Arial"/>
              </w:rPr>
              <w:t>3 349</w:t>
            </w:r>
          </w:p>
        </w:tc>
        <w:tc>
          <w:tcPr>
            <w:tcW w:w="1351" w:type="dxa"/>
            <w:tcBorders>
              <w:top w:val="nil"/>
              <w:left w:val="nil"/>
              <w:bottom w:val="single" w:sz="8" w:space="0" w:color="auto"/>
              <w:right w:val="single" w:sz="8" w:space="0" w:color="auto"/>
            </w:tcBorders>
            <w:tcMar>
              <w:top w:w="0" w:type="dxa"/>
              <w:left w:w="108" w:type="dxa"/>
              <w:bottom w:w="0" w:type="dxa"/>
              <w:right w:w="108" w:type="dxa"/>
            </w:tcMar>
          </w:tcPr>
          <w:p w:rsidR="00000000" w:rsidRDefault="000023E5">
            <w:pPr>
              <w:spacing w:line="360" w:lineRule="auto"/>
              <w:jc w:val="both"/>
              <w:rPr>
                <w:rFonts w:ascii="Arial" w:hAnsi="Arial" w:cs="Arial"/>
                <w:b/>
                <w:bCs/>
              </w:rPr>
            </w:pPr>
            <w:r>
              <w:rPr>
                <w:rFonts w:ascii="Arial" w:hAnsi="Arial" w:cs="Arial"/>
                <w:b/>
                <w:bCs/>
              </w:rPr>
              <w:t>4 285</w:t>
            </w:r>
          </w:p>
        </w:tc>
      </w:tr>
    </w:tbl>
    <w:p w:rsidR="00000000" w:rsidRDefault="000023E5">
      <w:pPr>
        <w:spacing w:line="360" w:lineRule="auto"/>
        <w:ind w:left="709" w:hanging="709"/>
        <w:jc w:val="both"/>
        <w:rPr>
          <w:rFonts w:ascii="Arial" w:hAnsi="Arial" w:cs="Arial"/>
          <w:lang w:val="en-ZA"/>
        </w:rPr>
      </w:pPr>
      <w:r>
        <w:rPr>
          <w:rFonts w:ascii="Arial" w:hAnsi="Arial" w:cs="Arial"/>
        </w:rPr>
        <w:t xml:space="preserve">            </w:t>
      </w:r>
    </w:p>
    <w:p w:rsidR="00000000" w:rsidRDefault="000023E5">
      <w:pPr>
        <w:pStyle w:val="ListParagraph"/>
        <w:numPr>
          <w:ilvl w:val="0"/>
          <w:numId w:val="3"/>
        </w:numPr>
        <w:spacing w:line="360" w:lineRule="auto"/>
        <w:jc w:val="both"/>
        <w:rPr>
          <w:rFonts w:ascii="Arial" w:hAnsi="Arial" w:cs="Arial"/>
          <w:lang w:val="en-GB"/>
        </w:rPr>
      </w:pPr>
      <w:r>
        <w:rPr>
          <w:rFonts w:ascii="Arial" w:hAnsi="Arial" w:cs="Arial"/>
          <w:lang w:val="en-GB"/>
        </w:rPr>
        <w:t xml:space="preserve">In evaluating the prosecution of sexual offences, it is to be noted, that for the </w:t>
      </w:r>
      <w:r>
        <w:rPr>
          <w:rFonts w:ascii="Arial" w:hAnsi="Arial" w:cs="Arial"/>
          <w:b/>
          <w:bCs/>
          <w:lang w:val="en-GB"/>
        </w:rPr>
        <w:t xml:space="preserve">seventh consecutive year </w:t>
      </w:r>
      <w:r>
        <w:rPr>
          <w:rFonts w:ascii="Arial" w:hAnsi="Arial" w:cs="Arial"/>
          <w:b/>
          <w:bCs/>
          <w:lang w:val="en-GB"/>
        </w:rPr>
        <w:t>a national conviction rate of above 70% was achieved</w:t>
      </w:r>
      <w:r>
        <w:rPr>
          <w:rFonts w:ascii="Arial" w:hAnsi="Arial" w:cs="Arial"/>
          <w:lang w:val="en-GB"/>
        </w:rPr>
        <w:t xml:space="preserve"> (both in relation to all sexual offence prosecutions and in relation to the TCC-reported cases).</w:t>
      </w:r>
    </w:p>
    <w:p w:rsidR="00000000" w:rsidRDefault="000023E5">
      <w:pPr>
        <w:pStyle w:val="ListParagraph"/>
        <w:numPr>
          <w:ilvl w:val="0"/>
          <w:numId w:val="3"/>
        </w:numPr>
        <w:spacing w:line="360" w:lineRule="auto"/>
        <w:jc w:val="both"/>
        <w:rPr>
          <w:rFonts w:ascii="Arial" w:hAnsi="Arial" w:cs="Arial"/>
          <w:lang w:val="en-GB"/>
        </w:rPr>
      </w:pPr>
      <w:r>
        <w:rPr>
          <w:rFonts w:ascii="Arial" w:hAnsi="Arial" w:cs="Arial"/>
          <w:lang w:val="en-GB"/>
        </w:rPr>
        <w:t>The management and prosecution of GBV matters is a priority focus in all DPP divisions, which is aligned t</w:t>
      </w:r>
      <w:r>
        <w:rPr>
          <w:rFonts w:ascii="Arial" w:hAnsi="Arial" w:cs="Arial"/>
          <w:lang w:val="en-GB"/>
        </w:rPr>
        <w:t xml:space="preserve">o the </w:t>
      </w:r>
      <w:r>
        <w:rPr>
          <w:rFonts w:ascii="Arial" w:hAnsi="Arial" w:cs="Arial"/>
          <w:b/>
          <w:bCs/>
          <w:lang w:val="en-GB"/>
        </w:rPr>
        <w:t>NSP on GBVF</w:t>
      </w:r>
      <w:r>
        <w:rPr>
          <w:rFonts w:ascii="Arial" w:hAnsi="Arial" w:cs="Arial"/>
          <w:lang w:val="en-GB"/>
        </w:rPr>
        <w:t xml:space="preserve"> and most importantly the NPS BU APP. It is also a standing priority item at all provincial and national stakeholder related meetings and forums. This is to ensure a collective and standardised approach in response mechanisms as the CJS to</w:t>
      </w:r>
      <w:r>
        <w:rPr>
          <w:rFonts w:ascii="Arial" w:hAnsi="Arial" w:cs="Arial"/>
          <w:lang w:val="en-GB"/>
        </w:rPr>
        <w:t>wards GBVF.</w:t>
      </w:r>
    </w:p>
    <w:p w:rsidR="00000000" w:rsidRDefault="000023E5">
      <w:pPr>
        <w:pStyle w:val="ListParagraph"/>
        <w:numPr>
          <w:ilvl w:val="0"/>
          <w:numId w:val="3"/>
        </w:numPr>
        <w:spacing w:line="360" w:lineRule="auto"/>
        <w:jc w:val="both"/>
        <w:rPr>
          <w:rFonts w:ascii="Arial" w:hAnsi="Arial" w:cs="Arial"/>
          <w:lang w:val="en-ZA"/>
        </w:rPr>
      </w:pPr>
      <w:r>
        <w:rPr>
          <w:rFonts w:ascii="Arial" w:hAnsi="Arial" w:cs="Arial"/>
          <w:lang w:val="en-GB"/>
        </w:rPr>
        <w:t xml:space="preserve">In relation to </w:t>
      </w:r>
      <w:r>
        <w:rPr>
          <w:rFonts w:ascii="Arial" w:hAnsi="Arial" w:cs="Arial"/>
          <w:b/>
          <w:bCs/>
          <w:lang w:val="en-GB"/>
        </w:rPr>
        <w:t>sentences imposed by the courts for TCC verdict cases</w:t>
      </w:r>
      <w:r>
        <w:rPr>
          <w:rFonts w:ascii="Arial" w:hAnsi="Arial" w:cs="Arial"/>
          <w:lang w:val="en-GB"/>
        </w:rPr>
        <w:t xml:space="preserve"> during the 2021/22 financial year, the following is to be noted:</w:t>
      </w:r>
    </w:p>
    <w:p w:rsidR="00000000" w:rsidRDefault="000023E5">
      <w:pPr>
        <w:pStyle w:val="ListParagraph"/>
        <w:numPr>
          <w:ilvl w:val="0"/>
          <w:numId w:val="4"/>
        </w:numPr>
        <w:spacing w:line="360" w:lineRule="auto"/>
        <w:jc w:val="both"/>
        <w:rPr>
          <w:rFonts w:ascii="Arial" w:hAnsi="Arial" w:cs="Arial"/>
          <w:lang w:val="en-GB"/>
        </w:rPr>
      </w:pPr>
      <w:r>
        <w:rPr>
          <w:rFonts w:ascii="Arial" w:hAnsi="Arial" w:cs="Arial"/>
          <w:lang w:val="en-GB"/>
        </w:rPr>
        <w:t>Life imprisonment sentences: 201 (an increase of 60 (42.5%) versus the previous financial year).</w:t>
      </w:r>
    </w:p>
    <w:p w:rsidR="00000000" w:rsidRDefault="000023E5">
      <w:pPr>
        <w:pStyle w:val="ListParagraph"/>
        <w:numPr>
          <w:ilvl w:val="0"/>
          <w:numId w:val="4"/>
        </w:numPr>
        <w:spacing w:line="360" w:lineRule="auto"/>
        <w:jc w:val="both"/>
        <w:rPr>
          <w:rFonts w:ascii="Arial" w:hAnsi="Arial" w:cs="Arial"/>
          <w:lang w:val="en-GB"/>
        </w:rPr>
      </w:pPr>
      <w:r>
        <w:rPr>
          <w:rFonts w:ascii="Arial" w:hAnsi="Arial" w:cs="Arial"/>
          <w:lang w:val="en-GB"/>
        </w:rPr>
        <w:t>20-25 years i</w:t>
      </w:r>
      <w:r>
        <w:rPr>
          <w:rFonts w:ascii="Arial" w:hAnsi="Arial" w:cs="Arial"/>
          <w:lang w:val="en-GB"/>
        </w:rPr>
        <w:t>mprisonment sentences: 106 (an increase of 21 (24.7%) versus the previous financial year).</w:t>
      </w:r>
    </w:p>
    <w:p w:rsidR="00000000" w:rsidRDefault="000023E5">
      <w:pPr>
        <w:pStyle w:val="ListParagraph"/>
        <w:numPr>
          <w:ilvl w:val="0"/>
          <w:numId w:val="4"/>
        </w:numPr>
        <w:spacing w:line="360" w:lineRule="auto"/>
        <w:jc w:val="both"/>
        <w:rPr>
          <w:rFonts w:ascii="Arial" w:hAnsi="Arial" w:cs="Arial"/>
          <w:lang w:val="en-GB"/>
        </w:rPr>
      </w:pPr>
      <w:r>
        <w:rPr>
          <w:rFonts w:ascii="Arial" w:hAnsi="Arial" w:cs="Arial"/>
          <w:lang w:val="en-GB"/>
        </w:rPr>
        <w:t>10-19 years imprisonment sentences: 378 (an increase of 83 (28.1%) versus the previous financial year).</w:t>
      </w:r>
    </w:p>
    <w:p w:rsidR="00000000" w:rsidRDefault="000023E5">
      <w:pPr>
        <w:pStyle w:val="ListParagraph"/>
        <w:numPr>
          <w:ilvl w:val="0"/>
          <w:numId w:val="4"/>
        </w:numPr>
        <w:spacing w:line="360" w:lineRule="auto"/>
        <w:jc w:val="both"/>
        <w:rPr>
          <w:rFonts w:ascii="Arial" w:hAnsi="Arial" w:cs="Arial"/>
          <w:lang w:val="en-GB"/>
        </w:rPr>
      </w:pPr>
      <w:r>
        <w:rPr>
          <w:rFonts w:ascii="Arial" w:hAnsi="Arial" w:cs="Arial"/>
          <w:lang w:val="en-GB"/>
        </w:rPr>
        <w:t>Furthermore, it confirms that the courts are generally imposi</w:t>
      </w:r>
      <w:r>
        <w:rPr>
          <w:rFonts w:ascii="Arial" w:hAnsi="Arial" w:cs="Arial"/>
          <w:lang w:val="en-GB"/>
        </w:rPr>
        <w:t>ng more severe sentences specifically on rape offences regarding TCC verdict cases, in comparison with the financial years prior to the NSP on GBVF (2018).  </w:t>
      </w:r>
    </w:p>
    <w:p w:rsidR="00000000" w:rsidRDefault="000023E5">
      <w:pPr>
        <w:pStyle w:val="ListParagraph"/>
        <w:numPr>
          <w:ilvl w:val="0"/>
          <w:numId w:val="4"/>
        </w:numPr>
        <w:spacing w:line="360" w:lineRule="auto"/>
        <w:jc w:val="both"/>
        <w:rPr>
          <w:rFonts w:ascii="Arial" w:hAnsi="Arial" w:cs="Arial"/>
          <w:lang w:val="en-GB"/>
        </w:rPr>
      </w:pPr>
      <w:r>
        <w:rPr>
          <w:rFonts w:ascii="Arial" w:hAnsi="Arial" w:cs="Arial"/>
          <w:lang w:val="en-GB"/>
        </w:rPr>
        <w:t>In addition, it reflects that the courts specifically imposed life imprisonment sentences in 19.5%</w:t>
      </w:r>
      <w:r>
        <w:rPr>
          <w:rFonts w:ascii="Arial" w:hAnsi="Arial" w:cs="Arial"/>
          <w:lang w:val="en-GB"/>
        </w:rPr>
        <w:t xml:space="preserve"> of the 1 033 verdict cases. It also indicates that the courts imposed long-term sentences (including life imprisonment) in 66.3% of the verdict cases.    </w:t>
      </w:r>
    </w:p>
    <w:p w:rsidR="00000000" w:rsidRDefault="000023E5">
      <w:pPr>
        <w:numPr>
          <w:ilvl w:val="0"/>
          <w:numId w:val="2"/>
        </w:numPr>
        <w:spacing w:line="360" w:lineRule="auto"/>
        <w:ind w:left="567" w:hanging="567"/>
        <w:jc w:val="both"/>
        <w:rPr>
          <w:rFonts w:ascii="Arial" w:hAnsi="Arial" w:cs="Arial"/>
        </w:rPr>
      </w:pPr>
      <w:r>
        <w:rPr>
          <w:rFonts w:ascii="Arial" w:hAnsi="Arial" w:cs="Arial"/>
        </w:rPr>
        <w:t xml:space="preserve">In line with Pillar 3, the NPA, to give effect to a </w:t>
      </w:r>
      <w:r>
        <w:rPr>
          <w:rFonts w:ascii="Arial" w:hAnsi="Arial" w:cs="Arial"/>
          <w:b/>
          <w:bCs/>
        </w:rPr>
        <w:t>victim-centric approach</w:t>
      </w:r>
      <w:r>
        <w:rPr>
          <w:rFonts w:ascii="Arial" w:hAnsi="Arial" w:cs="Arial"/>
        </w:rPr>
        <w:t xml:space="preserve"> has ensured through its </w:t>
      </w:r>
      <w:r>
        <w:rPr>
          <w:rFonts w:ascii="Arial" w:hAnsi="Arial" w:cs="Arial"/>
        </w:rPr>
        <w:t xml:space="preserve">Ke Bona Lesedi </w:t>
      </w:r>
      <w:r>
        <w:rPr>
          <w:rFonts w:ascii="Arial" w:hAnsi="Arial" w:cs="Arial"/>
          <w:b/>
          <w:bCs/>
        </w:rPr>
        <w:t>Court Preparation Component</w:t>
      </w:r>
      <w:r>
        <w:rPr>
          <w:rFonts w:ascii="Arial" w:hAnsi="Arial" w:cs="Arial"/>
        </w:rPr>
        <w:t xml:space="preserve"> that victims are adequately informed of their rights and that the judicial process is understood. This component is responsible for specialised prosecutor-guided court preparation for state witnesses provided by c</w:t>
      </w:r>
      <w:r>
        <w:rPr>
          <w:rFonts w:ascii="Arial" w:hAnsi="Arial" w:cs="Arial"/>
        </w:rPr>
        <w:t>ourt preparation officers. They also ensure the provision of victim impact statements and the provision of specialised training across the CJS. The use of court preparation officers by the NPA to prepare witnesses for the court is an initiative aimed at em</w:t>
      </w:r>
      <w:r>
        <w:rPr>
          <w:rFonts w:ascii="Arial" w:hAnsi="Arial" w:cs="Arial"/>
        </w:rPr>
        <w:t xml:space="preserve">powering witnesses and victims and reducing secondary trauma. In the 2021/2022 reporting period, 97 176 witnesses were assisted by the court preparation officers. Of these 46 805 (48.2%) witnesses are specifically in relation to sexual offence matters. </w:t>
      </w:r>
    </w:p>
    <w:p w:rsidR="00000000" w:rsidRDefault="000023E5">
      <w:pPr>
        <w:numPr>
          <w:ilvl w:val="0"/>
          <w:numId w:val="2"/>
        </w:numPr>
        <w:spacing w:line="360" w:lineRule="auto"/>
        <w:ind w:left="567" w:hanging="567"/>
        <w:jc w:val="both"/>
        <w:rPr>
          <w:rFonts w:ascii="Arial" w:hAnsi="Arial" w:cs="Arial"/>
        </w:rPr>
      </w:pPr>
      <w:r>
        <w:rPr>
          <w:rFonts w:ascii="Arial" w:hAnsi="Arial" w:cs="Arial"/>
        </w:rPr>
        <w:t>NP</w:t>
      </w:r>
      <w:r>
        <w:rPr>
          <w:rFonts w:ascii="Arial" w:hAnsi="Arial" w:cs="Arial"/>
        </w:rPr>
        <w:t>A SOCA Unit, facilitated or participated in several</w:t>
      </w:r>
      <w:r>
        <w:rPr>
          <w:rFonts w:ascii="Arial" w:hAnsi="Arial" w:cs="Arial"/>
          <w:b/>
        </w:rPr>
        <w:t xml:space="preserve"> public awareness and community projects/campaigns </w:t>
      </w:r>
      <w:r>
        <w:rPr>
          <w:rFonts w:ascii="Arial" w:hAnsi="Arial" w:cs="Arial"/>
        </w:rPr>
        <w:t>on gender-based violence, human trafficking and relevant legislation by the TCC personnel and SOCA provincial officials nationally in line with the “365 N</w:t>
      </w:r>
      <w:r>
        <w:rPr>
          <w:rFonts w:ascii="Arial" w:hAnsi="Arial" w:cs="Arial"/>
        </w:rPr>
        <w:t xml:space="preserve">ational Action Plan of no violence against women and children”. The TCC participation in campaigns focussed </w:t>
      </w:r>
      <w:r>
        <w:rPr>
          <w:rFonts w:ascii="Arial" w:hAnsi="Arial" w:cs="Arial"/>
          <w:i/>
          <w:iCs/>
        </w:rPr>
        <w:t xml:space="preserve">inter alia </w:t>
      </w:r>
      <w:r>
        <w:rPr>
          <w:rFonts w:ascii="Arial" w:hAnsi="Arial" w:cs="Arial"/>
        </w:rPr>
        <w:t xml:space="preserve">on the following topics: </w:t>
      </w:r>
    </w:p>
    <w:p w:rsidR="00000000" w:rsidRDefault="000023E5">
      <w:pPr>
        <w:pStyle w:val="ListParagraph"/>
        <w:numPr>
          <w:ilvl w:val="0"/>
          <w:numId w:val="5"/>
        </w:numPr>
        <w:autoSpaceDE w:val="0"/>
        <w:autoSpaceDN w:val="0"/>
        <w:adjustRightInd w:val="0"/>
        <w:spacing w:line="360" w:lineRule="auto"/>
        <w:jc w:val="both"/>
        <w:rPr>
          <w:rFonts w:ascii="Arial" w:hAnsi="Arial" w:cs="Arial"/>
          <w:color w:val="000000"/>
        </w:rPr>
      </w:pPr>
      <w:r>
        <w:rPr>
          <w:rFonts w:ascii="Arial" w:hAnsi="Arial" w:cs="Arial"/>
          <w:color w:val="000000"/>
        </w:rPr>
        <w:t xml:space="preserve">the essence of gender-based violence and early disclosure/reporting of sexual and or physical abuse offences; </w:t>
      </w:r>
    </w:p>
    <w:p w:rsidR="00000000" w:rsidRDefault="000023E5">
      <w:pPr>
        <w:pStyle w:val="ListParagraph"/>
        <w:numPr>
          <w:ilvl w:val="0"/>
          <w:numId w:val="5"/>
        </w:numPr>
        <w:autoSpaceDE w:val="0"/>
        <w:autoSpaceDN w:val="0"/>
        <w:adjustRightInd w:val="0"/>
        <w:spacing w:line="360" w:lineRule="auto"/>
        <w:jc w:val="both"/>
        <w:rPr>
          <w:rFonts w:ascii="Arial" w:hAnsi="Arial" w:cs="Arial"/>
          <w:color w:val="000000"/>
        </w:rPr>
      </w:pPr>
      <w:r>
        <w:rPr>
          <w:rFonts w:ascii="Arial" w:hAnsi="Arial" w:cs="Arial"/>
          <w:color w:val="000000"/>
        </w:rPr>
        <w:t xml:space="preserve">TCC services and the model; </w:t>
      </w:r>
    </w:p>
    <w:p w:rsidR="00000000" w:rsidRDefault="000023E5">
      <w:pPr>
        <w:pStyle w:val="ListParagraph"/>
        <w:numPr>
          <w:ilvl w:val="0"/>
          <w:numId w:val="5"/>
        </w:numPr>
        <w:autoSpaceDE w:val="0"/>
        <w:autoSpaceDN w:val="0"/>
        <w:adjustRightInd w:val="0"/>
        <w:spacing w:line="360" w:lineRule="auto"/>
        <w:jc w:val="both"/>
        <w:rPr>
          <w:rFonts w:ascii="Arial" w:hAnsi="Arial" w:cs="Arial"/>
          <w:color w:val="000000"/>
        </w:rPr>
      </w:pPr>
      <w:r>
        <w:rPr>
          <w:rFonts w:ascii="Arial" w:hAnsi="Arial" w:cs="Arial"/>
          <w:color w:val="000000"/>
        </w:rPr>
        <w:t xml:space="preserve">the influence of drugs and alcohol at schools (substance abuse); </w:t>
      </w:r>
    </w:p>
    <w:p w:rsidR="00000000" w:rsidRDefault="000023E5">
      <w:pPr>
        <w:pStyle w:val="ListParagraph"/>
        <w:numPr>
          <w:ilvl w:val="0"/>
          <w:numId w:val="5"/>
        </w:numPr>
        <w:autoSpaceDE w:val="0"/>
        <w:autoSpaceDN w:val="0"/>
        <w:adjustRightInd w:val="0"/>
        <w:spacing w:line="360" w:lineRule="auto"/>
        <w:jc w:val="both"/>
        <w:rPr>
          <w:rFonts w:ascii="Arial" w:hAnsi="Arial" w:cs="Arial"/>
          <w:color w:val="000000"/>
        </w:rPr>
      </w:pPr>
      <w:r>
        <w:rPr>
          <w:rFonts w:ascii="Arial" w:hAnsi="Arial" w:cs="Arial"/>
          <w:color w:val="000000"/>
        </w:rPr>
        <w:t xml:space="preserve">child pornography and related cybercrime; </w:t>
      </w:r>
    </w:p>
    <w:p w:rsidR="00000000" w:rsidRDefault="000023E5">
      <w:pPr>
        <w:pStyle w:val="ListParagraph"/>
        <w:numPr>
          <w:ilvl w:val="0"/>
          <w:numId w:val="5"/>
        </w:numPr>
        <w:autoSpaceDE w:val="0"/>
        <w:autoSpaceDN w:val="0"/>
        <w:adjustRightInd w:val="0"/>
        <w:spacing w:line="360" w:lineRule="auto"/>
        <w:jc w:val="both"/>
        <w:rPr>
          <w:rFonts w:ascii="Arial" w:hAnsi="Arial" w:cs="Arial"/>
          <w:color w:val="000000"/>
        </w:rPr>
      </w:pPr>
      <w:r>
        <w:rPr>
          <w:rFonts w:ascii="Arial" w:hAnsi="Arial" w:cs="Arial"/>
          <w:color w:val="000000"/>
        </w:rPr>
        <w:t xml:space="preserve">LGBQTI-cases; </w:t>
      </w:r>
    </w:p>
    <w:p w:rsidR="00000000" w:rsidRDefault="000023E5">
      <w:pPr>
        <w:pStyle w:val="ListParagraph"/>
        <w:numPr>
          <w:ilvl w:val="0"/>
          <w:numId w:val="5"/>
        </w:numPr>
        <w:autoSpaceDE w:val="0"/>
        <w:autoSpaceDN w:val="0"/>
        <w:adjustRightInd w:val="0"/>
        <w:spacing w:line="360" w:lineRule="auto"/>
        <w:jc w:val="both"/>
        <w:rPr>
          <w:rFonts w:ascii="Arial" w:hAnsi="Arial" w:cs="Arial"/>
          <w:color w:val="000000"/>
        </w:rPr>
      </w:pPr>
      <w:r>
        <w:rPr>
          <w:rFonts w:ascii="Arial" w:hAnsi="Arial" w:cs="Arial"/>
          <w:color w:val="000000"/>
        </w:rPr>
        <w:t xml:space="preserve">the importance of forensic medical examinations and post-trauma consequences of GBV; </w:t>
      </w:r>
    </w:p>
    <w:p w:rsidR="00000000" w:rsidRDefault="000023E5">
      <w:pPr>
        <w:pStyle w:val="ListParagraph"/>
        <w:numPr>
          <w:ilvl w:val="0"/>
          <w:numId w:val="5"/>
        </w:numPr>
        <w:autoSpaceDE w:val="0"/>
        <w:autoSpaceDN w:val="0"/>
        <w:adjustRightInd w:val="0"/>
        <w:spacing w:line="360" w:lineRule="auto"/>
        <w:jc w:val="both"/>
        <w:rPr>
          <w:rFonts w:ascii="Arial" w:hAnsi="Arial" w:cs="Arial"/>
          <w:color w:val="000000"/>
        </w:rPr>
      </w:pPr>
      <w:r>
        <w:rPr>
          <w:rFonts w:ascii="Arial" w:hAnsi="Arial" w:cs="Arial"/>
          <w:color w:val="000000"/>
        </w:rPr>
        <w:t>Ukuthwala-practis</w:t>
      </w:r>
      <w:r>
        <w:rPr>
          <w:rFonts w:ascii="Arial" w:hAnsi="Arial" w:cs="Arial"/>
          <w:color w:val="000000"/>
        </w:rPr>
        <w:t xml:space="preserve">es; </w:t>
      </w:r>
    </w:p>
    <w:p w:rsidR="00000000" w:rsidRDefault="000023E5">
      <w:pPr>
        <w:pStyle w:val="ListParagraph"/>
        <w:numPr>
          <w:ilvl w:val="0"/>
          <w:numId w:val="5"/>
        </w:numPr>
        <w:autoSpaceDE w:val="0"/>
        <w:autoSpaceDN w:val="0"/>
        <w:adjustRightInd w:val="0"/>
        <w:spacing w:line="360" w:lineRule="auto"/>
        <w:jc w:val="both"/>
        <w:rPr>
          <w:rFonts w:ascii="Arial" w:hAnsi="Arial" w:cs="Arial"/>
          <w:color w:val="000000"/>
        </w:rPr>
      </w:pPr>
      <w:r>
        <w:rPr>
          <w:rFonts w:ascii="Arial" w:hAnsi="Arial" w:cs="Arial"/>
          <w:color w:val="000000"/>
        </w:rPr>
        <w:t>the existence of sexual harassment and what it entails;</w:t>
      </w:r>
    </w:p>
    <w:p w:rsidR="00000000" w:rsidRDefault="000023E5">
      <w:pPr>
        <w:pStyle w:val="ListParagraph"/>
        <w:numPr>
          <w:ilvl w:val="0"/>
          <w:numId w:val="5"/>
        </w:numPr>
        <w:autoSpaceDE w:val="0"/>
        <w:autoSpaceDN w:val="0"/>
        <w:adjustRightInd w:val="0"/>
        <w:spacing w:line="360" w:lineRule="auto"/>
        <w:jc w:val="both"/>
        <w:rPr>
          <w:rFonts w:ascii="Arial" w:hAnsi="Arial" w:cs="Arial"/>
          <w:color w:val="000000"/>
        </w:rPr>
      </w:pPr>
      <w:r>
        <w:rPr>
          <w:rFonts w:ascii="Arial" w:hAnsi="Arial" w:cs="Arial"/>
          <w:color w:val="000000"/>
        </w:rPr>
        <w:t>the presence and occurrence of bullying at schools and the possible subsequent consequences thereof on the victims; and</w:t>
      </w:r>
    </w:p>
    <w:p w:rsidR="00000000" w:rsidRDefault="000023E5">
      <w:pPr>
        <w:pStyle w:val="ListParagraph"/>
        <w:numPr>
          <w:ilvl w:val="0"/>
          <w:numId w:val="5"/>
        </w:numPr>
        <w:autoSpaceDE w:val="0"/>
        <w:autoSpaceDN w:val="0"/>
        <w:adjustRightInd w:val="0"/>
        <w:spacing w:line="360" w:lineRule="auto"/>
        <w:jc w:val="both"/>
        <w:rPr>
          <w:rFonts w:ascii="Arial" w:hAnsi="Arial" w:cs="Arial"/>
          <w:color w:val="000000"/>
        </w:rPr>
      </w:pPr>
      <w:r>
        <w:rPr>
          <w:rFonts w:ascii="Arial" w:hAnsi="Arial" w:cs="Arial"/>
          <w:color w:val="000000"/>
        </w:rPr>
        <w:t>the manifestation of human trafficking specifically for sexual exploitation</w:t>
      </w:r>
      <w:r>
        <w:rPr>
          <w:rFonts w:ascii="Arial" w:hAnsi="Arial" w:cs="Arial"/>
          <w:color w:val="000000"/>
        </w:rPr>
        <w:t xml:space="preserve"> of victims (children) and also child labour, etc. </w:t>
      </w:r>
    </w:p>
    <w:p w:rsidR="00000000" w:rsidRDefault="000023E5">
      <w:pPr>
        <w:pStyle w:val="Default"/>
        <w:spacing w:line="360" w:lineRule="auto"/>
        <w:ind w:left="720"/>
        <w:jc w:val="both"/>
        <w:rPr>
          <w:rFonts w:ascii="Arial" w:eastAsia="Times New Roman" w:hAnsi="Arial" w:cs="Arial"/>
          <w:lang w:val="en-US" w:eastAsia="en-US"/>
        </w:rPr>
      </w:pPr>
    </w:p>
    <w:p w:rsidR="00000000" w:rsidRDefault="000023E5">
      <w:pPr>
        <w:pStyle w:val="Default"/>
        <w:spacing w:line="360" w:lineRule="auto"/>
        <w:ind w:left="720"/>
        <w:jc w:val="both"/>
        <w:rPr>
          <w:rFonts w:ascii="Arial" w:eastAsia="Times New Roman" w:hAnsi="Arial" w:cs="Arial"/>
          <w:lang w:val="en-US" w:eastAsia="en-US"/>
        </w:rPr>
      </w:pPr>
      <w:r>
        <w:rPr>
          <w:rFonts w:ascii="Arial" w:eastAsia="Times New Roman" w:hAnsi="Arial" w:cs="Arial"/>
          <w:lang w:val="en-US" w:eastAsia="en-US"/>
        </w:rPr>
        <w:t xml:space="preserve">NPA officials also participated in several </w:t>
      </w:r>
      <w:r>
        <w:rPr>
          <w:rFonts w:ascii="Arial" w:eastAsia="Times New Roman" w:hAnsi="Arial" w:cs="Arial"/>
          <w:b/>
          <w:bCs/>
          <w:lang w:val="en-US" w:eastAsia="en-US"/>
        </w:rPr>
        <w:t xml:space="preserve">dialogue sessions </w:t>
      </w:r>
      <w:r>
        <w:rPr>
          <w:rFonts w:ascii="Arial" w:eastAsia="Times New Roman" w:hAnsi="Arial" w:cs="Arial"/>
          <w:lang w:val="en-US" w:eastAsia="en-US"/>
        </w:rPr>
        <w:t xml:space="preserve">specifically at schools, community events or community radio stations and NSP webinars on related topics. It must be noted that comprehensive </w:t>
      </w:r>
      <w:r>
        <w:rPr>
          <w:rFonts w:ascii="Arial" w:eastAsia="Times New Roman" w:hAnsi="Arial" w:cs="Arial"/>
          <w:lang w:val="en-US" w:eastAsia="en-US"/>
        </w:rPr>
        <w:t>reports from the various cluster or provincial managers are available detailing the content and extent of the various campaigns delivered or participated in by SOCA officials.</w:t>
      </w:r>
    </w:p>
    <w:p w:rsidR="00000000" w:rsidRDefault="000023E5">
      <w:pPr>
        <w:numPr>
          <w:ilvl w:val="0"/>
          <w:numId w:val="2"/>
        </w:numPr>
        <w:spacing w:line="360" w:lineRule="auto"/>
        <w:ind w:left="567" w:hanging="567"/>
        <w:jc w:val="both"/>
        <w:rPr>
          <w:rFonts w:ascii="Arial" w:hAnsi="Arial" w:cs="Arial"/>
        </w:rPr>
      </w:pPr>
      <w:r>
        <w:rPr>
          <w:rFonts w:ascii="Arial" w:hAnsi="Arial" w:cs="Arial"/>
        </w:rPr>
        <w:t xml:space="preserve">In relation to </w:t>
      </w:r>
      <w:r>
        <w:rPr>
          <w:rFonts w:ascii="Arial" w:hAnsi="Arial" w:cs="Arial"/>
          <w:b/>
          <w:bCs/>
        </w:rPr>
        <w:t xml:space="preserve">training </w:t>
      </w:r>
      <w:r>
        <w:rPr>
          <w:rFonts w:ascii="Arial" w:hAnsi="Arial" w:cs="Arial"/>
        </w:rPr>
        <w:t xml:space="preserve">for prosecutors and related stakeholders, the SOCA Unit </w:t>
      </w:r>
      <w:r>
        <w:rPr>
          <w:rFonts w:ascii="Arial" w:hAnsi="Arial" w:cs="Arial"/>
        </w:rPr>
        <w:t xml:space="preserve">developed, reviewed, and amended the relevant training material regarding our GBV mandate and facilitated seventy (70) training sessions nationally in the past 2021/22 financial year. </w:t>
      </w:r>
    </w:p>
    <w:p w:rsidR="00000000" w:rsidRDefault="000023E5">
      <w:pPr>
        <w:numPr>
          <w:ilvl w:val="0"/>
          <w:numId w:val="2"/>
        </w:numPr>
        <w:spacing w:line="360" w:lineRule="auto"/>
        <w:ind w:left="567" w:hanging="567"/>
        <w:jc w:val="both"/>
        <w:rPr>
          <w:rFonts w:ascii="Arial" w:hAnsi="Arial" w:cs="Arial"/>
          <w:lang w:val="en-ZA"/>
        </w:rPr>
      </w:pPr>
      <w:r>
        <w:rPr>
          <w:rFonts w:ascii="Arial" w:hAnsi="Arial" w:cs="Arial"/>
        </w:rPr>
        <w:t xml:space="preserve">The </w:t>
      </w:r>
      <w:r>
        <w:rPr>
          <w:rFonts w:ascii="Arial" w:hAnsi="Arial" w:cs="Arial"/>
          <w:b/>
          <w:bCs/>
        </w:rPr>
        <w:t>NPA SOCA Unit commenced in a collaboration with SAPS FSL</w:t>
      </w:r>
      <w:r>
        <w:rPr>
          <w:rFonts w:ascii="Arial" w:hAnsi="Arial" w:cs="Arial"/>
        </w:rPr>
        <w:t>, a process</w:t>
      </w:r>
      <w:r>
        <w:rPr>
          <w:rFonts w:ascii="Arial" w:hAnsi="Arial" w:cs="Arial"/>
        </w:rPr>
        <w:t xml:space="preserve"> to speed up the finalisation of </w:t>
      </w:r>
      <w:r>
        <w:rPr>
          <w:rFonts w:ascii="Arial" w:hAnsi="Arial" w:cs="Arial"/>
          <w:b/>
          <w:bCs/>
        </w:rPr>
        <w:t>DNA analysis reports</w:t>
      </w:r>
      <w:r>
        <w:rPr>
          <w:rFonts w:ascii="Arial" w:hAnsi="Arial" w:cs="Arial"/>
        </w:rPr>
        <w:t xml:space="preserve"> urgently required at courts re GBV cases. The delay in the submission of these reports by FSL had a negative impact on the backlog of sexual offence cases. Such process was </w:t>
      </w:r>
      <w:r>
        <w:rPr>
          <w:rFonts w:ascii="Arial" w:hAnsi="Arial" w:cs="Arial"/>
          <w:lang w:val="en-ZA"/>
        </w:rPr>
        <w:t xml:space="preserve">initiated in October 2020 to </w:t>
      </w:r>
      <w:r>
        <w:rPr>
          <w:rFonts w:ascii="Arial" w:hAnsi="Arial" w:cs="Arial"/>
          <w:lang w:val="en-ZA"/>
        </w:rPr>
        <w:t>address the backlog of specifically sexual offence cases at courts due to the outstanding DNA reports from FSL. This resulted in the submission of 14 022 FSL reports (as at August 2022) received and submitted to the DPPs. This is a considerable increase in</w:t>
      </w:r>
      <w:r>
        <w:rPr>
          <w:rFonts w:ascii="Arial" w:hAnsi="Arial" w:cs="Arial"/>
          <w:lang w:val="en-ZA"/>
        </w:rPr>
        <w:t xml:space="preserve"> the number of reports received from the end of March 2021, when the number was only 444 reports. In addition, the SOCA Unit with the assistance of the NPA Research Unit, identified a number of 1 016 potential serial rapist reports as from October 2021. So</w:t>
      </w:r>
      <w:r>
        <w:rPr>
          <w:rFonts w:ascii="Arial" w:hAnsi="Arial" w:cs="Arial"/>
          <w:lang w:val="en-ZA"/>
        </w:rPr>
        <w:t xml:space="preserve">me of these reports reflect the modus operandi of potential serial rapists whose activities straddle different divisions which then might require centralisation of cases (in line with the CPA) by the respective DPP divisions. This initiative resulted in a </w:t>
      </w:r>
      <w:r>
        <w:rPr>
          <w:rFonts w:ascii="Arial" w:hAnsi="Arial" w:cs="Arial"/>
          <w:lang w:val="en-ZA"/>
        </w:rPr>
        <w:t xml:space="preserve">decrease in the backlog of long outstanding sexual offence cases at court. It is evident that our joint intervention between NPA and SAPS, regarding the prioritization of these DNA reports is indeed successful and will henceforth continue accordingly.   </w:t>
      </w:r>
    </w:p>
    <w:p w:rsidR="00000000" w:rsidRDefault="000023E5">
      <w:pPr>
        <w:numPr>
          <w:ilvl w:val="0"/>
          <w:numId w:val="2"/>
        </w:numPr>
        <w:spacing w:line="360" w:lineRule="auto"/>
        <w:ind w:left="567" w:hanging="567"/>
        <w:jc w:val="both"/>
        <w:rPr>
          <w:rFonts w:ascii="Arial" w:hAnsi="Arial" w:cs="Arial"/>
          <w:bCs/>
          <w:lang w:val="en-ZA"/>
        </w:rPr>
      </w:pPr>
      <w:r>
        <w:rPr>
          <w:rFonts w:ascii="Arial" w:hAnsi="Arial" w:cs="Arial"/>
          <w:lang w:val="en-ZA"/>
        </w:rPr>
        <w:t>I</w:t>
      </w:r>
      <w:r>
        <w:rPr>
          <w:rFonts w:ascii="Arial" w:hAnsi="Arial" w:cs="Arial"/>
          <w:lang w:val="en-ZA"/>
        </w:rPr>
        <w:t xml:space="preserve">n relation to the </w:t>
      </w:r>
      <w:r>
        <w:rPr>
          <w:rFonts w:ascii="Arial" w:hAnsi="Arial" w:cs="Arial"/>
          <w:b/>
          <w:bCs/>
          <w:lang w:val="en-ZA"/>
        </w:rPr>
        <w:t>Community Prosecution Initiative implemented by the NPA</w:t>
      </w:r>
      <w:r>
        <w:rPr>
          <w:rFonts w:ascii="Arial" w:hAnsi="Arial" w:cs="Arial"/>
          <w:lang w:val="en-ZA"/>
        </w:rPr>
        <w:t>, d</w:t>
      </w:r>
      <w:r>
        <w:rPr>
          <w:rFonts w:ascii="Arial" w:hAnsi="Arial" w:cs="Arial"/>
          <w:color w:val="000000"/>
        </w:rPr>
        <w:t xml:space="preserve">esignated community prosecutors monitor the progress and implementation of the Community Prosecution Initiatives at identified sites nationally. Currently, there are </w:t>
      </w:r>
      <w:r>
        <w:rPr>
          <w:rFonts w:ascii="Arial" w:hAnsi="Arial" w:cs="Arial"/>
          <w:b/>
          <w:color w:val="000000"/>
        </w:rPr>
        <w:t>twenty-three (</w:t>
      </w:r>
      <w:r>
        <w:rPr>
          <w:rFonts w:ascii="Arial" w:hAnsi="Arial" w:cs="Arial"/>
          <w:b/>
          <w:bCs/>
          <w:color w:val="000000"/>
        </w:rPr>
        <w:t>23) initiatives, thirteen (</w:t>
      </w:r>
      <w:r>
        <w:rPr>
          <w:rFonts w:ascii="Arial" w:hAnsi="Arial" w:cs="Arial"/>
          <w:b/>
          <w:color w:val="000000"/>
        </w:rPr>
        <w:t xml:space="preserve">13) of which focus specifically on GBV and one (1) initiative on Assault and Domestic Violence. </w:t>
      </w:r>
      <w:r>
        <w:rPr>
          <w:rFonts w:ascii="Arial" w:hAnsi="Arial" w:cs="Arial"/>
          <w:color w:val="000000"/>
        </w:rPr>
        <w:t xml:space="preserve">The aforementioned community prosecutors continuously facilitate several </w:t>
      </w:r>
      <w:r>
        <w:rPr>
          <w:rFonts w:ascii="Arial" w:hAnsi="Arial" w:cs="Arial"/>
          <w:bCs/>
          <w:color w:val="000000"/>
        </w:rPr>
        <w:t>public awareness campaigns</w:t>
      </w:r>
      <w:r>
        <w:rPr>
          <w:rFonts w:ascii="Arial" w:hAnsi="Arial" w:cs="Arial"/>
          <w:color w:val="000000"/>
        </w:rPr>
        <w:t xml:space="preserve"> on related topics and various pla</w:t>
      </w:r>
      <w:r>
        <w:rPr>
          <w:rFonts w:ascii="Arial" w:hAnsi="Arial" w:cs="Arial"/>
          <w:color w:val="000000"/>
        </w:rPr>
        <w:t xml:space="preserve">tforms, including radio and local newspapers, and/or </w:t>
      </w:r>
      <w:r>
        <w:rPr>
          <w:rFonts w:ascii="Arial" w:hAnsi="Arial" w:cs="Arial"/>
          <w:bCs/>
          <w:color w:val="000000"/>
        </w:rPr>
        <w:t>delivered training sessions to relevant stakeholders on the Community Prosecution Initiative. Building stakeholder relations with relevant community partners are essential in this process, to collectivel</w:t>
      </w:r>
      <w:r>
        <w:rPr>
          <w:rFonts w:ascii="Arial" w:hAnsi="Arial" w:cs="Arial"/>
          <w:bCs/>
          <w:color w:val="000000"/>
        </w:rPr>
        <w:t>y identify challenges and implementable solutions. The impact hereof will also be reported in the next annual report.</w:t>
      </w:r>
    </w:p>
    <w:p w:rsidR="00000000" w:rsidRDefault="000023E5">
      <w:pPr>
        <w:numPr>
          <w:ilvl w:val="0"/>
          <w:numId w:val="2"/>
        </w:numPr>
        <w:spacing w:line="360" w:lineRule="auto"/>
        <w:ind w:left="567" w:hanging="567"/>
        <w:jc w:val="both"/>
        <w:rPr>
          <w:rFonts w:ascii="Arial" w:hAnsi="Arial" w:cs="Arial"/>
          <w:bCs/>
          <w:lang w:val="en-ZA"/>
        </w:rPr>
      </w:pPr>
      <w:r>
        <w:rPr>
          <w:rFonts w:ascii="Arial" w:hAnsi="Arial" w:cs="Arial"/>
          <w:color w:val="000000"/>
        </w:rPr>
        <w:t>Following the enactment of the</w:t>
      </w:r>
      <w:r>
        <w:rPr>
          <w:rFonts w:ascii="Arial" w:hAnsi="Arial" w:cs="Arial"/>
          <w:b/>
          <w:color w:val="000000"/>
        </w:rPr>
        <w:t xml:space="preserve"> three (3) GBV pieces of legislation, SOCA</w:t>
      </w:r>
      <w:r>
        <w:rPr>
          <w:rFonts w:ascii="Arial" w:hAnsi="Arial" w:cs="Arial"/>
          <w:color w:val="000000"/>
        </w:rPr>
        <w:t xml:space="preserve"> established </w:t>
      </w:r>
      <w:r>
        <w:rPr>
          <w:rFonts w:ascii="Arial" w:hAnsi="Arial" w:cs="Arial"/>
          <w:b/>
          <w:color w:val="000000"/>
        </w:rPr>
        <w:t>GBV Legislation</w:t>
      </w:r>
      <w:r>
        <w:rPr>
          <w:rFonts w:ascii="Arial" w:hAnsi="Arial" w:cs="Arial"/>
          <w:color w:val="000000"/>
        </w:rPr>
        <w:t xml:space="preserve"> </w:t>
      </w:r>
      <w:r>
        <w:rPr>
          <w:rFonts w:ascii="Arial" w:hAnsi="Arial" w:cs="Arial"/>
          <w:b/>
          <w:color w:val="000000"/>
        </w:rPr>
        <w:t>Task Teams</w:t>
      </w:r>
      <w:r>
        <w:rPr>
          <w:rFonts w:ascii="Arial" w:hAnsi="Arial" w:cs="Arial"/>
          <w:color w:val="000000"/>
        </w:rPr>
        <w:t xml:space="preserve"> responsible for the execut</w:t>
      </w:r>
      <w:r>
        <w:rPr>
          <w:rFonts w:ascii="Arial" w:hAnsi="Arial" w:cs="Arial"/>
          <w:color w:val="000000"/>
        </w:rPr>
        <w:t>ion of these Acts, by means of:</w:t>
      </w:r>
    </w:p>
    <w:p w:rsidR="00000000" w:rsidRDefault="000023E5">
      <w:pPr>
        <w:pStyle w:val="ListParagraph"/>
        <w:numPr>
          <w:ilvl w:val="0"/>
          <w:numId w:val="6"/>
        </w:numPr>
        <w:spacing w:line="360" w:lineRule="auto"/>
        <w:jc w:val="both"/>
        <w:rPr>
          <w:rFonts w:ascii="Arial" w:hAnsi="Arial" w:cs="Arial"/>
          <w:color w:val="000000"/>
        </w:rPr>
      </w:pPr>
      <w:r>
        <w:rPr>
          <w:rFonts w:ascii="Arial" w:hAnsi="Arial" w:cs="Arial"/>
          <w:color w:val="000000"/>
        </w:rPr>
        <w:t>Amendment of current charge sheet annexures/ drafting of new charge sheet annexures;</w:t>
      </w:r>
    </w:p>
    <w:p w:rsidR="00000000" w:rsidRDefault="000023E5">
      <w:pPr>
        <w:pStyle w:val="ListParagraph"/>
        <w:numPr>
          <w:ilvl w:val="0"/>
          <w:numId w:val="6"/>
        </w:numPr>
        <w:spacing w:line="360" w:lineRule="auto"/>
        <w:jc w:val="both"/>
        <w:rPr>
          <w:rFonts w:ascii="Arial" w:hAnsi="Arial" w:cs="Arial"/>
          <w:color w:val="000000"/>
        </w:rPr>
      </w:pPr>
      <w:r>
        <w:rPr>
          <w:rFonts w:ascii="Arial" w:hAnsi="Arial" w:cs="Arial"/>
          <w:color w:val="000000"/>
        </w:rPr>
        <w:t>Amendment of relevant NPA Policy Directives; and</w:t>
      </w:r>
    </w:p>
    <w:p w:rsidR="000023E5" w:rsidRDefault="000023E5">
      <w:pPr>
        <w:pStyle w:val="ListParagraph"/>
        <w:numPr>
          <w:ilvl w:val="0"/>
          <w:numId w:val="6"/>
        </w:numPr>
        <w:tabs>
          <w:tab w:val="left" w:pos="450"/>
          <w:tab w:val="left" w:pos="1134"/>
        </w:tabs>
        <w:spacing w:line="360" w:lineRule="auto"/>
        <w:jc w:val="both"/>
        <w:rPr>
          <w:rFonts w:ascii="Arial" w:hAnsi="Arial" w:cs="Arial"/>
        </w:rPr>
      </w:pPr>
      <w:r>
        <w:rPr>
          <w:rFonts w:ascii="Arial" w:hAnsi="Arial" w:cs="Arial"/>
          <w:color w:val="000000"/>
        </w:rPr>
        <w:t>Amendment of all training material utilised by SOCA in the facilitation of training sessio</w:t>
      </w:r>
      <w:r>
        <w:rPr>
          <w:rFonts w:ascii="Arial" w:hAnsi="Arial" w:cs="Arial"/>
          <w:color w:val="000000"/>
        </w:rPr>
        <w:t xml:space="preserve">ns. currently putting teams together, to review the relevant NPA Prosecution Policies which are affected by the signing into law of the </w:t>
      </w:r>
      <w:r>
        <w:rPr>
          <w:rFonts w:ascii="Arial" w:hAnsi="Arial" w:cs="Arial"/>
          <w:b/>
          <w:color w:val="000000"/>
        </w:rPr>
        <w:t>three (3) GBV pieces of legislation.</w:t>
      </w:r>
    </w:p>
    <w:sectPr w:rsidR="000023E5">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23E5" w:rsidRDefault="000023E5" w:rsidP="0041579B">
      <w:r>
        <w:separator/>
      </w:r>
    </w:p>
  </w:endnote>
  <w:endnote w:type="continuationSeparator" w:id="0">
    <w:p w:rsidR="000023E5" w:rsidRDefault="000023E5" w:rsidP="004157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default"/>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023E5">
    <w:pPr>
      <w:pStyle w:val="Footer"/>
      <w:pBdr>
        <w:top w:val="single" w:sz="4" w:space="1" w:color="D9D9D9"/>
      </w:pBdr>
      <w:rPr>
        <w:b/>
        <w:bCs/>
      </w:rPr>
    </w:pPr>
    <w:r>
      <w:fldChar w:fldCharType="begin"/>
    </w:r>
    <w:r>
      <w:instrText xml:space="preserve"> PAGE   \* MERGEFORMAT </w:instrText>
    </w:r>
    <w:r>
      <w:fldChar w:fldCharType="separate"/>
    </w:r>
    <w:r w:rsidRPr="000023E5">
      <w:rPr>
        <w:b/>
        <w:bCs/>
        <w:noProof/>
        <w:lang w:val="en-ZA" w:eastAsia="en-ZA"/>
      </w:rPr>
      <w:t>1</w:t>
    </w:r>
    <w:r>
      <w:rPr>
        <w:b/>
        <w:bCs/>
        <w:lang w:val="en-ZA" w:eastAsia="en-ZA"/>
      </w:rPr>
      <w:fldChar w:fldCharType="end"/>
    </w:r>
    <w:r>
      <w:rPr>
        <w:b/>
        <w:bCs/>
      </w:rPr>
      <w:t xml:space="preserve"> | </w:t>
    </w:r>
    <w:r>
      <w:rPr>
        <w:color w:val="808080"/>
        <w:spacing w:val="60"/>
      </w:rPr>
      <w:t>Page</w:t>
    </w:r>
  </w:p>
  <w:p w:rsidR="00000000" w:rsidRDefault="000023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23E5" w:rsidRDefault="000023E5" w:rsidP="0041579B">
      <w:r>
        <w:separator/>
      </w:r>
    </w:p>
  </w:footnote>
  <w:footnote w:type="continuationSeparator" w:id="0">
    <w:p w:rsidR="000023E5" w:rsidRDefault="000023E5" w:rsidP="004157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C32EAB"/>
    <w:multiLevelType w:val="multilevel"/>
    <w:tmpl w:val="2EC32EAB"/>
    <w:lvl w:ilvl="0">
      <w:start w:val="1"/>
      <w:numFmt w:val="decimal"/>
      <w:lvlText w:val="%1"/>
      <w:lvlJc w:val="left"/>
      <w:pPr>
        <w:tabs>
          <w:tab w:val="num" w:pos="567"/>
        </w:tabs>
        <w:ind w:left="567" w:hanging="567"/>
      </w:pPr>
      <w:rPr>
        <w:rFonts w:cs="Times New Roman"/>
      </w:rPr>
    </w:lvl>
    <w:lvl w:ilvl="1">
      <w:start w:val="1"/>
      <w:numFmt w:val="decimal"/>
      <w:lvlText w:val="%1.%2"/>
      <w:lvlJc w:val="left"/>
      <w:pPr>
        <w:tabs>
          <w:tab w:val="num" w:pos="1247"/>
        </w:tabs>
        <w:ind w:left="1247" w:hanging="680"/>
      </w:pPr>
      <w:rPr>
        <w:rFonts w:cs="Times New Roman"/>
      </w:rPr>
    </w:lvl>
    <w:lvl w:ilvl="2">
      <w:start w:val="1"/>
      <w:numFmt w:val="decimal"/>
      <w:lvlText w:val="%1.%2.%3"/>
      <w:lvlJc w:val="left"/>
      <w:pPr>
        <w:tabs>
          <w:tab w:val="num" w:pos="2155"/>
        </w:tabs>
        <w:ind w:left="2155" w:hanging="908"/>
      </w:pPr>
      <w:rPr>
        <w:rFonts w:cs="Times New Roman"/>
      </w:rPr>
    </w:lvl>
    <w:lvl w:ilvl="3">
      <w:start w:val="1"/>
      <w:numFmt w:val="lowerLetter"/>
      <w:lvlText w:val="(%4)"/>
      <w:lvlJc w:val="left"/>
      <w:pPr>
        <w:tabs>
          <w:tab w:val="num" w:pos="2552"/>
        </w:tabs>
        <w:ind w:left="2552" w:hanging="397"/>
      </w:pPr>
      <w:rPr>
        <w:rFonts w:cs="Times New Roman"/>
      </w:rPr>
    </w:lvl>
    <w:lvl w:ilvl="4">
      <w:start w:val="1"/>
      <w:numFmt w:val="lowerRoman"/>
      <w:lvlText w:val="(%5)"/>
      <w:lvlJc w:val="left"/>
      <w:pPr>
        <w:tabs>
          <w:tab w:val="num" w:pos="3119"/>
        </w:tabs>
        <w:ind w:left="3119" w:hanging="567"/>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
    <w:nsid w:val="52474400"/>
    <w:multiLevelType w:val="multilevel"/>
    <w:tmpl w:val="52474400"/>
    <w:lvl w:ilvl="0">
      <w:start w:val="1"/>
      <w:numFmt w:val="lowerLetter"/>
      <w:lvlText w:val="%1)"/>
      <w:lvlJc w:val="left"/>
      <w:pPr>
        <w:ind w:left="720" w:hanging="360"/>
      </w:pPr>
      <w:rPr>
        <w:rFonts w:ascii="Arial" w:eastAsia="Times New Roman" w:hAnsi="Arial" w:cs="Aria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5F9E6E66"/>
    <w:multiLevelType w:val="multilevel"/>
    <w:tmpl w:val="5F9E6E6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61623B12"/>
    <w:multiLevelType w:val="multilevel"/>
    <w:tmpl w:val="61623B12"/>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4">
    <w:nsid w:val="64A313C5"/>
    <w:multiLevelType w:val="multilevel"/>
    <w:tmpl w:val="64A313C5"/>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5">
    <w:nsid w:val="76DF18D4"/>
    <w:multiLevelType w:val="multilevel"/>
    <w:tmpl w:val="76DF18D4"/>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lvlOverride w:ilvl="0">
      <w:startOverride w:val="1"/>
    </w:lvlOverride>
  </w:num>
  <w:num w:numId="4">
    <w:abstractNumId w:val="5"/>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docVars>
    <w:docVar w:name="__Grammarly_42____i" w:val="H4sIAAAAAAAEAKtWckksSQxILCpxzi/NK1GyMqwFAAEhoTITAAAA"/>
    <w:docVar w:name="__Grammarly_42___1" w:val="H4sIAAAAAAAEAKtWcslP9kxRslIyNDY2MDM1NLEwNbW0MLAwNzdU0lEKTi0uzszPAykwrAUAVESelywAAAA="/>
  </w:docVars>
  <w:rsids>
    <w:rsidRoot w:val="00E55AFD"/>
    <w:rsid w:val="00001C4E"/>
    <w:rsid w:val="000023E5"/>
    <w:rsid w:val="00014DCB"/>
    <w:rsid w:val="00017971"/>
    <w:rsid w:val="00026EC0"/>
    <w:rsid w:val="00030927"/>
    <w:rsid w:val="00034F49"/>
    <w:rsid w:val="0004105D"/>
    <w:rsid w:val="0004190C"/>
    <w:rsid w:val="00044490"/>
    <w:rsid w:val="00046588"/>
    <w:rsid w:val="00052CE2"/>
    <w:rsid w:val="00067090"/>
    <w:rsid w:val="0006774F"/>
    <w:rsid w:val="00070401"/>
    <w:rsid w:val="0007147A"/>
    <w:rsid w:val="00072E1B"/>
    <w:rsid w:val="0007655F"/>
    <w:rsid w:val="00080B73"/>
    <w:rsid w:val="000A34E5"/>
    <w:rsid w:val="000A3DA5"/>
    <w:rsid w:val="000B3D5A"/>
    <w:rsid w:val="000B5E45"/>
    <w:rsid w:val="000C01D4"/>
    <w:rsid w:val="000C329B"/>
    <w:rsid w:val="000D4F57"/>
    <w:rsid w:val="000E6772"/>
    <w:rsid w:val="000E7085"/>
    <w:rsid w:val="000E76BA"/>
    <w:rsid w:val="000F24EB"/>
    <w:rsid w:val="000F7117"/>
    <w:rsid w:val="00105174"/>
    <w:rsid w:val="00110B8F"/>
    <w:rsid w:val="00110EC8"/>
    <w:rsid w:val="0011308C"/>
    <w:rsid w:val="00120775"/>
    <w:rsid w:val="00125B08"/>
    <w:rsid w:val="00125D94"/>
    <w:rsid w:val="00130BDB"/>
    <w:rsid w:val="001314B9"/>
    <w:rsid w:val="00134C16"/>
    <w:rsid w:val="001354F5"/>
    <w:rsid w:val="0014029F"/>
    <w:rsid w:val="00144111"/>
    <w:rsid w:val="00156483"/>
    <w:rsid w:val="00161FC4"/>
    <w:rsid w:val="0016515D"/>
    <w:rsid w:val="001702F2"/>
    <w:rsid w:val="00171528"/>
    <w:rsid w:val="00173403"/>
    <w:rsid w:val="001774BC"/>
    <w:rsid w:val="001848C4"/>
    <w:rsid w:val="00192D26"/>
    <w:rsid w:val="00194B05"/>
    <w:rsid w:val="0019515C"/>
    <w:rsid w:val="001A41A7"/>
    <w:rsid w:val="001A6494"/>
    <w:rsid w:val="001A6D2A"/>
    <w:rsid w:val="001B00F0"/>
    <w:rsid w:val="001B1E8C"/>
    <w:rsid w:val="001B356F"/>
    <w:rsid w:val="001B4619"/>
    <w:rsid w:val="001B51B9"/>
    <w:rsid w:val="001C7F3F"/>
    <w:rsid w:val="001D2E53"/>
    <w:rsid w:val="001D4F07"/>
    <w:rsid w:val="001E1642"/>
    <w:rsid w:val="001E1BE7"/>
    <w:rsid w:val="001E6A90"/>
    <w:rsid w:val="001F41F3"/>
    <w:rsid w:val="001F445E"/>
    <w:rsid w:val="001F6711"/>
    <w:rsid w:val="00203F6A"/>
    <w:rsid w:val="00206040"/>
    <w:rsid w:val="00213182"/>
    <w:rsid w:val="0021549B"/>
    <w:rsid w:val="00224067"/>
    <w:rsid w:val="002269FD"/>
    <w:rsid w:val="00227505"/>
    <w:rsid w:val="00260B24"/>
    <w:rsid w:val="00262ACE"/>
    <w:rsid w:val="00263360"/>
    <w:rsid w:val="00275216"/>
    <w:rsid w:val="0027707E"/>
    <w:rsid w:val="0028030F"/>
    <w:rsid w:val="00281574"/>
    <w:rsid w:val="002857B6"/>
    <w:rsid w:val="00286311"/>
    <w:rsid w:val="00291065"/>
    <w:rsid w:val="002A0DB1"/>
    <w:rsid w:val="002A15AC"/>
    <w:rsid w:val="002A6273"/>
    <w:rsid w:val="002B2B31"/>
    <w:rsid w:val="002B6D18"/>
    <w:rsid w:val="002C719B"/>
    <w:rsid w:val="002D3D40"/>
    <w:rsid w:val="002D5BF7"/>
    <w:rsid w:val="002D7BBD"/>
    <w:rsid w:val="002E1BC0"/>
    <w:rsid w:val="002E7253"/>
    <w:rsid w:val="002E79C9"/>
    <w:rsid w:val="002F0034"/>
    <w:rsid w:val="002F22DD"/>
    <w:rsid w:val="0031652F"/>
    <w:rsid w:val="00320872"/>
    <w:rsid w:val="00322BA4"/>
    <w:rsid w:val="003401CA"/>
    <w:rsid w:val="00346942"/>
    <w:rsid w:val="003520B5"/>
    <w:rsid w:val="0037187E"/>
    <w:rsid w:val="00372D98"/>
    <w:rsid w:val="003767D7"/>
    <w:rsid w:val="003771A4"/>
    <w:rsid w:val="00381B64"/>
    <w:rsid w:val="00383858"/>
    <w:rsid w:val="00386CA6"/>
    <w:rsid w:val="00395A01"/>
    <w:rsid w:val="003A1921"/>
    <w:rsid w:val="003A64C5"/>
    <w:rsid w:val="003A6AD0"/>
    <w:rsid w:val="003B0260"/>
    <w:rsid w:val="003C43F4"/>
    <w:rsid w:val="003C4D22"/>
    <w:rsid w:val="003C5B62"/>
    <w:rsid w:val="003D526D"/>
    <w:rsid w:val="003D780B"/>
    <w:rsid w:val="003E0CEE"/>
    <w:rsid w:val="003E72AB"/>
    <w:rsid w:val="003F2E8D"/>
    <w:rsid w:val="003F3BE0"/>
    <w:rsid w:val="003F5064"/>
    <w:rsid w:val="003F6245"/>
    <w:rsid w:val="004031F8"/>
    <w:rsid w:val="00412A16"/>
    <w:rsid w:val="00417DB4"/>
    <w:rsid w:val="004219B4"/>
    <w:rsid w:val="00422DF6"/>
    <w:rsid w:val="00431C9F"/>
    <w:rsid w:val="00433054"/>
    <w:rsid w:val="00433C19"/>
    <w:rsid w:val="00436057"/>
    <w:rsid w:val="00436842"/>
    <w:rsid w:val="00440FFF"/>
    <w:rsid w:val="00441BD5"/>
    <w:rsid w:val="00441D9E"/>
    <w:rsid w:val="004443E6"/>
    <w:rsid w:val="00447BA5"/>
    <w:rsid w:val="004572CE"/>
    <w:rsid w:val="0046404F"/>
    <w:rsid w:val="00465448"/>
    <w:rsid w:val="00465A51"/>
    <w:rsid w:val="004926BD"/>
    <w:rsid w:val="00493775"/>
    <w:rsid w:val="004B6B6B"/>
    <w:rsid w:val="004C10C1"/>
    <w:rsid w:val="004E4428"/>
    <w:rsid w:val="004E7CD4"/>
    <w:rsid w:val="004F6FEC"/>
    <w:rsid w:val="00502868"/>
    <w:rsid w:val="00515B6A"/>
    <w:rsid w:val="005160F8"/>
    <w:rsid w:val="0054211D"/>
    <w:rsid w:val="005454FB"/>
    <w:rsid w:val="005601A1"/>
    <w:rsid w:val="00572F09"/>
    <w:rsid w:val="005772C1"/>
    <w:rsid w:val="005835BC"/>
    <w:rsid w:val="005856A7"/>
    <w:rsid w:val="00585897"/>
    <w:rsid w:val="00586FCA"/>
    <w:rsid w:val="00590888"/>
    <w:rsid w:val="005A2F69"/>
    <w:rsid w:val="005A42CF"/>
    <w:rsid w:val="005B6209"/>
    <w:rsid w:val="005C4580"/>
    <w:rsid w:val="005D146C"/>
    <w:rsid w:val="005D1EEF"/>
    <w:rsid w:val="005E365A"/>
    <w:rsid w:val="005E6608"/>
    <w:rsid w:val="00600349"/>
    <w:rsid w:val="00604D1C"/>
    <w:rsid w:val="00604F50"/>
    <w:rsid w:val="00611D96"/>
    <w:rsid w:val="00612214"/>
    <w:rsid w:val="00625CD7"/>
    <w:rsid w:val="00630932"/>
    <w:rsid w:val="00632AE9"/>
    <w:rsid w:val="0064539A"/>
    <w:rsid w:val="006538C4"/>
    <w:rsid w:val="00653FE5"/>
    <w:rsid w:val="00661BE2"/>
    <w:rsid w:val="00670788"/>
    <w:rsid w:val="0067545A"/>
    <w:rsid w:val="00682A34"/>
    <w:rsid w:val="006921BE"/>
    <w:rsid w:val="0069310A"/>
    <w:rsid w:val="006959E4"/>
    <w:rsid w:val="006A33CE"/>
    <w:rsid w:val="006A35FB"/>
    <w:rsid w:val="006A4983"/>
    <w:rsid w:val="006A5CF1"/>
    <w:rsid w:val="006B0F80"/>
    <w:rsid w:val="006B1DED"/>
    <w:rsid w:val="006B389F"/>
    <w:rsid w:val="006B656B"/>
    <w:rsid w:val="006C0567"/>
    <w:rsid w:val="006D21F9"/>
    <w:rsid w:val="006D7E71"/>
    <w:rsid w:val="006E7BC1"/>
    <w:rsid w:val="006F2454"/>
    <w:rsid w:val="006F3AC0"/>
    <w:rsid w:val="006F63D7"/>
    <w:rsid w:val="007120E2"/>
    <w:rsid w:val="00720D4C"/>
    <w:rsid w:val="00724689"/>
    <w:rsid w:val="007261FA"/>
    <w:rsid w:val="00726C95"/>
    <w:rsid w:val="00736A06"/>
    <w:rsid w:val="00740A5A"/>
    <w:rsid w:val="00745638"/>
    <w:rsid w:val="007540CF"/>
    <w:rsid w:val="00755C22"/>
    <w:rsid w:val="00757C3B"/>
    <w:rsid w:val="00757E02"/>
    <w:rsid w:val="00760BFE"/>
    <w:rsid w:val="00765301"/>
    <w:rsid w:val="00774F8F"/>
    <w:rsid w:val="00777A77"/>
    <w:rsid w:val="0078425B"/>
    <w:rsid w:val="00787A31"/>
    <w:rsid w:val="00791471"/>
    <w:rsid w:val="007961D4"/>
    <w:rsid w:val="007B340B"/>
    <w:rsid w:val="007B7829"/>
    <w:rsid w:val="007C0AC3"/>
    <w:rsid w:val="007C1863"/>
    <w:rsid w:val="007E6925"/>
    <w:rsid w:val="007E7201"/>
    <w:rsid w:val="007F1165"/>
    <w:rsid w:val="007F2B0B"/>
    <w:rsid w:val="007F3217"/>
    <w:rsid w:val="0080509D"/>
    <w:rsid w:val="008169B8"/>
    <w:rsid w:val="00827AC9"/>
    <w:rsid w:val="00833136"/>
    <w:rsid w:val="00846897"/>
    <w:rsid w:val="00847965"/>
    <w:rsid w:val="0085538B"/>
    <w:rsid w:val="00860D16"/>
    <w:rsid w:val="008616A2"/>
    <w:rsid w:val="00862698"/>
    <w:rsid w:val="00865132"/>
    <w:rsid w:val="00874162"/>
    <w:rsid w:val="008769EF"/>
    <w:rsid w:val="008802D4"/>
    <w:rsid w:val="00881381"/>
    <w:rsid w:val="00887F36"/>
    <w:rsid w:val="00892846"/>
    <w:rsid w:val="0089703D"/>
    <w:rsid w:val="008A1398"/>
    <w:rsid w:val="008A1837"/>
    <w:rsid w:val="008A7C1D"/>
    <w:rsid w:val="008B0AB6"/>
    <w:rsid w:val="008B1BCF"/>
    <w:rsid w:val="008C1A56"/>
    <w:rsid w:val="008D3C30"/>
    <w:rsid w:val="008D4373"/>
    <w:rsid w:val="008E312C"/>
    <w:rsid w:val="008E78E6"/>
    <w:rsid w:val="008F366F"/>
    <w:rsid w:val="008F6A5A"/>
    <w:rsid w:val="009025C1"/>
    <w:rsid w:val="00905C38"/>
    <w:rsid w:val="00911E50"/>
    <w:rsid w:val="009133DA"/>
    <w:rsid w:val="00913892"/>
    <w:rsid w:val="00917F4E"/>
    <w:rsid w:val="009217E2"/>
    <w:rsid w:val="0092193B"/>
    <w:rsid w:val="009229AD"/>
    <w:rsid w:val="0094372F"/>
    <w:rsid w:val="009541F2"/>
    <w:rsid w:val="009551F2"/>
    <w:rsid w:val="00973033"/>
    <w:rsid w:val="009761A7"/>
    <w:rsid w:val="00983C6B"/>
    <w:rsid w:val="009853D5"/>
    <w:rsid w:val="009868D6"/>
    <w:rsid w:val="0098762D"/>
    <w:rsid w:val="009974BB"/>
    <w:rsid w:val="009A04D0"/>
    <w:rsid w:val="009A755B"/>
    <w:rsid w:val="009B0CAB"/>
    <w:rsid w:val="009C416B"/>
    <w:rsid w:val="009C5108"/>
    <w:rsid w:val="009D1805"/>
    <w:rsid w:val="009D33E2"/>
    <w:rsid w:val="009D4F78"/>
    <w:rsid w:val="009D6016"/>
    <w:rsid w:val="009E0268"/>
    <w:rsid w:val="009E1C96"/>
    <w:rsid w:val="009F17AE"/>
    <w:rsid w:val="009F1B70"/>
    <w:rsid w:val="009F2D5C"/>
    <w:rsid w:val="009F76EB"/>
    <w:rsid w:val="00A13BBD"/>
    <w:rsid w:val="00A42301"/>
    <w:rsid w:val="00A4711C"/>
    <w:rsid w:val="00A5290F"/>
    <w:rsid w:val="00A5364A"/>
    <w:rsid w:val="00A623F2"/>
    <w:rsid w:val="00A64328"/>
    <w:rsid w:val="00A6432A"/>
    <w:rsid w:val="00A66729"/>
    <w:rsid w:val="00A70AFC"/>
    <w:rsid w:val="00A7136B"/>
    <w:rsid w:val="00A85935"/>
    <w:rsid w:val="00AA13DE"/>
    <w:rsid w:val="00AA2AB0"/>
    <w:rsid w:val="00AA39AC"/>
    <w:rsid w:val="00AA52CE"/>
    <w:rsid w:val="00AB23D3"/>
    <w:rsid w:val="00AD0B35"/>
    <w:rsid w:val="00AD7B7A"/>
    <w:rsid w:val="00AF06C1"/>
    <w:rsid w:val="00AF0F1A"/>
    <w:rsid w:val="00AF2D9C"/>
    <w:rsid w:val="00AF5D91"/>
    <w:rsid w:val="00B021CE"/>
    <w:rsid w:val="00B13369"/>
    <w:rsid w:val="00B170EA"/>
    <w:rsid w:val="00B26AB3"/>
    <w:rsid w:val="00B40A2F"/>
    <w:rsid w:val="00B45421"/>
    <w:rsid w:val="00B45D75"/>
    <w:rsid w:val="00B45FF3"/>
    <w:rsid w:val="00B46E62"/>
    <w:rsid w:val="00B553A6"/>
    <w:rsid w:val="00B76C9E"/>
    <w:rsid w:val="00B8345D"/>
    <w:rsid w:val="00B958BA"/>
    <w:rsid w:val="00B962D2"/>
    <w:rsid w:val="00BA2151"/>
    <w:rsid w:val="00BA3361"/>
    <w:rsid w:val="00BA3A67"/>
    <w:rsid w:val="00BA61AF"/>
    <w:rsid w:val="00BB53A8"/>
    <w:rsid w:val="00BB7991"/>
    <w:rsid w:val="00BC1021"/>
    <w:rsid w:val="00BC2DC7"/>
    <w:rsid w:val="00BC7AFB"/>
    <w:rsid w:val="00BD3180"/>
    <w:rsid w:val="00BD597B"/>
    <w:rsid w:val="00BD6D36"/>
    <w:rsid w:val="00BE7822"/>
    <w:rsid w:val="00BF0672"/>
    <w:rsid w:val="00BF0809"/>
    <w:rsid w:val="00BF1930"/>
    <w:rsid w:val="00BF2F45"/>
    <w:rsid w:val="00BF738D"/>
    <w:rsid w:val="00C15423"/>
    <w:rsid w:val="00C15D71"/>
    <w:rsid w:val="00C31057"/>
    <w:rsid w:val="00C331B7"/>
    <w:rsid w:val="00C360AA"/>
    <w:rsid w:val="00C3772F"/>
    <w:rsid w:val="00C41A50"/>
    <w:rsid w:val="00C71126"/>
    <w:rsid w:val="00C72A2D"/>
    <w:rsid w:val="00C75ACC"/>
    <w:rsid w:val="00C770B6"/>
    <w:rsid w:val="00C81ABF"/>
    <w:rsid w:val="00C84899"/>
    <w:rsid w:val="00C8589D"/>
    <w:rsid w:val="00C877EE"/>
    <w:rsid w:val="00C904B6"/>
    <w:rsid w:val="00C90886"/>
    <w:rsid w:val="00C95F59"/>
    <w:rsid w:val="00CB2778"/>
    <w:rsid w:val="00CC239F"/>
    <w:rsid w:val="00CC576B"/>
    <w:rsid w:val="00CC7543"/>
    <w:rsid w:val="00CD042D"/>
    <w:rsid w:val="00CD3DB4"/>
    <w:rsid w:val="00CD4D18"/>
    <w:rsid w:val="00CE0598"/>
    <w:rsid w:val="00CE2A17"/>
    <w:rsid w:val="00CE2AA2"/>
    <w:rsid w:val="00CE6B8A"/>
    <w:rsid w:val="00CF1B81"/>
    <w:rsid w:val="00D175DC"/>
    <w:rsid w:val="00D209A0"/>
    <w:rsid w:val="00D21AB4"/>
    <w:rsid w:val="00D222F0"/>
    <w:rsid w:val="00D24750"/>
    <w:rsid w:val="00D3067D"/>
    <w:rsid w:val="00D41538"/>
    <w:rsid w:val="00D428BE"/>
    <w:rsid w:val="00D463C8"/>
    <w:rsid w:val="00D5013A"/>
    <w:rsid w:val="00D50C5D"/>
    <w:rsid w:val="00D54A16"/>
    <w:rsid w:val="00D56051"/>
    <w:rsid w:val="00D56B43"/>
    <w:rsid w:val="00D6158A"/>
    <w:rsid w:val="00D72E9E"/>
    <w:rsid w:val="00D74CDB"/>
    <w:rsid w:val="00D764A0"/>
    <w:rsid w:val="00D76DA7"/>
    <w:rsid w:val="00D80139"/>
    <w:rsid w:val="00D86E52"/>
    <w:rsid w:val="00D93520"/>
    <w:rsid w:val="00D93903"/>
    <w:rsid w:val="00DA29F5"/>
    <w:rsid w:val="00DA495F"/>
    <w:rsid w:val="00DB11B2"/>
    <w:rsid w:val="00DC255C"/>
    <w:rsid w:val="00DC592F"/>
    <w:rsid w:val="00DC7CDA"/>
    <w:rsid w:val="00DE1284"/>
    <w:rsid w:val="00DF2638"/>
    <w:rsid w:val="00DF705C"/>
    <w:rsid w:val="00E1080E"/>
    <w:rsid w:val="00E17F42"/>
    <w:rsid w:val="00E21A4E"/>
    <w:rsid w:val="00E21A66"/>
    <w:rsid w:val="00E25344"/>
    <w:rsid w:val="00E30F9B"/>
    <w:rsid w:val="00E43DED"/>
    <w:rsid w:val="00E44AFC"/>
    <w:rsid w:val="00E55AFD"/>
    <w:rsid w:val="00EA4D5C"/>
    <w:rsid w:val="00EA53D2"/>
    <w:rsid w:val="00EA5490"/>
    <w:rsid w:val="00EA7A64"/>
    <w:rsid w:val="00EB54FA"/>
    <w:rsid w:val="00EB5C9A"/>
    <w:rsid w:val="00EB6AC1"/>
    <w:rsid w:val="00EC5379"/>
    <w:rsid w:val="00ED072E"/>
    <w:rsid w:val="00ED2E2E"/>
    <w:rsid w:val="00ED5CF6"/>
    <w:rsid w:val="00EE1177"/>
    <w:rsid w:val="00EE6AD6"/>
    <w:rsid w:val="00EF081C"/>
    <w:rsid w:val="00EF2E4B"/>
    <w:rsid w:val="00EF32C9"/>
    <w:rsid w:val="00F03144"/>
    <w:rsid w:val="00F061D6"/>
    <w:rsid w:val="00F20EAD"/>
    <w:rsid w:val="00F220CD"/>
    <w:rsid w:val="00F26B86"/>
    <w:rsid w:val="00F30D88"/>
    <w:rsid w:val="00F31805"/>
    <w:rsid w:val="00F339F1"/>
    <w:rsid w:val="00F3487E"/>
    <w:rsid w:val="00F36003"/>
    <w:rsid w:val="00F400F2"/>
    <w:rsid w:val="00F475A6"/>
    <w:rsid w:val="00F5419D"/>
    <w:rsid w:val="00F55893"/>
    <w:rsid w:val="00F56838"/>
    <w:rsid w:val="00F63F57"/>
    <w:rsid w:val="00F646C9"/>
    <w:rsid w:val="00F72F0D"/>
    <w:rsid w:val="00F739F4"/>
    <w:rsid w:val="00F8037A"/>
    <w:rsid w:val="00F80E79"/>
    <w:rsid w:val="00F845F2"/>
    <w:rsid w:val="00F86709"/>
    <w:rsid w:val="00F91926"/>
    <w:rsid w:val="00F921C9"/>
    <w:rsid w:val="00F94058"/>
    <w:rsid w:val="00F95D9E"/>
    <w:rsid w:val="00FA26A6"/>
    <w:rsid w:val="00FA4D8E"/>
    <w:rsid w:val="00FA5D48"/>
    <w:rsid w:val="00FB625B"/>
    <w:rsid w:val="00FD32ED"/>
    <w:rsid w:val="00FD5CA1"/>
    <w:rsid w:val="00FE25AE"/>
    <w:rsid w:val="00FE5DBA"/>
    <w:rsid w:val="00FE64CB"/>
    <w:rsid w:val="00FF0C8B"/>
    <w:rsid w:val="00FF311C"/>
    <w:rsid w:val="74546BC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lsdException w:name="footer" w:semiHidden="0" w:unhideWhenUsed="0"/>
    <w:lsdException w:name="caption" w:locked="1" w:semiHidden="0" w:uiPriority="35" w:unhideWhenUsed="0" w:qFormat="1"/>
    <w:lsdException w:name="Title" w:locked="1" w:semiHidden="0" w:uiPriority="0" w:unhideWhenUsed="0" w:qFormat="1"/>
    <w:lsdException w:name="Default Paragraph Font" w:semiHidden="0" w:uiPriority="1"/>
    <w:lsdException w:name="Body Text Indent" w:unhideWhenUsed="0"/>
    <w:lsdException w:name="Subtitle" w:locked="1" w:semiHidden="0" w:uiPriority="0" w:unhideWhenUsed="0" w:qFormat="1"/>
    <w:lsdException w:name="Body Text Indent 2" w:semiHidden="0" w:unhideWhenUsed="0"/>
    <w:lsdException w:name="Strong" w:locked="1" w:semiHidden="0" w:uiPriority="0" w:unhideWhenUsed="0" w:qFormat="1"/>
    <w:lsdException w:name="Emphasis" w:locked="1" w:semiHidden="0" w:uiPriority="0" w:unhideWhenUsed="0" w:qFormat="1"/>
    <w:lsdException w:name="Normal (Web)" w:semiHidden="0"/>
    <w:lsdException w:name="Balloon Text" w:unhideWhenUsed="0"/>
    <w:lsdException w:name="Table Grid" w:semiHidden="0"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unhideWhenUsed/>
    <w:tblPr>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paragraph" w:styleId="BodyTextIndent">
    <w:name w:val="Body Text Indent"/>
    <w:basedOn w:val="Normal"/>
    <w:link w:val="BodyTextIndentChar"/>
    <w:uiPriority w:val="99"/>
    <w:semiHidden/>
    <w:pPr>
      <w:spacing w:after="120"/>
      <w:ind w:left="360"/>
    </w:pPr>
  </w:style>
  <w:style w:type="character" w:customStyle="1" w:styleId="BodyTextIndentChar">
    <w:name w:val="Body Text Indent Char"/>
    <w:link w:val="BodyTextIndent"/>
    <w:uiPriority w:val="99"/>
    <w:semiHidden/>
    <w:locked/>
    <w:rPr>
      <w:rFonts w:ascii="Times New Roman" w:hAnsi="Times New Roman" w:cs="Times New Roman"/>
      <w:sz w:val="24"/>
      <w:szCs w:val="24"/>
    </w:rPr>
  </w:style>
  <w:style w:type="paragraph" w:styleId="BodyTextIndent2">
    <w:name w:val="Body Text Indent 2"/>
    <w:basedOn w:val="Normal"/>
    <w:link w:val="BodyTextIndent2Char"/>
    <w:uiPriority w:val="99"/>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uiPriority w:val="99"/>
    <w:locked/>
    <w:rPr>
      <w:rFonts w:ascii="CG Times" w:hAnsi="CG Times" w:cs="Times New Roman"/>
      <w:sz w:val="20"/>
      <w:szCs w:val="20"/>
      <w:lang w:val="en-GB"/>
    </w:rPr>
  </w:style>
  <w:style w:type="paragraph" w:styleId="Caption">
    <w:name w:val="caption"/>
    <w:basedOn w:val="Normal"/>
    <w:uiPriority w:val="35"/>
    <w:qFormat/>
    <w:locked/>
    <w:pPr>
      <w:spacing w:line="360" w:lineRule="auto"/>
      <w:jc w:val="both"/>
    </w:pPr>
    <w:rPr>
      <w:rFonts w:ascii="Arial" w:eastAsia="Calibri" w:hAnsi="Arial" w:cs="Arial"/>
      <w:b/>
      <w:bCs/>
      <w:i/>
      <w:iCs/>
      <w:color w:val="FF0000"/>
      <w:sz w:val="18"/>
      <w:szCs w:val="18"/>
      <w:lang w:val="en-ZA" w:eastAsia="en-ZA"/>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link w:val="Footer"/>
    <w:uiPriority w:val="99"/>
    <w:locked/>
    <w:rPr>
      <w:rFonts w:ascii="Times New Roman" w:hAnsi="Times New Roman" w:cs="Times New Roman"/>
      <w:sz w:val="24"/>
      <w:szCs w:val="24"/>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link w:val="Header"/>
    <w:uiPriority w:val="99"/>
    <w:locked/>
    <w:rPr>
      <w:rFonts w:ascii="Times New Roman" w:hAnsi="Times New Roman" w:cs="Times New Roman"/>
      <w:sz w:val="24"/>
      <w:szCs w:val="24"/>
    </w:rPr>
  </w:style>
  <w:style w:type="paragraph" w:styleId="NormalWeb">
    <w:name w:val="Normal (Web)"/>
    <w:basedOn w:val="Normal"/>
    <w:uiPriority w:val="99"/>
    <w:unhideWhenUsed/>
    <w:pPr>
      <w:spacing w:before="100" w:beforeAutospacing="1" w:after="100" w:afterAutospacing="1"/>
    </w:pPr>
    <w:rPr>
      <w:lang w:val="en-ZA" w:eastAsia="en-ZA"/>
    </w:rPr>
  </w:style>
  <w:style w:type="table" w:styleId="TableGrid">
    <w:name w:val="Table Grid"/>
    <w:basedOn w:val="TableNormal"/>
    <w:uiPriority w:val="99"/>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pPr>
      <w:ind w:left="720"/>
      <w:contextualSpacing/>
    </w:pPr>
  </w:style>
  <w:style w:type="character" w:customStyle="1" w:styleId="ListParagraphChar">
    <w:name w:val="List Paragraph Char"/>
    <w:link w:val="ListParagraph"/>
    <w:uiPriority w:val="34"/>
    <w:qFormat/>
    <w:locked/>
    <w:rPr>
      <w:rFonts w:ascii="Times New Roman" w:eastAsia="Times New Roman" w:hAnsi="Times New Roman"/>
      <w:sz w:val="24"/>
      <w:szCs w:val="24"/>
      <w:lang w:val="en-US" w:eastAsia="en-US"/>
    </w:rPr>
  </w:style>
  <w:style w:type="paragraph" w:customStyle="1" w:styleId="4">
    <w:name w:val="4"/>
    <w:basedOn w:val="Normal"/>
    <w:uiPriority w:val="99"/>
    <w:pPr>
      <w:numPr>
        <w:ilvl w:val="3"/>
        <w:numId w:val="1"/>
      </w:numPr>
      <w:tabs>
        <w:tab w:val="left" w:pos="2552"/>
      </w:tabs>
      <w:spacing w:before="240" w:line="480" w:lineRule="auto"/>
      <w:jc w:val="both"/>
    </w:pPr>
    <w:rPr>
      <w:rFonts w:ascii="Arial" w:hAnsi="Arial" w:cs="Arial"/>
      <w:color w:val="000000"/>
      <w:lang w:val="en-GB" w:eastAsia="en-GB"/>
    </w:rPr>
  </w:style>
  <w:style w:type="paragraph" w:customStyle="1" w:styleId="1">
    <w:name w:val="1"/>
    <w:basedOn w:val="Normal"/>
    <w:uiPriority w:val="99"/>
    <w:pPr>
      <w:numPr>
        <w:numId w:val="1"/>
      </w:numPr>
      <w:tabs>
        <w:tab w:val="left" w:pos="567"/>
      </w:tabs>
      <w:spacing w:before="480" w:line="480" w:lineRule="auto"/>
      <w:jc w:val="both"/>
    </w:pPr>
    <w:rPr>
      <w:rFonts w:ascii="Arial" w:hAnsi="Arial" w:cs="Arial"/>
      <w:color w:val="000000"/>
      <w:lang w:val="en-GB" w:eastAsia="en-GB"/>
    </w:rPr>
  </w:style>
  <w:style w:type="paragraph" w:customStyle="1" w:styleId="2">
    <w:name w:val="2"/>
    <w:basedOn w:val="Normal"/>
    <w:uiPriority w:val="99"/>
    <w:pPr>
      <w:numPr>
        <w:ilvl w:val="1"/>
        <w:numId w:val="1"/>
      </w:numPr>
      <w:tabs>
        <w:tab w:val="left" w:pos="1247"/>
      </w:tabs>
      <w:spacing w:before="240" w:line="480" w:lineRule="auto"/>
      <w:jc w:val="both"/>
    </w:pPr>
    <w:rPr>
      <w:rFonts w:ascii="Arial" w:hAnsi="Arial" w:cs="Arial"/>
      <w:color w:val="000000"/>
      <w:lang w:val="en-GB" w:eastAsia="en-GB"/>
    </w:rPr>
  </w:style>
  <w:style w:type="paragraph" w:customStyle="1" w:styleId="3">
    <w:name w:val="3"/>
    <w:basedOn w:val="Normal"/>
    <w:uiPriority w:val="99"/>
    <w:pPr>
      <w:numPr>
        <w:ilvl w:val="2"/>
        <w:numId w:val="1"/>
      </w:numPr>
      <w:tabs>
        <w:tab w:val="left" w:pos="2155"/>
      </w:tabs>
      <w:spacing w:before="240" w:line="480" w:lineRule="auto"/>
      <w:jc w:val="both"/>
    </w:pPr>
    <w:rPr>
      <w:rFonts w:ascii="Arial" w:hAnsi="Arial" w:cs="Arial"/>
      <w:color w:val="000000"/>
      <w:lang w:val="en-GB" w:eastAsia="en-GB"/>
    </w:rPr>
  </w:style>
  <w:style w:type="paragraph" w:customStyle="1" w:styleId="5">
    <w:name w:val="5"/>
    <w:basedOn w:val="Normal"/>
    <w:uiPriority w:val="99"/>
    <w:pPr>
      <w:numPr>
        <w:ilvl w:val="4"/>
        <w:numId w:val="1"/>
      </w:numPr>
      <w:tabs>
        <w:tab w:val="left" w:pos="3119"/>
      </w:tabs>
      <w:spacing w:before="240" w:line="480" w:lineRule="auto"/>
      <w:jc w:val="both"/>
    </w:pPr>
    <w:rPr>
      <w:rFonts w:ascii="Arial" w:hAnsi="Arial" w:cs="Arial"/>
      <w:color w:val="000000"/>
      <w:lang w:val="en-GB" w:eastAsia="en-GB"/>
    </w:rPr>
  </w:style>
  <w:style w:type="paragraph" w:styleId="NoSpacing">
    <w:name w:val="No Spacing"/>
    <w:uiPriority w:val="99"/>
    <w:qFormat/>
    <w:rPr>
      <w:rFonts w:ascii="Times New Roman" w:eastAsia="Times New Roman" w:hAnsi="Times New Roman"/>
      <w:sz w:val="24"/>
      <w:szCs w:val="24"/>
      <w:lang w:val="en-US" w:eastAsia="en-US"/>
    </w:rPr>
  </w:style>
  <w:style w:type="paragraph" w:customStyle="1" w:styleId="Default">
    <w:name w:val="Default"/>
    <w:pPr>
      <w:autoSpaceDE w:val="0"/>
      <w:autoSpaceDN w:val="0"/>
      <w:adjustRightInd w:val="0"/>
    </w:pPr>
    <w:rPr>
      <w:rFonts w:ascii="Times New Roman" w:hAnsi="Times New Roman"/>
      <w:color w:val="000000"/>
      <w:sz w:val="24"/>
      <w:szCs w:val="24"/>
    </w:rPr>
  </w:style>
  <w:style w:type="paragraph" w:customStyle="1" w:styleId="Paragraph">
    <w:name w:val="Paragraph"/>
    <w:basedOn w:val="Normal"/>
    <w:link w:val="ParagraphChar"/>
    <w:pPr>
      <w:tabs>
        <w:tab w:val="left" w:pos="284"/>
        <w:tab w:val="left" w:pos="567"/>
        <w:tab w:val="left" w:pos="851"/>
      </w:tabs>
      <w:spacing w:after="160" w:line="260" w:lineRule="atLeast"/>
      <w:jc w:val="both"/>
    </w:pPr>
    <w:rPr>
      <w:sz w:val="22"/>
      <w:szCs w:val="20"/>
      <w:lang w:val="en-ZA"/>
    </w:rPr>
  </w:style>
  <w:style w:type="character" w:customStyle="1" w:styleId="ParagraphChar">
    <w:name w:val="Paragraph Char"/>
    <w:link w:val="Paragraph"/>
    <w:rPr>
      <w:rFonts w:ascii="Times New Roman" w:eastAsia="Times New Roman" w:hAnsi="Times New Roman"/>
      <w:sz w:val="22"/>
      <w:lang w:eastAsia="en-US"/>
    </w:rPr>
  </w:style>
</w:styles>
</file>

<file path=word/webSettings.xml><?xml version="1.0" encoding="utf-8"?>
<w:webSettings xmlns:r="http://schemas.openxmlformats.org/officeDocument/2006/relationships" xmlns:w="http://schemas.openxmlformats.org/wordprocessingml/2006/main">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1894</Words>
  <Characters>10796</Characters>
  <Application>Microsoft Office Word</Application>
  <DocSecurity>0</DocSecurity>
  <Lines>89</Lines>
  <Paragraphs>25</Paragraphs>
  <ScaleCrop>false</ScaleCrop>
  <Company>Microsoft</Company>
  <LinksUpToDate>false</LinksUpToDate>
  <CharactersWithSpaces>12665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Mashaba Miyeleni</dc:creator>
  <cp:lastModifiedBy>USER</cp:lastModifiedBy>
  <cp:revision>2</cp:revision>
  <cp:lastPrinted>2022-09-06T10:07:00Z</cp:lastPrinted>
  <dcterms:created xsi:type="dcterms:W3CDTF">2022-09-20T09:18:00Z</dcterms:created>
  <dcterms:modified xsi:type="dcterms:W3CDTF">2022-09-20T09:18:00Z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1033-11.2.0.11306</vt:lpwstr>
  </property>
  <property fmtid="{D5CDD505-2E9C-101B-9397-08002B2CF9AE}" pid="3" name="ICV">
    <vt:lpwstr>7610518BE7B0439699BF2E9DB95A7A37</vt:lpwstr>
  </property>
</Properties>
</file>