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F33B" w14:textId="77777777" w:rsidR="002C5A62" w:rsidRPr="00DF4704" w:rsidRDefault="002C5A62" w:rsidP="002C5A6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599E1232" w14:textId="77777777" w:rsidR="002C5A62" w:rsidRDefault="002C5A62" w:rsidP="002C5A6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2426</w:t>
      </w:r>
    </w:p>
    <w:p w14:paraId="202CFA5B" w14:textId="72D13856" w:rsidR="002C5A62" w:rsidRPr="003F7A20" w:rsidRDefault="002C5A62" w:rsidP="002C5A62">
      <w:pPr>
        <w:spacing w:before="100" w:beforeAutospacing="1" w:after="100" w:afterAutospacing="1" w:line="360" w:lineRule="auto"/>
        <w:ind w:left="720" w:hanging="720"/>
        <w:jc w:val="both"/>
        <w:outlineLvl w:val="0"/>
        <w:rPr>
          <w:rFonts w:ascii="Arial" w:hAnsi="Arial" w:cs="Arial"/>
          <w:b/>
          <w:noProof/>
        </w:rPr>
      </w:pPr>
      <w:r w:rsidRPr="003F7A20">
        <w:rPr>
          <w:rFonts w:ascii="Arial" w:hAnsi="Arial" w:cs="Arial"/>
          <w:b/>
          <w:noProof/>
        </w:rPr>
        <w:t>Mr M S F de Freitas (DA) to ask the Minister of Transport:</w:t>
      </w:r>
    </w:p>
    <w:p w14:paraId="30754EEB" w14:textId="77777777" w:rsidR="002C5A62" w:rsidRDefault="002C5A62" w:rsidP="002C5A62">
      <w:pPr>
        <w:spacing w:before="100" w:beforeAutospacing="1" w:after="100" w:afterAutospacing="1" w:line="360" w:lineRule="auto"/>
        <w:ind w:left="720"/>
        <w:jc w:val="both"/>
        <w:rPr>
          <w:rFonts w:ascii="Arial" w:hAnsi="Arial" w:cs="Arial"/>
          <w:noProof/>
        </w:rPr>
      </w:pPr>
      <w:r w:rsidRPr="003F7A20">
        <w:rPr>
          <w:rFonts w:ascii="Arial" w:hAnsi="Arial" w:cs="Arial"/>
        </w:rPr>
        <w:t>(a) What number of (i) trains, (ii) coaches and (iii) locomotives have been vandalised (aa) in each month and (bb) in the past three financial years, (b) where did each incident take place and (c) what are the relevant details of the investigations that followed each incident, particularly with regard to the (i) outcomes and (ii) recommendations of each specified investigation</w:t>
      </w:r>
      <w:r w:rsidRPr="003F7A20">
        <w:rPr>
          <w:rFonts w:ascii="Arial" w:hAnsi="Arial" w:cs="Arial"/>
          <w:noProof/>
        </w:rPr>
        <w:t>?</w:t>
      </w:r>
      <w:r w:rsidRPr="003F7A20">
        <w:rPr>
          <w:rFonts w:ascii="Arial" w:hAnsi="Arial" w:cs="Arial"/>
          <w:noProof/>
        </w:rPr>
        <w:tab/>
      </w:r>
      <w:r w:rsidRPr="003F7A20">
        <w:rPr>
          <w:rFonts w:ascii="Arial" w:hAnsi="Arial" w:cs="Arial"/>
          <w:noProof/>
        </w:rPr>
        <w:tab/>
      </w:r>
      <w:r w:rsidRPr="003F7A20">
        <w:rPr>
          <w:rFonts w:ascii="Arial" w:hAnsi="Arial" w:cs="Arial"/>
          <w:noProof/>
        </w:rPr>
        <w:tab/>
      </w:r>
      <w:r w:rsidRPr="003F7A20">
        <w:rPr>
          <w:rFonts w:ascii="Arial" w:hAnsi="Arial" w:cs="Arial"/>
          <w:noProof/>
        </w:rPr>
        <w:tab/>
      </w:r>
      <w:r w:rsidRPr="003F7A20">
        <w:rPr>
          <w:rFonts w:ascii="Arial" w:hAnsi="Arial" w:cs="Arial"/>
          <w:noProof/>
        </w:rPr>
        <w:tab/>
      </w:r>
      <w:r w:rsidRPr="003F7A20">
        <w:rPr>
          <w:rFonts w:ascii="Arial" w:hAnsi="Arial" w:cs="Arial"/>
          <w:noProof/>
        </w:rPr>
        <w:tab/>
      </w:r>
      <w:r w:rsidRPr="003F7A20">
        <w:rPr>
          <w:rFonts w:ascii="Arial" w:hAnsi="Arial" w:cs="Arial"/>
          <w:noProof/>
        </w:rPr>
        <w:tab/>
      </w:r>
    </w:p>
    <w:p w14:paraId="788D4800" w14:textId="5F6B3FA4" w:rsidR="002C5A62" w:rsidRPr="002C5A62" w:rsidRDefault="002C5A62" w:rsidP="002C5A62">
      <w:pPr>
        <w:spacing w:before="100" w:beforeAutospacing="1" w:after="100" w:afterAutospacing="1" w:line="360" w:lineRule="auto"/>
        <w:ind w:left="7920" w:firstLine="720"/>
        <w:jc w:val="both"/>
        <w:rPr>
          <w:rFonts w:ascii="Arial" w:hAnsi="Arial" w:cs="Arial"/>
          <w:b/>
          <w:noProof/>
        </w:rPr>
      </w:pPr>
      <w:r w:rsidRPr="002C5A62">
        <w:rPr>
          <w:rFonts w:ascii="Arial" w:hAnsi="Arial" w:cs="Arial"/>
          <w:b/>
          <w:noProof/>
        </w:rPr>
        <w:t>NW2675E</w:t>
      </w:r>
    </w:p>
    <w:p w14:paraId="5F102B1F" w14:textId="77777777" w:rsidR="002C5A62" w:rsidRPr="003F7A20" w:rsidRDefault="002C5A62" w:rsidP="002C5A62">
      <w:pPr>
        <w:spacing w:before="100" w:beforeAutospacing="1" w:after="100" w:afterAutospacing="1" w:line="360" w:lineRule="auto"/>
        <w:jc w:val="both"/>
        <w:outlineLvl w:val="0"/>
        <w:rPr>
          <w:rFonts w:ascii="Arial" w:eastAsia="Calibri" w:hAnsi="Arial" w:cs="Arial"/>
          <w:b/>
          <w:lang w:val="en-ZA"/>
        </w:rPr>
      </w:pPr>
    </w:p>
    <w:p w14:paraId="0A533FAC" w14:textId="224CC5FF" w:rsidR="002C5A62" w:rsidRPr="003F7A20" w:rsidRDefault="002C5A62" w:rsidP="002C5A62">
      <w:pPr>
        <w:spacing w:before="100" w:beforeAutospacing="1" w:after="100" w:afterAutospacing="1" w:line="360" w:lineRule="auto"/>
        <w:jc w:val="both"/>
        <w:outlineLvl w:val="0"/>
        <w:rPr>
          <w:rFonts w:ascii="Arial" w:eastAsia="Calibri" w:hAnsi="Arial" w:cs="Arial"/>
          <w:b/>
          <w:lang w:val="en-ZA"/>
        </w:rPr>
      </w:pPr>
      <w:r w:rsidRPr="003F7A20">
        <w:rPr>
          <w:rFonts w:ascii="Arial" w:eastAsia="Calibri" w:hAnsi="Arial" w:cs="Arial"/>
          <w:b/>
          <w:lang w:val="en-ZA"/>
        </w:rPr>
        <w:t>REPLY</w:t>
      </w:r>
      <w:r>
        <w:rPr>
          <w:rFonts w:ascii="Arial" w:eastAsia="Calibri" w:hAnsi="Arial" w:cs="Arial"/>
          <w:b/>
          <w:lang w:val="en-ZA"/>
        </w:rPr>
        <w:t>:</w:t>
      </w:r>
    </w:p>
    <w:p w14:paraId="36BE632E" w14:textId="31DAC2D7" w:rsidR="002C5A62" w:rsidRPr="003F7A20" w:rsidRDefault="002C5A62" w:rsidP="002C5A62">
      <w:pPr>
        <w:spacing w:before="100" w:beforeAutospacing="1" w:after="100" w:afterAutospacing="1" w:line="360" w:lineRule="auto"/>
        <w:jc w:val="both"/>
        <w:outlineLvl w:val="0"/>
        <w:rPr>
          <w:rFonts w:ascii="Arial" w:eastAsia="Calibri" w:hAnsi="Arial" w:cs="Arial"/>
          <w:lang w:val="en-ZA"/>
        </w:rPr>
      </w:pPr>
      <w:r w:rsidRPr="003F7A20">
        <w:rPr>
          <w:rFonts w:ascii="Arial" w:eastAsia="Calibri" w:hAnsi="Arial" w:cs="Arial"/>
          <w:lang w:val="en-ZA"/>
        </w:rPr>
        <w:t xml:space="preserve">A Metrorail train consist of </w:t>
      </w:r>
      <w:r w:rsidRPr="003F7A20">
        <w:rPr>
          <w:rFonts w:ascii="Arial" w:eastAsia="Calibri" w:hAnsi="Arial" w:cs="Arial"/>
          <w:lang w:val="en-ZA"/>
        </w:rPr>
        <w:t>several</w:t>
      </w:r>
      <w:r w:rsidRPr="003F7A20">
        <w:rPr>
          <w:rFonts w:ascii="Arial" w:eastAsia="Calibri" w:hAnsi="Arial" w:cs="Arial"/>
          <w:lang w:val="en-ZA"/>
        </w:rPr>
        <w:t xml:space="preserve"> motor coaches (electrical powered units) and a number of plain trailers - coaches. Normally a full train set (train) consist of 12 coaches (3 motor coaches and 9 plain trailers). The</w:t>
      </w:r>
      <w:r>
        <w:rPr>
          <w:rFonts w:ascii="Arial" w:eastAsia="Calibri" w:hAnsi="Arial" w:cs="Arial"/>
          <w:lang w:val="en-ZA"/>
        </w:rPr>
        <w:t xml:space="preserve"> response </w:t>
      </w:r>
      <w:r w:rsidRPr="003F7A20">
        <w:rPr>
          <w:rFonts w:ascii="Arial" w:eastAsia="Calibri" w:hAnsi="Arial" w:cs="Arial"/>
          <w:lang w:val="en-ZA"/>
        </w:rPr>
        <w:t xml:space="preserve">reflects the coaches and the equivalent 12-coach Metrorail train sets (trains). Metrorail does not utilize locomotives. Locomotives are used in MLPS and in freight </w:t>
      </w:r>
      <w:r>
        <w:rPr>
          <w:rFonts w:ascii="Arial" w:eastAsia="Calibri" w:hAnsi="Arial" w:cs="Arial"/>
          <w:lang w:val="en-ZA"/>
        </w:rPr>
        <w:t>at</w:t>
      </w:r>
      <w:r w:rsidRPr="003F7A20">
        <w:rPr>
          <w:rFonts w:ascii="Arial" w:eastAsia="Calibri" w:hAnsi="Arial" w:cs="Arial"/>
          <w:lang w:val="en-ZA"/>
        </w:rPr>
        <w:t xml:space="preserve"> Transnet. </w:t>
      </w:r>
    </w:p>
    <w:p w14:paraId="40EFB04E" w14:textId="77777777" w:rsidR="002C5A62" w:rsidRPr="003F7A20" w:rsidRDefault="002C5A62" w:rsidP="001454C3">
      <w:pPr>
        <w:pStyle w:val="ListParagraph"/>
        <w:numPr>
          <w:ilvl w:val="0"/>
          <w:numId w:val="1"/>
        </w:numPr>
        <w:spacing w:before="100" w:beforeAutospacing="1" w:after="100" w:afterAutospacing="1" w:line="360" w:lineRule="auto"/>
        <w:ind w:left="567" w:hanging="567"/>
        <w:jc w:val="both"/>
        <w:outlineLvl w:val="0"/>
        <w:rPr>
          <w:rFonts w:ascii="Arial" w:hAnsi="Arial" w:cs="Arial"/>
          <w:noProof/>
        </w:rPr>
      </w:pPr>
      <w:r w:rsidRPr="003F7A20">
        <w:rPr>
          <w:rFonts w:ascii="Arial" w:hAnsi="Arial" w:cs="Arial"/>
          <w:noProof/>
        </w:rPr>
        <w:t xml:space="preserve">Details of the incidents on vandalism of Rolling Stock has only been kept by Protection Services since December 2016 when vandalism became an endemic problem. The information is kept on the fleet maintenance side as well but is not readily available. </w:t>
      </w:r>
    </w:p>
    <w:p w14:paraId="464B7CF2" w14:textId="77777777" w:rsidR="002C5A62" w:rsidRPr="003F7A20" w:rsidRDefault="002C5A62" w:rsidP="002C5A62">
      <w:pPr>
        <w:spacing w:before="100" w:beforeAutospacing="1" w:after="100" w:afterAutospacing="1"/>
        <w:jc w:val="both"/>
        <w:outlineLvl w:val="0"/>
        <w:rPr>
          <w:rFonts w:ascii="Arial" w:hAnsi="Arial" w:cs="Arial"/>
          <w:noProof/>
        </w:rPr>
      </w:pPr>
      <w:r w:rsidRPr="003F7A20">
        <w:rPr>
          <w:rFonts w:ascii="Arial" w:hAnsi="Arial" w:cs="Arial"/>
          <w:b/>
          <w:noProof/>
          <w:lang w:val="en-GB" w:eastAsia="en-GB"/>
        </w:rPr>
        <w:drawing>
          <wp:anchor distT="0" distB="0" distL="114300" distR="114300" simplePos="0" relativeHeight="251659264" behindDoc="0" locked="0" layoutInCell="1" allowOverlap="1" wp14:anchorId="2854FFDE" wp14:editId="5FE8B725">
            <wp:simplePos x="0" y="0"/>
            <wp:positionH relativeFrom="column">
              <wp:posOffset>-38100</wp:posOffset>
            </wp:positionH>
            <wp:positionV relativeFrom="paragraph">
              <wp:posOffset>144780</wp:posOffset>
            </wp:positionV>
            <wp:extent cx="6400800" cy="2783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3D3C" w14:textId="77777777" w:rsidR="002C5A62" w:rsidRPr="003F7A20" w:rsidRDefault="002C5A62" w:rsidP="002C5A62">
      <w:pPr>
        <w:spacing w:before="100" w:beforeAutospacing="1" w:after="100" w:afterAutospacing="1"/>
        <w:jc w:val="both"/>
        <w:outlineLvl w:val="0"/>
        <w:rPr>
          <w:rFonts w:ascii="Arial" w:hAnsi="Arial" w:cs="Arial"/>
          <w:noProof/>
        </w:rPr>
      </w:pPr>
    </w:p>
    <w:p w14:paraId="390B0129" w14:textId="77777777" w:rsidR="002C5A62" w:rsidRPr="003F7A20" w:rsidRDefault="002C5A62" w:rsidP="002C5A62">
      <w:pPr>
        <w:spacing w:before="100" w:beforeAutospacing="1" w:after="100" w:afterAutospacing="1"/>
        <w:jc w:val="both"/>
        <w:outlineLvl w:val="0"/>
        <w:rPr>
          <w:rFonts w:ascii="Arial" w:hAnsi="Arial" w:cs="Arial"/>
          <w:noProof/>
        </w:rPr>
      </w:pPr>
    </w:p>
    <w:p w14:paraId="76385DFA" w14:textId="77777777" w:rsidR="002C5A62" w:rsidRPr="003F7A20" w:rsidRDefault="002C5A62" w:rsidP="002C5A62">
      <w:pPr>
        <w:spacing w:before="100" w:beforeAutospacing="1" w:after="100" w:afterAutospacing="1"/>
        <w:jc w:val="both"/>
        <w:outlineLvl w:val="0"/>
        <w:rPr>
          <w:rFonts w:ascii="Arial" w:eastAsia="Calibri" w:hAnsi="Arial" w:cs="Arial"/>
          <w:b/>
          <w:lang w:val="en-ZA"/>
        </w:rPr>
      </w:pPr>
    </w:p>
    <w:p w14:paraId="6B7A4916" w14:textId="77777777" w:rsidR="002C5A62" w:rsidRPr="003F7A20" w:rsidRDefault="002C5A62" w:rsidP="002C5A62">
      <w:pPr>
        <w:spacing w:before="100" w:beforeAutospacing="1" w:after="100" w:afterAutospacing="1"/>
        <w:jc w:val="both"/>
        <w:outlineLvl w:val="0"/>
        <w:rPr>
          <w:rFonts w:ascii="Arial" w:eastAsia="Calibri" w:hAnsi="Arial" w:cs="Arial"/>
          <w:b/>
          <w:lang w:val="en-ZA"/>
        </w:rPr>
      </w:pPr>
    </w:p>
    <w:p w14:paraId="4D52C834" w14:textId="77777777" w:rsidR="002C5A62" w:rsidRPr="003F7A20" w:rsidRDefault="002C5A62" w:rsidP="002C5A62">
      <w:pPr>
        <w:spacing w:before="100" w:beforeAutospacing="1" w:after="100" w:afterAutospacing="1"/>
        <w:jc w:val="both"/>
        <w:outlineLvl w:val="0"/>
        <w:rPr>
          <w:rFonts w:ascii="Arial" w:eastAsia="Calibri" w:hAnsi="Arial" w:cs="Arial"/>
          <w:b/>
          <w:lang w:val="en-ZA"/>
        </w:rPr>
      </w:pPr>
    </w:p>
    <w:p w14:paraId="7BD74C6D" w14:textId="77777777" w:rsidR="002C5A62" w:rsidRPr="003F7A20" w:rsidRDefault="002C5A62" w:rsidP="002C5A62">
      <w:pPr>
        <w:spacing w:before="100" w:beforeAutospacing="1" w:after="100" w:afterAutospacing="1"/>
        <w:jc w:val="both"/>
        <w:outlineLvl w:val="0"/>
        <w:rPr>
          <w:rFonts w:ascii="Arial" w:eastAsia="Calibri" w:hAnsi="Arial" w:cs="Arial"/>
          <w:b/>
          <w:lang w:val="en-ZA"/>
        </w:rPr>
      </w:pPr>
    </w:p>
    <w:p w14:paraId="0D9BF420" w14:textId="77777777" w:rsidR="002C5A62" w:rsidRPr="003F7A20" w:rsidRDefault="002C5A62" w:rsidP="002C5A62">
      <w:pPr>
        <w:spacing w:before="100" w:beforeAutospacing="1" w:after="100" w:afterAutospacing="1"/>
        <w:jc w:val="both"/>
        <w:outlineLvl w:val="0"/>
        <w:rPr>
          <w:rFonts w:ascii="Arial" w:eastAsia="Calibri" w:hAnsi="Arial" w:cs="Arial"/>
          <w:b/>
          <w:lang w:val="en-ZA"/>
        </w:rPr>
      </w:pPr>
    </w:p>
    <w:p w14:paraId="32F13349" w14:textId="77777777" w:rsidR="002C5A62" w:rsidRDefault="002C5A62" w:rsidP="002C5A62">
      <w:pPr>
        <w:spacing w:before="100" w:beforeAutospacing="1" w:after="100" w:afterAutospacing="1"/>
        <w:jc w:val="both"/>
        <w:outlineLvl w:val="0"/>
        <w:rPr>
          <w:rFonts w:ascii="Arial" w:eastAsia="Calibri" w:hAnsi="Arial" w:cs="Arial"/>
          <w:lang w:val="en-ZA"/>
        </w:rPr>
      </w:pPr>
    </w:p>
    <w:p w14:paraId="6A49522E" w14:textId="77777777" w:rsidR="002C5A62" w:rsidRDefault="002C5A62" w:rsidP="001454C3">
      <w:pPr>
        <w:pStyle w:val="ListParagraph"/>
        <w:numPr>
          <w:ilvl w:val="0"/>
          <w:numId w:val="1"/>
        </w:numPr>
        <w:spacing w:before="100" w:beforeAutospacing="1" w:after="100" w:afterAutospacing="1" w:line="360" w:lineRule="auto"/>
        <w:ind w:left="567" w:hanging="567"/>
        <w:jc w:val="both"/>
        <w:outlineLvl w:val="0"/>
        <w:rPr>
          <w:rFonts w:ascii="Arial" w:eastAsia="Calibri" w:hAnsi="Arial" w:cs="Arial"/>
          <w:lang w:val="en-ZA"/>
        </w:rPr>
      </w:pPr>
      <w:r w:rsidRPr="003F7A20">
        <w:rPr>
          <w:rFonts w:ascii="Arial" w:eastAsia="Calibri" w:hAnsi="Arial" w:cs="Arial"/>
          <w:lang w:val="en-ZA"/>
        </w:rPr>
        <w:lastRenderedPageBreak/>
        <w:t xml:space="preserve">File attached. </w:t>
      </w:r>
    </w:p>
    <w:p w14:paraId="19E2A6AC" w14:textId="77777777" w:rsidR="002C5A62" w:rsidRPr="003F7A20" w:rsidRDefault="002C5A62" w:rsidP="002C5A62">
      <w:pPr>
        <w:pStyle w:val="ListParagraph"/>
        <w:spacing w:before="100" w:beforeAutospacing="1" w:after="100" w:afterAutospacing="1" w:line="360" w:lineRule="auto"/>
        <w:ind w:left="567"/>
        <w:jc w:val="both"/>
        <w:outlineLvl w:val="0"/>
        <w:rPr>
          <w:rFonts w:ascii="Arial" w:eastAsia="Calibri" w:hAnsi="Arial" w:cs="Arial"/>
          <w:lang w:val="en-ZA"/>
        </w:rPr>
      </w:pPr>
    </w:p>
    <w:p w14:paraId="2720E6E8" w14:textId="77777777" w:rsidR="002C5A62" w:rsidRDefault="002C5A62" w:rsidP="001454C3">
      <w:pPr>
        <w:pStyle w:val="ListParagraph"/>
        <w:numPr>
          <w:ilvl w:val="0"/>
          <w:numId w:val="1"/>
        </w:numPr>
        <w:tabs>
          <w:tab w:val="left" w:pos="1134"/>
        </w:tabs>
        <w:spacing w:before="100" w:beforeAutospacing="1" w:after="100" w:afterAutospacing="1" w:line="360" w:lineRule="auto"/>
        <w:ind w:left="567" w:hanging="567"/>
        <w:jc w:val="both"/>
        <w:outlineLvl w:val="0"/>
        <w:rPr>
          <w:rFonts w:ascii="Arial" w:eastAsia="Calibri" w:hAnsi="Arial" w:cs="Arial"/>
          <w:lang w:val="en-ZA"/>
        </w:rPr>
      </w:pPr>
      <w:r>
        <w:rPr>
          <w:rFonts w:ascii="Arial" w:eastAsia="Calibri" w:hAnsi="Arial" w:cs="Arial"/>
          <w:lang w:val="en-ZA"/>
        </w:rPr>
        <w:t>(i)</w:t>
      </w:r>
      <w:r>
        <w:rPr>
          <w:rFonts w:ascii="Arial" w:eastAsia="Calibri" w:hAnsi="Arial" w:cs="Arial"/>
          <w:lang w:val="en-ZA"/>
        </w:rPr>
        <w:tab/>
      </w:r>
      <w:r w:rsidRPr="003F7A20">
        <w:rPr>
          <w:rFonts w:ascii="Arial" w:eastAsia="Calibri" w:hAnsi="Arial" w:cs="Arial"/>
          <w:lang w:val="en-ZA"/>
        </w:rPr>
        <w:t xml:space="preserve">File attached. </w:t>
      </w:r>
    </w:p>
    <w:p w14:paraId="344724A1" w14:textId="77777777" w:rsidR="002C5A62" w:rsidRPr="003F7A20" w:rsidRDefault="002C5A62" w:rsidP="002C5A62">
      <w:pPr>
        <w:pStyle w:val="ListParagraph"/>
        <w:tabs>
          <w:tab w:val="left" w:pos="1134"/>
        </w:tabs>
        <w:spacing w:before="100" w:beforeAutospacing="1" w:after="100" w:afterAutospacing="1" w:line="360" w:lineRule="auto"/>
        <w:ind w:left="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r>
      <w:r w:rsidRPr="003F7A20">
        <w:rPr>
          <w:rFonts w:ascii="Arial" w:eastAsia="Calibri" w:hAnsi="Arial" w:cs="Arial"/>
          <w:lang w:val="en-ZA"/>
        </w:rPr>
        <w:t>As can be seen from the numbers involv</w:t>
      </w:r>
      <w:r>
        <w:rPr>
          <w:rFonts w:ascii="Arial" w:eastAsia="Calibri" w:hAnsi="Arial" w:cs="Arial"/>
          <w:lang w:val="en-ZA"/>
        </w:rPr>
        <w:t>ed, investigations internally are</w:t>
      </w:r>
      <w:r w:rsidRPr="003F7A20">
        <w:rPr>
          <w:rFonts w:ascii="Arial" w:eastAsia="Calibri" w:hAnsi="Arial" w:cs="Arial"/>
          <w:lang w:val="en-ZA"/>
        </w:rPr>
        <w:t xml:space="preserve"> not done for each and </w:t>
      </w:r>
      <w:bookmarkStart w:id="0" w:name="_GoBack"/>
      <w:bookmarkEnd w:id="0"/>
      <w:r w:rsidRPr="003F7A20">
        <w:rPr>
          <w:rFonts w:ascii="Arial" w:eastAsia="Calibri" w:hAnsi="Arial" w:cs="Arial"/>
          <w:lang w:val="en-ZA"/>
        </w:rPr>
        <w:t xml:space="preserve">every case. Cases are opened with SAPS with the available information and the results of SAPS investigations is included in </w:t>
      </w:r>
      <w:r>
        <w:rPr>
          <w:rFonts w:ascii="Arial" w:eastAsia="Calibri" w:hAnsi="Arial" w:cs="Arial"/>
          <w:lang w:val="en-ZA"/>
        </w:rPr>
        <w:t>(</w:t>
      </w:r>
      <w:r w:rsidRPr="003F7A20">
        <w:rPr>
          <w:rFonts w:ascii="Arial" w:eastAsia="Calibri" w:hAnsi="Arial" w:cs="Arial"/>
          <w:lang w:val="en-ZA"/>
        </w:rPr>
        <w:t>c)</w:t>
      </w:r>
      <w:r>
        <w:rPr>
          <w:rFonts w:ascii="Arial" w:eastAsia="Calibri" w:hAnsi="Arial" w:cs="Arial"/>
          <w:lang w:val="en-ZA"/>
        </w:rPr>
        <w:t>(</w:t>
      </w:r>
      <w:r w:rsidRPr="003F7A20">
        <w:rPr>
          <w:rFonts w:ascii="Arial" w:eastAsia="Calibri" w:hAnsi="Arial" w:cs="Arial"/>
          <w:lang w:val="en-ZA"/>
        </w:rPr>
        <w:t xml:space="preserve">i). The Prasa Rescue plan includes actions to address the protection of assets in the Metrorail environment. </w:t>
      </w:r>
    </w:p>
    <w:p w14:paraId="4A58E5C0" w14:textId="77777777" w:rsidR="00660126" w:rsidRPr="00697D7E" w:rsidRDefault="00660126" w:rsidP="00DC68E2">
      <w:pPr>
        <w:pStyle w:val="ListParagraph"/>
        <w:spacing w:before="100" w:beforeAutospacing="1" w:after="100" w:afterAutospacing="1" w:line="360" w:lineRule="auto"/>
        <w:ind w:left="360"/>
        <w:jc w:val="both"/>
        <w:outlineLvl w:val="0"/>
        <w:rPr>
          <w:rFonts w:ascii="Arial" w:eastAsia="Calibri" w:hAnsi="Arial" w:cs="Arial"/>
          <w:lang w:val="en-ZA"/>
        </w:rPr>
      </w:pPr>
    </w:p>
    <w:p w14:paraId="4F72E33F"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0584C254" w14:textId="77777777" w:rsidR="00660126" w:rsidRPr="00697D7E" w:rsidRDefault="00660126" w:rsidP="00DC68E2">
      <w:pPr>
        <w:spacing w:before="100" w:beforeAutospacing="1" w:after="100" w:afterAutospacing="1" w:line="360" w:lineRule="auto"/>
        <w:jc w:val="both"/>
        <w:outlineLvl w:val="0"/>
        <w:rPr>
          <w:rFonts w:ascii="Arial" w:eastAsia="Calibri" w:hAnsi="Arial" w:cs="Arial"/>
          <w:b/>
          <w:lang w:val="en-ZA"/>
        </w:rPr>
      </w:pPr>
    </w:p>
    <w:p w14:paraId="511FCD35" w14:textId="77777777" w:rsidR="00660126" w:rsidRPr="00697D7E" w:rsidRDefault="00660126" w:rsidP="00DC68E2">
      <w:pPr>
        <w:spacing w:after="0" w:line="360" w:lineRule="auto"/>
        <w:jc w:val="both"/>
        <w:outlineLvl w:val="0"/>
        <w:rPr>
          <w:rFonts w:ascii="Arial" w:eastAsia="Calibri" w:hAnsi="Arial" w:cs="Arial"/>
          <w:lang w:val="en-ZA"/>
        </w:rPr>
      </w:pPr>
    </w:p>
    <w:p w14:paraId="76C43CEC" w14:textId="0A55430E" w:rsidR="001068D0" w:rsidRPr="00697D7E" w:rsidRDefault="001068D0" w:rsidP="00DC68E2">
      <w:pPr>
        <w:spacing w:line="360" w:lineRule="auto"/>
        <w:jc w:val="both"/>
        <w:rPr>
          <w:rFonts w:ascii="Arial" w:hAnsi="Arial" w:cs="Arial"/>
        </w:rPr>
      </w:pPr>
    </w:p>
    <w:sectPr w:rsidR="001068D0" w:rsidRPr="00697D7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91C5" w14:textId="77777777" w:rsidR="001454C3" w:rsidRDefault="001454C3" w:rsidP="00DB1508">
      <w:pPr>
        <w:spacing w:after="0" w:line="240" w:lineRule="auto"/>
      </w:pPr>
      <w:r>
        <w:separator/>
      </w:r>
    </w:p>
  </w:endnote>
  <w:endnote w:type="continuationSeparator" w:id="0">
    <w:p w14:paraId="01D16744" w14:textId="77777777" w:rsidR="001454C3" w:rsidRDefault="001454C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1763" w14:textId="77777777" w:rsidR="001454C3" w:rsidRDefault="001454C3" w:rsidP="00DB1508">
      <w:pPr>
        <w:spacing w:after="0" w:line="240" w:lineRule="auto"/>
      </w:pPr>
      <w:r>
        <w:separator/>
      </w:r>
    </w:p>
  </w:footnote>
  <w:footnote w:type="continuationSeparator" w:id="0">
    <w:p w14:paraId="41D58983" w14:textId="77777777" w:rsidR="001454C3" w:rsidRDefault="001454C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CAB"/>
    <w:multiLevelType w:val="hybridMultilevel"/>
    <w:tmpl w:val="F5FC7674"/>
    <w:lvl w:ilvl="0" w:tplc="10B685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54C3"/>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897F-C502-4C80-87FE-82ADB74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2018-09-13T07:42:00Z</dcterms:created>
  <dcterms:modified xsi:type="dcterms:W3CDTF">2018-09-13T07:42:00Z</dcterms:modified>
</cp:coreProperties>
</file>