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AC" w:rsidRPr="00CA3B8A" w:rsidRDefault="00BF5916" w:rsidP="00BF5916">
      <w:pPr>
        <w:ind w:left="100" w:right="5436"/>
        <w:rPr>
          <w:b/>
          <w:sz w:val="20"/>
          <w:szCs w:val="20"/>
        </w:rPr>
      </w:pPr>
      <w:r w:rsidRPr="00CA3B8A">
        <w:rPr>
          <w:b/>
          <w:sz w:val="20"/>
          <w:szCs w:val="20"/>
        </w:rPr>
        <w:t>NATIONAL ASSEMBLY QUESTION FOR WRITTEN REPLY</w:t>
      </w:r>
    </w:p>
    <w:p w:rsidR="00BB37AC" w:rsidRPr="00CA3B8A" w:rsidRDefault="00BF5916" w:rsidP="00BF5916">
      <w:pPr>
        <w:tabs>
          <w:tab w:val="left" w:pos="2260"/>
        </w:tabs>
        <w:ind w:left="100"/>
        <w:rPr>
          <w:b/>
          <w:sz w:val="20"/>
          <w:szCs w:val="20"/>
        </w:rPr>
      </w:pPr>
      <w:r w:rsidRPr="00CA3B8A">
        <w:rPr>
          <w:b/>
          <w:sz w:val="20"/>
          <w:szCs w:val="20"/>
        </w:rPr>
        <w:t>DATE:</w:t>
      </w:r>
      <w:r w:rsidRPr="00CA3B8A">
        <w:rPr>
          <w:b/>
          <w:sz w:val="20"/>
          <w:szCs w:val="20"/>
        </w:rPr>
        <w:tab/>
        <w:t>12 NOVEMBER 2021</w:t>
      </w:r>
    </w:p>
    <w:p w:rsidR="00BB37AC" w:rsidRPr="00CA3B8A" w:rsidRDefault="00BB37AC" w:rsidP="00BF5916">
      <w:pPr>
        <w:pStyle w:val="BodyText"/>
        <w:rPr>
          <w:b/>
          <w:sz w:val="20"/>
          <w:szCs w:val="20"/>
        </w:rPr>
      </w:pPr>
    </w:p>
    <w:p w:rsidR="00BB37AC" w:rsidRPr="00CA3B8A" w:rsidRDefault="00BF5916" w:rsidP="00BF5916">
      <w:pPr>
        <w:tabs>
          <w:tab w:val="left" w:pos="2260"/>
        </w:tabs>
        <w:ind w:left="100"/>
        <w:rPr>
          <w:b/>
          <w:sz w:val="20"/>
          <w:szCs w:val="20"/>
        </w:rPr>
      </w:pPr>
      <w:r w:rsidRPr="00CA3B8A">
        <w:rPr>
          <w:b/>
          <w:sz w:val="20"/>
          <w:szCs w:val="20"/>
        </w:rPr>
        <w:t>QUESTION</w:t>
      </w:r>
      <w:r w:rsidRPr="00CA3B8A">
        <w:rPr>
          <w:b/>
          <w:spacing w:val="-1"/>
          <w:sz w:val="20"/>
          <w:szCs w:val="20"/>
        </w:rPr>
        <w:t xml:space="preserve"> </w:t>
      </w:r>
      <w:r w:rsidRPr="00CA3B8A">
        <w:rPr>
          <w:b/>
          <w:sz w:val="20"/>
          <w:szCs w:val="20"/>
        </w:rPr>
        <w:t>NO.:</w:t>
      </w:r>
      <w:r w:rsidRPr="00CA3B8A">
        <w:rPr>
          <w:b/>
          <w:sz w:val="20"/>
          <w:szCs w:val="20"/>
        </w:rPr>
        <w:tab/>
        <w:t>2421.</w:t>
      </w:r>
    </w:p>
    <w:p w:rsidR="00BB37AC" w:rsidRPr="00CA3B8A" w:rsidRDefault="00BB37AC" w:rsidP="00BF5916">
      <w:pPr>
        <w:pStyle w:val="BodyText"/>
        <w:rPr>
          <w:b/>
          <w:sz w:val="20"/>
          <w:szCs w:val="20"/>
        </w:rPr>
      </w:pPr>
    </w:p>
    <w:p w:rsidR="00BB37AC" w:rsidRPr="00CA3B8A" w:rsidRDefault="00BF5916" w:rsidP="00BF5916">
      <w:pPr>
        <w:ind w:left="100"/>
        <w:rPr>
          <w:b/>
          <w:sz w:val="20"/>
          <w:szCs w:val="20"/>
        </w:rPr>
      </w:pPr>
      <w:r w:rsidRPr="00CA3B8A">
        <w:rPr>
          <w:b/>
          <w:sz w:val="20"/>
          <w:szCs w:val="20"/>
        </w:rPr>
        <w:t xml:space="preserve">Dr M </w:t>
      </w:r>
      <w:proofErr w:type="spellStart"/>
      <w:r w:rsidRPr="00CA3B8A">
        <w:rPr>
          <w:b/>
          <w:sz w:val="20"/>
          <w:szCs w:val="20"/>
        </w:rPr>
        <w:t>M</w:t>
      </w:r>
      <w:proofErr w:type="spellEnd"/>
      <w:r w:rsidRPr="00CA3B8A">
        <w:rPr>
          <w:b/>
          <w:sz w:val="20"/>
          <w:szCs w:val="20"/>
        </w:rPr>
        <w:t xml:space="preserve"> </w:t>
      </w:r>
      <w:proofErr w:type="spellStart"/>
      <w:r w:rsidRPr="00CA3B8A">
        <w:rPr>
          <w:b/>
          <w:sz w:val="20"/>
          <w:szCs w:val="20"/>
        </w:rPr>
        <w:t>Gondwe</w:t>
      </w:r>
      <w:proofErr w:type="spellEnd"/>
      <w:r w:rsidRPr="00CA3B8A">
        <w:rPr>
          <w:b/>
          <w:sz w:val="20"/>
          <w:szCs w:val="20"/>
        </w:rPr>
        <w:t xml:space="preserve"> (DA) to ask the Minister of Public Service and Administration:</w:t>
      </w:r>
    </w:p>
    <w:p w:rsidR="00BB37AC" w:rsidRPr="00CA3B8A" w:rsidRDefault="00BB37AC" w:rsidP="00BF5916">
      <w:pPr>
        <w:pStyle w:val="BodyText"/>
        <w:rPr>
          <w:b/>
          <w:sz w:val="20"/>
          <w:szCs w:val="20"/>
        </w:rPr>
      </w:pPr>
    </w:p>
    <w:p w:rsidR="00BB37AC" w:rsidRPr="00CA3B8A" w:rsidRDefault="00BF5916" w:rsidP="00BF5916">
      <w:pPr>
        <w:pStyle w:val="BodyText"/>
        <w:tabs>
          <w:tab w:val="left" w:pos="8021"/>
        </w:tabs>
        <w:ind w:left="100" w:right="102"/>
        <w:rPr>
          <w:b/>
          <w:sz w:val="20"/>
          <w:szCs w:val="20"/>
        </w:rPr>
      </w:pPr>
      <w:r w:rsidRPr="00CA3B8A">
        <w:rPr>
          <w:sz w:val="20"/>
          <w:szCs w:val="20"/>
        </w:rPr>
        <w:t>What (a) total number of Public Service employees are currently facing disciplinary hearings in government departments other than in those that they are currently employed</w:t>
      </w:r>
      <w:r w:rsidRPr="00CA3B8A">
        <w:rPr>
          <w:spacing w:val="-8"/>
          <w:sz w:val="20"/>
          <w:szCs w:val="20"/>
        </w:rPr>
        <w:t xml:space="preserve"> </w:t>
      </w:r>
      <w:r w:rsidRPr="00CA3B8A">
        <w:rPr>
          <w:sz w:val="20"/>
          <w:szCs w:val="20"/>
        </w:rPr>
        <w:t>in</w:t>
      </w:r>
      <w:r w:rsidRPr="00CA3B8A">
        <w:rPr>
          <w:spacing w:val="-8"/>
          <w:sz w:val="20"/>
          <w:szCs w:val="20"/>
        </w:rPr>
        <w:t xml:space="preserve"> </w:t>
      </w:r>
      <w:r w:rsidRPr="00CA3B8A">
        <w:rPr>
          <w:sz w:val="20"/>
          <w:szCs w:val="20"/>
        </w:rPr>
        <w:t>and</w:t>
      </w:r>
      <w:r w:rsidRPr="00CA3B8A">
        <w:rPr>
          <w:spacing w:val="-7"/>
          <w:sz w:val="20"/>
          <w:szCs w:val="20"/>
        </w:rPr>
        <w:t xml:space="preserve"> </w:t>
      </w:r>
      <w:r w:rsidRPr="00CA3B8A">
        <w:rPr>
          <w:sz w:val="20"/>
          <w:szCs w:val="20"/>
        </w:rPr>
        <w:t>(b)</w:t>
      </w:r>
      <w:r w:rsidRPr="00CA3B8A">
        <w:rPr>
          <w:spacing w:val="-9"/>
          <w:sz w:val="20"/>
          <w:szCs w:val="20"/>
        </w:rPr>
        <w:t xml:space="preserve"> </w:t>
      </w:r>
      <w:r w:rsidRPr="00CA3B8A">
        <w:rPr>
          <w:sz w:val="20"/>
          <w:szCs w:val="20"/>
        </w:rPr>
        <w:t>is</w:t>
      </w:r>
      <w:r w:rsidRPr="00CA3B8A">
        <w:rPr>
          <w:spacing w:val="-12"/>
          <w:sz w:val="20"/>
          <w:szCs w:val="20"/>
        </w:rPr>
        <w:t xml:space="preserve"> </w:t>
      </w:r>
      <w:r w:rsidRPr="00CA3B8A">
        <w:rPr>
          <w:sz w:val="20"/>
          <w:szCs w:val="20"/>
        </w:rPr>
        <w:t>the</w:t>
      </w:r>
      <w:r w:rsidRPr="00CA3B8A">
        <w:rPr>
          <w:spacing w:val="-7"/>
          <w:sz w:val="20"/>
          <w:szCs w:val="20"/>
        </w:rPr>
        <w:t xml:space="preserve"> </w:t>
      </w:r>
      <w:r w:rsidRPr="00CA3B8A">
        <w:rPr>
          <w:sz w:val="20"/>
          <w:szCs w:val="20"/>
        </w:rPr>
        <w:t>breakdown</w:t>
      </w:r>
      <w:r w:rsidRPr="00CA3B8A">
        <w:rPr>
          <w:spacing w:val="-7"/>
          <w:sz w:val="20"/>
          <w:szCs w:val="20"/>
        </w:rPr>
        <w:t xml:space="preserve"> </w:t>
      </w:r>
      <w:r w:rsidRPr="00CA3B8A">
        <w:rPr>
          <w:sz w:val="20"/>
          <w:szCs w:val="20"/>
        </w:rPr>
        <w:t>of</w:t>
      </w:r>
      <w:r w:rsidRPr="00CA3B8A">
        <w:rPr>
          <w:spacing w:val="-6"/>
          <w:sz w:val="20"/>
          <w:szCs w:val="20"/>
        </w:rPr>
        <w:t xml:space="preserve"> </w:t>
      </w:r>
      <w:r w:rsidRPr="00CA3B8A">
        <w:rPr>
          <w:sz w:val="20"/>
          <w:szCs w:val="20"/>
        </w:rPr>
        <w:t>the</w:t>
      </w:r>
      <w:r w:rsidRPr="00CA3B8A">
        <w:rPr>
          <w:spacing w:val="-8"/>
          <w:sz w:val="20"/>
          <w:szCs w:val="20"/>
        </w:rPr>
        <w:t xml:space="preserve"> </w:t>
      </w:r>
      <w:r w:rsidRPr="00CA3B8A">
        <w:rPr>
          <w:sz w:val="20"/>
          <w:szCs w:val="20"/>
        </w:rPr>
        <w:t>number</w:t>
      </w:r>
      <w:r w:rsidRPr="00CA3B8A">
        <w:rPr>
          <w:spacing w:val="-9"/>
          <w:sz w:val="20"/>
          <w:szCs w:val="20"/>
        </w:rPr>
        <w:t xml:space="preserve"> </w:t>
      </w:r>
      <w:r w:rsidRPr="00CA3B8A">
        <w:rPr>
          <w:sz w:val="20"/>
          <w:szCs w:val="20"/>
        </w:rPr>
        <w:t>in</w:t>
      </w:r>
      <w:r w:rsidRPr="00CA3B8A">
        <w:rPr>
          <w:spacing w:val="-8"/>
          <w:sz w:val="20"/>
          <w:szCs w:val="20"/>
        </w:rPr>
        <w:t xml:space="preserve"> </w:t>
      </w:r>
      <w:r w:rsidRPr="00CA3B8A">
        <w:rPr>
          <w:sz w:val="20"/>
          <w:szCs w:val="20"/>
        </w:rPr>
        <w:t>terms</w:t>
      </w:r>
      <w:r w:rsidRPr="00CA3B8A">
        <w:rPr>
          <w:spacing w:val="-11"/>
          <w:sz w:val="20"/>
          <w:szCs w:val="20"/>
        </w:rPr>
        <w:t xml:space="preserve"> </w:t>
      </w:r>
      <w:r w:rsidRPr="00CA3B8A">
        <w:rPr>
          <w:sz w:val="20"/>
          <w:szCs w:val="20"/>
        </w:rPr>
        <w:t>of</w:t>
      </w:r>
      <w:r w:rsidRPr="00CA3B8A">
        <w:rPr>
          <w:spacing w:val="-6"/>
          <w:sz w:val="20"/>
          <w:szCs w:val="20"/>
        </w:rPr>
        <w:t xml:space="preserve"> </w:t>
      </w:r>
      <w:r w:rsidRPr="00CA3B8A">
        <w:rPr>
          <w:sz w:val="20"/>
          <w:szCs w:val="20"/>
        </w:rPr>
        <w:t>each</w:t>
      </w:r>
      <w:r w:rsidRPr="00CA3B8A">
        <w:rPr>
          <w:spacing w:val="-11"/>
          <w:sz w:val="20"/>
          <w:szCs w:val="20"/>
        </w:rPr>
        <w:t xml:space="preserve"> </w:t>
      </w:r>
      <w:r w:rsidRPr="00CA3B8A">
        <w:rPr>
          <w:sz w:val="20"/>
          <w:szCs w:val="20"/>
        </w:rPr>
        <w:t>(</w:t>
      </w:r>
      <w:proofErr w:type="spellStart"/>
      <w:r w:rsidRPr="00CA3B8A">
        <w:rPr>
          <w:sz w:val="20"/>
          <w:szCs w:val="20"/>
        </w:rPr>
        <w:t>i</w:t>
      </w:r>
      <w:proofErr w:type="spellEnd"/>
      <w:r w:rsidRPr="00CA3B8A">
        <w:rPr>
          <w:sz w:val="20"/>
          <w:szCs w:val="20"/>
        </w:rPr>
        <w:t>)</w:t>
      </w:r>
      <w:r w:rsidRPr="00CA3B8A">
        <w:rPr>
          <w:spacing w:val="-9"/>
          <w:sz w:val="20"/>
          <w:szCs w:val="20"/>
        </w:rPr>
        <w:t xml:space="preserve"> </w:t>
      </w:r>
      <w:r w:rsidRPr="00CA3B8A">
        <w:rPr>
          <w:sz w:val="20"/>
          <w:szCs w:val="20"/>
        </w:rPr>
        <w:t>national</w:t>
      </w:r>
      <w:r w:rsidRPr="00CA3B8A">
        <w:rPr>
          <w:spacing w:val="-9"/>
          <w:sz w:val="20"/>
          <w:szCs w:val="20"/>
        </w:rPr>
        <w:t xml:space="preserve"> </w:t>
      </w:r>
      <w:r w:rsidRPr="00CA3B8A">
        <w:rPr>
          <w:sz w:val="20"/>
          <w:szCs w:val="20"/>
        </w:rPr>
        <w:t>and</w:t>
      </w:r>
      <w:r w:rsidRPr="00CA3B8A">
        <w:rPr>
          <w:spacing w:val="-7"/>
          <w:sz w:val="20"/>
          <w:szCs w:val="20"/>
        </w:rPr>
        <w:t xml:space="preserve"> </w:t>
      </w:r>
      <w:r w:rsidRPr="00CA3B8A">
        <w:rPr>
          <w:sz w:val="20"/>
          <w:szCs w:val="20"/>
        </w:rPr>
        <w:t>(ii) pro</w:t>
      </w:r>
      <w:r w:rsidRPr="00CA3B8A">
        <w:rPr>
          <w:sz w:val="20"/>
          <w:szCs w:val="20"/>
        </w:rPr>
        <w:t>vincial</w:t>
      </w:r>
      <w:r w:rsidRPr="00CA3B8A">
        <w:rPr>
          <w:spacing w:val="-3"/>
          <w:sz w:val="20"/>
          <w:szCs w:val="20"/>
        </w:rPr>
        <w:t xml:space="preserve"> </w:t>
      </w:r>
      <w:r w:rsidRPr="00CA3B8A">
        <w:rPr>
          <w:sz w:val="20"/>
          <w:szCs w:val="20"/>
        </w:rPr>
        <w:t>department?</w:t>
      </w:r>
      <w:r w:rsidRPr="00CA3B8A">
        <w:rPr>
          <w:sz w:val="20"/>
          <w:szCs w:val="20"/>
        </w:rPr>
        <w:tab/>
      </w:r>
      <w:r w:rsidRPr="00CA3B8A">
        <w:rPr>
          <w:b/>
          <w:sz w:val="20"/>
          <w:szCs w:val="20"/>
        </w:rPr>
        <w:t>NW2797E</w:t>
      </w:r>
    </w:p>
    <w:p w:rsidR="00BB37AC" w:rsidRPr="00CA3B8A" w:rsidRDefault="00BB37AC" w:rsidP="00BF5916">
      <w:pPr>
        <w:pStyle w:val="BodyText"/>
        <w:rPr>
          <w:b/>
          <w:sz w:val="20"/>
          <w:szCs w:val="20"/>
        </w:rPr>
      </w:pPr>
    </w:p>
    <w:p w:rsidR="00BB37AC" w:rsidRPr="00CA3B8A" w:rsidRDefault="00BF5916" w:rsidP="00BF5916">
      <w:pPr>
        <w:ind w:left="100"/>
        <w:rPr>
          <w:b/>
          <w:sz w:val="20"/>
          <w:szCs w:val="20"/>
        </w:rPr>
      </w:pPr>
      <w:r w:rsidRPr="00CA3B8A">
        <w:rPr>
          <w:b/>
          <w:sz w:val="20"/>
          <w:szCs w:val="20"/>
          <w:u w:val="thick"/>
        </w:rPr>
        <w:t>REPLY:</w:t>
      </w:r>
    </w:p>
    <w:p w:rsidR="00BB37AC" w:rsidRPr="00CA3B8A" w:rsidRDefault="00BB37AC" w:rsidP="00BF5916">
      <w:pPr>
        <w:pStyle w:val="BodyText"/>
        <w:rPr>
          <w:b/>
          <w:sz w:val="20"/>
          <w:szCs w:val="20"/>
        </w:rPr>
      </w:pPr>
    </w:p>
    <w:p w:rsidR="00BB37AC" w:rsidRPr="00CA3B8A" w:rsidRDefault="00BF5916" w:rsidP="00BF5916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sz w:val="20"/>
          <w:szCs w:val="20"/>
        </w:rPr>
      </w:pPr>
      <w:r w:rsidRPr="00CA3B8A">
        <w:rPr>
          <w:sz w:val="20"/>
          <w:szCs w:val="20"/>
        </w:rPr>
        <w:t xml:space="preserve">The DPSA does not keep the information as discipline management is a </w:t>
      </w:r>
      <w:proofErr w:type="spellStart"/>
      <w:r w:rsidRPr="00CA3B8A">
        <w:rPr>
          <w:sz w:val="20"/>
          <w:szCs w:val="20"/>
        </w:rPr>
        <w:t>decentralised</w:t>
      </w:r>
      <w:proofErr w:type="spellEnd"/>
      <w:r w:rsidRPr="00CA3B8A">
        <w:rPr>
          <w:spacing w:val="-20"/>
          <w:sz w:val="20"/>
          <w:szCs w:val="20"/>
        </w:rPr>
        <w:t xml:space="preserve"> </w:t>
      </w:r>
      <w:r w:rsidRPr="00CA3B8A">
        <w:rPr>
          <w:sz w:val="20"/>
          <w:szCs w:val="20"/>
        </w:rPr>
        <w:t>function</w:t>
      </w:r>
      <w:r w:rsidRPr="00CA3B8A">
        <w:rPr>
          <w:spacing w:val="-20"/>
          <w:sz w:val="20"/>
          <w:szCs w:val="20"/>
        </w:rPr>
        <w:t xml:space="preserve"> </w:t>
      </w:r>
      <w:r w:rsidRPr="00CA3B8A">
        <w:rPr>
          <w:sz w:val="20"/>
          <w:szCs w:val="20"/>
        </w:rPr>
        <w:t>of</w:t>
      </w:r>
      <w:r w:rsidRPr="00CA3B8A">
        <w:rPr>
          <w:spacing w:val="-17"/>
          <w:sz w:val="20"/>
          <w:szCs w:val="20"/>
        </w:rPr>
        <w:t xml:space="preserve"> </w:t>
      </w:r>
      <w:r w:rsidRPr="00CA3B8A">
        <w:rPr>
          <w:sz w:val="20"/>
          <w:szCs w:val="20"/>
        </w:rPr>
        <w:t>departments.</w:t>
      </w:r>
      <w:r w:rsidRPr="00CA3B8A">
        <w:rPr>
          <w:spacing w:val="-16"/>
          <w:sz w:val="20"/>
          <w:szCs w:val="20"/>
        </w:rPr>
        <w:t xml:space="preserve"> </w:t>
      </w:r>
      <w:r w:rsidRPr="00CA3B8A">
        <w:rPr>
          <w:sz w:val="20"/>
          <w:szCs w:val="20"/>
        </w:rPr>
        <w:t>The</w:t>
      </w:r>
      <w:r w:rsidRPr="00CA3B8A">
        <w:rPr>
          <w:spacing w:val="-19"/>
          <w:sz w:val="20"/>
          <w:szCs w:val="20"/>
        </w:rPr>
        <w:t xml:space="preserve"> </w:t>
      </w:r>
      <w:r w:rsidRPr="00CA3B8A">
        <w:rPr>
          <w:sz w:val="20"/>
          <w:szCs w:val="20"/>
        </w:rPr>
        <w:t>purpose</w:t>
      </w:r>
      <w:r w:rsidRPr="00CA3B8A">
        <w:rPr>
          <w:spacing w:val="-18"/>
          <w:sz w:val="20"/>
          <w:szCs w:val="20"/>
        </w:rPr>
        <w:t xml:space="preserve"> </w:t>
      </w:r>
      <w:r w:rsidRPr="00CA3B8A">
        <w:rPr>
          <w:sz w:val="20"/>
          <w:szCs w:val="20"/>
        </w:rPr>
        <w:t>of</w:t>
      </w:r>
      <w:r w:rsidRPr="00CA3B8A">
        <w:rPr>
          <w:spacing w:val="-16"/>
          <w:sz w:val="20"/>
          <w:szCs w:val="20"/>
        </w:rPr>
        <w:t xml:space="preserve"> </w:t>
      </w:r>
      <w:r w:rsidRPr="00CA3B8A">
        <w:rPr>
          <w:sz w:val="20"/>
          <w:szCs w:val="20"/>
        </w:rPr>
        <w:t>sec</w:t>
      </w:r>
      <w:r w:rsidRPr="00CA3B8A">
        <w:rPr>
          <w:spacing w:val="-19"/>
          <w:sz w:val="20"/>
          <w:szCs w:val="20"/>
        </w:rPr>
        <w:t xml:space="preserve"> </w:t>
      </w:r>
      <w:proofErr w:type="gramStart"/>
      <w:r w:rsidRPr="00CA3B8A">
        <w:rPr>
          <w:sz w:val="20"/>
          <w:szCs w:val="20"/>
        </w:rPr>
        <w:t>16B(</w:t>
      </w:r>
      <w:proofErr w:type="gramEnd"/>
      <w:r w:rsidRPr="00CA3B8A">
        <w:rPr>
          <w:sz w:val="20"/>
          <w:szCs w:val="20"/>
        </w:rPr>
        <w:t>4)(b)</w:t>
      </w:r>
      <w:r w:rsidRPr="00CA3B8A">
        <w:rPr>
          <w:spacing w:val="-19"/>
          <w:sz w:val="20"/>
          <w:szCs w:val="20"/>
        </w:rPr>
        <w:t xml:space="preserve"> </w:t>
      </w:r>
      <w:r w:rsidRPr="00CA3B8A">
        <w:rPr>
          <w:sz w:val="20"/>
          <w:szCs w:val="20"/>
        </w:rPr>
        <w:t>of</w:t>
      </w:r>
      <w:r w:rsidRPr="00CA3B8A">
        <w:rPr>
          <w:spacing w:val="-16"/>
          <w:sz w:val="20"/>
          <w:szCs w:val="20"/>
        </w:rPr>
        <w:t xml:space="preserve"> </w:t>
      </w:r>
      <w:r w:rsidRPr="00CA3B8A">
        <w:rPr>
          <w:sz w:val="20"/>
          <w:szCs w:val="20"/>
        </w:rPr>
        <w:t>the</w:t>
      </w:r>
      <w:r w:rsidRPr="00CA3B8A">
        <w:rPr>
          <w:spacing w:val="-20"/>
          <w:sz w:val="20"/>
          <w:szCs w:val="20"/>
        </w:rPr>
        <w:t xml:space="preserve"> </w:t>
      </w:r>
      <w:r w:rsidRPr="00CA3B8A">
        <w:rPr>
          <w:sz w:val="20"/>
          <w:szCs w:val="20"/>
        </w:rPr>
        <w:t xml:space="preserve">Public Service Act 103 0f 1994 was to ensure that employees who try to escape discipline by moving from one department to another, are held accountable for their action(s). Section </w:t>
      </w:r>
      <w:proofErr w:type="gramStart"/>
      <w:r w:rsidRPr="00CA3B8A">
        <w:rPr>
          <w:sz w:val="20"/>
          <w:szCs w:val="20"/>
        </w:rPr>
        <w:t>16B(</w:t>
      </w:r>
      <w:proofErr w:type="gramEnd"/>
      <w:r w:rsidRPr="00CA3B8A">
        <w:rPr>
          <w:sz w:val="20"/>
          <w:szCs w:val="20"/>
        </w:rPr>
        <w:t>4)(a), provides that the disciplinary hearing of an employee may be tra</w:t>
      </w:r>
      <w:r w:rsidRPr="00CA3B8A">
        <w:rPr>
          <w:sz w:val="20"/>
          <w:szCs w:val="20"/>
        </w:rPr>
        <w:t>nsferred to the department where he or she is to be employed. 16B (4</w:t>
      </w:r>
      <w:proofErr w:type="gramStart"/>
      <w:r w:rsidRPr="00CA3B8A">
        <w:rPr>
          <w:sz w:val="20"/>
          <w:szCs w:val="20"/>
        </w:rPr>
        <w:t>)(</w:t>
      </w:r>
      <w:proofErr w:type="gramEnd"/>
      <w:r w:rsidRPr="00CA3B8A">
        <w:rPr>
          <w:sz w:val="20"/>
          <w:szCs w:val="20"/>
        </w:rPr>
        <w:t>b) provides that a department can request the department of a former employee to institute or continue with a disciplinary case. As such, it is not possible for one department to discipl</w:t>
      </w:r>
      <w:r w:rsidRPr="00CA3B8A">
        <w:rPr>
          <w:sz w:val="20"/>
          <w:szCs w:val="20"/>
        </w:rPr>
        <w:t>ine an employee from another department, without being instructed to do so. The DPSA is contemplating issuing a Directive to give clarity on the</w:t>
      </w:r>
      <w:r w:rsidRPr="00CA3B8A">
        <w:rPr>
          <w:spacing w:val="-4"/>
          <w:sz w:val="20"/>
          <w:szCs w:val="20"/>
        </w:rPr>
        <w:t xml:space="preserve"> </w:t>
      </w:r>
      <w:r w:rsidRPr="00CA3B8A">
        <w:rPr>
          <w:sz w:val="20"/>
          <w:szCs w:val="20"/>
        </w:rPr>
        <w:t>above.</w:t>
      </w:r>
    </w:p>
    <w:p w:rsidR="00BB37AC" w:rsidRPr="00CA3B8A" w:rsidRDefault="00BF5916" w:rsidP="00BF5916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101"/>
        <w:rPr>
          <w:sz w:val="20"/>
          <w:szCs w:val="20"/>
        </w:rPr>
      </w:pPr>
      <w:r w:rsidRPr="00CA3B8A">
        <w:rPr>
          <w:sz w:val="20"/>
          <w:szCs w:val="20"/>
        </w:rPr>
        <w:t>(</w:t>
      </w:r>
      <w:proofErr w:type="spellStart"/>
      <w:r w:rsidRPr="00CA3B8A">
        <w:rPr>
          <w:sz w:val="20"/>
          <w:szCs w:val="20"/>
        </w:rPr>
        <w:t>i</w:t>
      </w:r>
      <w:proofErr w:type="spellEnd"/>
      <w:r w:rsidRPr="00CA3B8A">
        <w:rPr>
          <w:sz w:val="20"/>
          <w:szCs w:val="20"/>
        </w:rPr>
        <w:t xml:space="preserve">) </w:t>
      </w:r>
      <w:proofErr w:type="gramStart"/>
      <w:r w:rsidRPr="00CA3B8A">
        <w:rPr>
          <w:sz w:val="20"/>
          <w:szCs w:val="20"/>
        </w:rPr>
        <w:t>and</w:t>
      </w:r>
      <w:proofErr w:type="gramEnd"/>
      <w:r w:rsidRPr="00CA3B8A">
        <w:rPr>
          <w:sz w:val="20"/>
          <w:szCs w:val="20"/>
        </w:rPr>
        <w:t xml:space="preserve"> (ii) A Circular was prepared to source this information from departments and it will be shared w</w:t>
      </w:r>
      <w:r w:rsidRPr="00CA3B8A">
        <w:rPr>
          <w:sz w:val="20"/>
          <w:szCs w:val="20"/>
        </w:rPr>
        <w:t>ith Parliament once it has been</w:t>
      </w:r>
      <w:r w:rsidRPr="00CA3B8A">
        <w:rPr>
          <w:spacing w:val="-8"/>
          <w:sz w:val="20"/>
          <w:szCs w:val="20"/>
        </w:rPr>
        <w:t xml:space="preserve"> </w:t>
      </w:r>
      <w:r w:rsidRPr="00CA3B8A">
        <w:rPr>
          <w:sz w:val="20"/>
          <w:szCs w:val="20"/>
        </w:rPr>
        <w:t>received.</w:t>
      </w:r>
    </w:p>
    <w:p w:rsidR="00BB37AC" w:rsidRPr="00CA3B8A" w:rsidRDefault="00BB37AC" w:rsidP="00BF5916">
      <w:pPr>
        <w:pStyle w:val="BodyText"/>
        <w:rPr>
          <w:sz w:val="20"/>
          <w:szCs w:val="20"/>
        </w:rPr>
      </w:pPr>
    </w:p>
    <w:p w:rsidR="00BB37AC" w:rsidRPr="00CA3B8A" w:rsidRDefault="00BF5916" w:rsidP="00BF5916">
      <w:pPr>
        <w:pStyle w:val="BodyText"/>
        <w:ind w:left="100"/>
        <w:rPr>
          <w:sz w:val="20"/>
          <w:szCs w:val="20"/>
        </w:rPr>
      </w:pPr>
      <w:r w:rsidRPr="00CA3B8A">
        <w:rPr>
          <w:sz w:val="20"/>
          <w:szCs w:val="20"/>
        </w:rPr>
        <w:t>End</w:t>
      </w:r>
    </w:p>
    <w:p w:rsidR="00BB37AC" w:rsidRPr="00CA3B8A" w:rsidRDefault="00BB37AC" w:rsidP="00BF5916">
      <w:pPr>
        <w:pStyle w:val="BodyText"/>
        <w:rPr>
          <w:sz w:val="20"/>
          <w:szCs w:val="20"/>
        </w:rPr>
      </w:pPr>
    </w:p>
    <w:p w:rsidR="00BB37AC" w:rsidRPr="00CA3B8A" w:rsidRDefault="00BB37AC" w:rsidP="00BF5916">
      <w:pPr>
        <w:pStyle w:val="BodyText"/>
        <w:rPr>
          <w:sz w:val="20"/>
          <w:szCs w:val="20"/>
        </w:rPr>
      </w:pPr>
    </w:p>
    <w:p w:rsidR="00BB37AC" w:rsidRPr="00CA3B8A" w:rsidRDefault="00BB37AC" w:rsidP="00BF5916">
      <w:pPr>
        <w:pStyle w:val="BodyText"/>
        <w:rPr>
          <w:sz w:val="20"/>
          <w:szCs w:val="20"/>
        </w:rPr>
      </w:pPr>
    </w:p>
    <w:p w:rsidR="00BB37AC" w:rsidRPr="00CA3B8A" w:rsidRDefault="00BB37AC" w:rsidP="00BF5916">
      <w:pPr>
        <w:pStyle w:val="BodyText"/>
        <w:rPr>
          <w:sz w:val="20"/>
          <w:szCs w:val="20"/>
        </w:rPr>
      </w:pPr>
    </w:p>
    <w:p w:rsidR="00BB37AC" w:rsidRPr="00CA3B8A" w:rsidRDefault="00BB37AC" w:rsidP="00BF5916">
      <w:pPr>
        <w:pStyle w:val="BodyText"/>
        <w:rPr>
          <w:sz w:val="20"/>
          <w:szCs w:val="20"/>
        </w:rPr>
      </w:pPr>
    </w:p>
    <w:p w:rsidR="00BB37AC" w:rsidRPr="00CA3B8A" w:rsidRDefault="00BB37AC" w:rsidP="00BF5916">
      <w:pPr>
        <w:pStyle w:val="BodyText"/>
        <w:rPr>
          <w:sz w:val="20"/>
          <w:szCs w:val="20"/>
        </w:rPr>
      </w:pPr>
    </w:p>
    <w:p w:rsidR="00BB37AC" w:rsidRPr="00CA3B8A" w:rsidRDefault="00BB37AC" w:rsidP="00BF5916">
      <w:pPr>
        <w:pStyle w:val="BodyText"/>
        <w:rPr>
          <w:sz w:val="20"/>
          <w:szCs w:val="20"/>
        </w:rPr>
      </w:pPr>
    </w:p>
    <w:p w:rsidR="00BB37AC" w:rsidRPr="00CA3B8A" w:rsidRDefault="00BB37AC" w:rsidP="00BF5916">
      <w:pPr>
        <w:pStyle w:val="BodyText"/>
        <w:rPr>
          <w:sz w:val="20"/>
          <w:szCs w:val="20"/>
        </w:rPr>
      </w:pPr>
    </w:p>
    <w:p w:rsidR="00BB37AC" w:rsidRPr="00CA3B8A" w:rsidRDefault="00BB37AC" w:rsidP="00BF5916">
      <w:pPr>
        <w:pStyle w:val="BodyText"/>
        <w:rPr>
          <w:sz w:val="20"/>
          <w:szCs w:val="20"/>
        </w:rPr>
      </w:pPr>
    </w:p>
    <w:p w:rsidR="00BB37AC" w:rsidRPr="00CA3B8A" w:rsidRDefault="00BB37AC" w:rsidP="00BF5916">
      <w:pPr>
        <w:pStyle w:val="BodyText"/>
        <w:rPr>
          <w:sz w:val="20"/>
          <w:szCs w:val="20"/>
        </w:rPr>
      </w:pPr>
    </w:p>
    <w:p w:rsidR="00BB37AC" w:rsidRPr="00CA3B8A" w:rsidRDefault="00BF5916" w:rsidP="00BF5916">
      <w:pPr>
        <w:ind w:left="100"/>
        <w:rPr>
          <w:b/>
          <w:i/>
          <w:sz w:val="20"/>
          <w:szCs w:val="20"/>
        </w:rPr>
      </w:pPr>
      <w:r w:rsidRPr="00CA3B8A">
        <w:rPr>
          <w:b/>
          <w:i/>
          <w:sz w:val="20"/>
          <w:szCs w:val="20"/>
        </w:rPr>
        <w:t xml:space="preserve">Dr M </w:t>
      </w:r>
      <w:proofErr w:type="spellStart"/>
      <w:r w:rsidRPr="00CA3B8A">
        <w:rPr>
          <w:b/>
          <w:i/>
          <w:sz w:val="20"/>
          <w:szCs w:val="20"/>
        </w:rPr>
        <w:t>M</w:t>
      </w:r>
      <w:proofErr w:type="spellEnd"/>
      <w:r w:rsidRPr="00CA3B8A">
        <w:rPr>
          <w:b/>
          <w:i/>
          <w:sz w:val="20"/>
          <w:szCs w:val="20"/>
        </w:rPr>
        <w:t xml:space="preserve"> </w:t>
      </w:r>
      <w:proofErr w:type="spellStart"/>
      <w:r w:rsidRPr="00CA3B8A">
        <w:rPr>
          <w:b/>
          <w:i/>
          <w:sz w:val="20"/>
          <w:szCs w:val="20"/>
        </w:rPr>
        <w:t>Gondwe</w:t>
      </w:r>
      <w:proofErr w:type="spellEnd"/>
      <w:r w:rsidRPr="00CA3B8A">
        <w:rPr>
          <w:b/>
          <w:i/>
          <w:sz w:val="20"/>
          <w:szCs w:val="20"/>
        </w:rPr>
        <w:t xml:space="preserve"> (DA) to ask the Minister of Public Service and Administration (Question 2421)</w:t>
      </w:r>
    </w:p>
    <w:sectPr w:rsidR="00BB37AC" w:rsidRPr="00CA3B8A" w:rsidSect="00BB37AC">
      <w:type w:val="continuous"/>
      <w:pgSz w:w="11910" w:h="16840"/>
      <w:pgMar w:top="1120" w:right="1160" w:bottom="280" w:left="1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30AEE"/>
    <w:multiLevelType w:val="hybridMultilevel"/>
    <w:tmpl w:val="0204B166"/>
    <w:lvl w:ilvl="0" w:tplc="46442E2A">
      <w:start w:val="1"/>
      <w:numFmt w:val="lowerLetter"/>
      <w:lvlText w:val="(%1)"/>
      <w:lvlJc w:val="left"/>
      <w:pPr>
        <w:ind w:left="820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92322196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2" w:tplc="D3A2A4BA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3" w:tplc="F410BB50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en-US"/>
      </w:rPr>
    </w:lvl>
    <w:lvl w:ilvl="4" w:tplc="5E58E54E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en-US"/>
      </w:rPr>
    </w:lvl>
    <w:lvl w:ilvl="5" w:tplc="9EB89882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41D282E2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en-US"/>
      </w:rPr>
    </w:lvl>
    <w:lvl w:ilvl="7" w:tplc="B8E0E9C4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 w:tplc="A0125BCE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37AC"/>
    <w:rsid w:val="00BB37AC"/>
    <w:rsid w:val="00BF5916"/>
    <w:rsid w:val="00CA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37A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B37AC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37A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B37AC"/>
    <w:pPr>
      <w:spacing w:before="1"/>
      <w:ind w:left="820" w:right="9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B37AC"/>
  </w:style>
  <w:style w:type="paragraph" w:styleId="BalloonText">
    <w:name w:val="Balloon Text"/>
    <w:basedOn w:val="Normal"/>
    <w:link w:val="BalloonTextChar"/>
    <w:uiPriority w:val="99"/>
    <w:semiHidden/>
    <w:unhideWhenUsed/>
    <w:rsid w:val="00CA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8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3</cp:revision>
  <dcterms:created xsi:type="dcterms:W3CDTF">2022-01-25T15:32:00Z</dcterms:created>
  <dcterms:modified xsi:type="dcterms:W3CDTF">2022-01-25T18:56:00Z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