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D06F9" w14:textId="77777777" w:rsidR="00BC5A3F" w:rsidRPr="00E938DE" w:rsidRDefault="00BC5A3F" w:rsidP="00BC5A3F">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14:paraId="3FC12CB0" w14:textId="77777777"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14:paraId="70DC388C" w14:textId="77777777"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CC15D0">
        <w:rPr>
          <w:rFonts w:ascii="Arial" w:hAnsi="Arial" w:cs="Arial"/>
          <w:b/>
          <w:sz w:val="22"/>
          <w:szCs w:val="22"/>
        </w:rPr>
        <w:t>242</w:t>
      </w:r>
      <w:r w:rsidR="00354BA4" w:rsidRPr="00E938DE">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CC15D0">
        <w:rPr>
          <w:rFonts w:ascii="Arial" w:hAnsi="Arial" w:cs="Arial"/>
          <w:b/>
          <w:sz w:val="22"/>
          <w:szCs w:val="22"/>
        </w:rPr>
        <w:t>325</w:t>
      </w:r>
      <w:r w:rsidRPr="00E938DE">
        <w:rPr>
          <w:rFonts w:ascii="Arial" w:hAnsi="Arial" w:cs="Arial"/>
          <w:b/>
          <w:sz w:val="22"/>
          <w:szCs w:val="22"/>
          <w:lang w:val="en-ZA"/>
        </w:rPr>
        <w:t>E</w:t>
      </w:r>
      <w:r w:rsidRPr="00E938DE">
        <w:rPr>
          <w:rFonts w:ascii="Arial" w:hAnsi="Arial" w:cs="Arial"/>
          <w:b/>
          <w:sz w:val="22"/>
          <w:szCs w:val="22"/>
        </w:rPr>
        <w:t>]</w:t>
      </w:r>
      <w:bookmarkEnd w:id="2"/>
    </w:p>
    <w:p w14:paraId="4B72402E" w14:textId="77777777" w:rsidR="00BC5A3F" w:rsidRPr="00EC347E" w:rsidRDefault="00E938DE" w:rsidP="00EC347E">
      <w:pPr>
        <w:spacing w:line="276" w:lineRule="auto"/>
        <w:jc w:val="center"/>
        <w:rPr>
          <w:rFonts w:ascii="Arial" w:hAnsi="Arial" w:cs="Arial"/>
          <w:b/>
          <w:sz w:val="22"/>
          <w:szCs w:val="22"/>
        </w:rPr>
      </w:pPr>
      <w:r w:rsidRPr="00EC347E">
        <w:rPr>
          <w:rFonts w:ascii="Arial" w:hAnsi="Arial" w:cs="Arial"/>
          <w:b/>
          <w:sz w:val="22"/>
          <w:szCs w:val="22"/>
        </w:rPr>
        <w:t xml:space="preserve">DATE OF PUBLICATION: </w:t>
      </w:r>
      <w:r w:rsidR="00EC347E">
        <w:rPr>
          <w:rFonts w:ascii="Arial" w:hAnsi="Arial" w:cs="Arial"/>
          <w:b/>
          <w:sz w:val="22"/>
          <w:szCs w:val="22"/>
        </w:rPr>
        <w:t>12 FEBRUARY 2020</w:t>
      </w:r>
    </w:p>
    <w:bookmarkEnd w:id="0"/>
    <w:p w14:paraId="7914FF25" w14:textId="77777777" w:rsidR="008E3D62" w:rsidRPr="00424252" w:rsidRDefault="008E3D62" w:rsidP="00DF746E">
      <w:pPr>
        <w:spacing w:line="276" w:lineRule="auto"/>
        <w:jc w:val="both"/>
        <w:rPr>
          <w:rFonts w:ascii="Arial" w:hAnsi="Arial" w:cs="Arial"/>
          <w:b/>
          <w:sz w:val="22"/>
          <w:szCs w:val="22"/>
        </w:rPr>
      </w:pPr>
    </w:p>
    <w:p w14:paraId="358D37DC" w14:textId="77777777" w:rsidR="00CC15D0" w:rsidRPr="00CC15D0" w:rsidRDefault="00CC15D0" w:rsidP="00CC15D0">
      <w:pPr>
        <w:spacing w:before="100" w:beforeAutospacing="1" w:after="100" w:afterAutospacing="1"/>
        <w:ind w:left="720" w:hanging="720"/>
        <w:jc w:val="both"/>
        <w:outlineLvl w:val="0"/>
        <w:rPr>
          <w:rFonts w:ascii="Arial" w:hAnsi="Arial" w:cs="Arial"/>
          <w:sz w:val="22"/>
          <w:szCs w:val="22"/>
        </w:rPr>
      </w:pPr>
      <w:r w:rsidRPr="00CC15D0">
        <w:rPr>
          <w:rFonts w:ascii="Arial" w:hAnsi="Arial" w:cs="Arial"/>
          <w:b/>
          <w:sz w:val="22"/>
          <w:szCs w:val="22"/>
        </w:rPr>
        <w:t>242.</w:t>
      </w:r>
      <w:r w:rsidRPr="00CC15D0">
        <w:rPr>
          <w:rFonts w:ascii="Arial" w:hAnsi="Arial" w:cs="Arial"/>
          <w:b/>
          <w:sz w:val="22"/>
          <w:szCs w:val="22"/>
        </w:rPr>
        <w:tab/>
        <w:t>Mrs A Steyn (DA) to ask the Minister of Finance</w:t>
      </w:r>
      <w:r w:rsidRPr="00CC15D0">
        <w:rPr>
          <w:rFonts w:ascii="Arial" w:hAnsi="Arial" w:cs="Arial"/>
          <w:b/>
          <w:sz w:val="22"/>
          <w:szCs w:val="22"/>
        </w:rPr>
        <w:fldChar w:fldCharType="begin"/>
      </w:r>
      <w:r w:rsidRPr="00CC15D0">
        <w:rPr>
          <w:rFonts w:ascii="Arial" w:hAnsi="Arial" w:cs="Arial"/>
          <w:sz w:val="22"/>
          <w:szCs w:val="22"/>
        </w:rPr>
        <w:instrText xml:space="preserve"> XE "</w:instrText>
      </w:r>
      <w:r w:rsidRPr="00CC15D0">
        <w:rPr>
          <w:rFonts w:ascii="Arial" w:hAnsi="Arial" w:cs="Arial"/>
          <w:b/>
          <w:sz w:val="22"/>
          <w:szCs w:val="22"/>
        </w:rPr>
        <w:instrText>Finance</w:instrText>
      </w:r>
      <w:r w:rsidRPr="00CC15D0">
        <w:rPr>
          <w:rFonts w:ascii="Arial" w:hAnsi="Arial" w:cs="Arial"/>
          <w:sz w:val="22"/>
          <w:szCs w:val="22"/>
        </w:rPr>
        <w:instrText xml:space="preserve">" </w:instrText>
      </w:r>
      <w:r w:rsidRPr="00CC15D0">
        <w:rPr>
          <w:rFonts w:ascii="Arial" w:hAnsi="Arial" w:cs="Arial"/>
          <w:b/>
          <w:sz w:val="22"/>
          <w:szCs w:val="22"/>
        </w:rPr>
        <w:fldChar w:fldCharType="end"/>
      </w:r>
      <w:r w:rsidRPr="00CC15D0">
        <w:rPr>
          <w:rFonts w:ascii="Arial" w:hAnsi="Arial" w:cs="Arial"/>
          <w:b/>
          <w:sz w:val="22"/>
          <w:szCs w:val="22"/>
        </w:rPr>
        <w:t>:</w:t>
      </w:r>
    </w:p>
    <w:p w14:paraId="05A4D1DC" w14:textId="77777777" w:rsidR="00CC15D0" w:rsidRDefault="00CC15D0" w:rsidP="00CC15D0">
      <w:pPr>
        <w:spacing w:before="100" w:beforeAutospacing="1" w:after="100" w:afterAutospacing="1"/>
        <w:ind w:left="709" w:firstLine="11"/>
        <w:jc w:val="both"/>
        <w:rPr>
          <w:rFonts w:ascii="Arial" w:hAnsi="Arial" w:cs="Arial"/>
          <w:color w:val="000000" w:themeColor="text1"/>
          <w:sz w:val="22"/>
          <w:szCs w:val="22"/>
        </w:rPr>
      </w:pPr>
      <w:r w:rsidRPr="00CC15D0">
        <w:rPr>
          <w:rFonts w:ascii="Arial" w:hAnsi="Arial" w:cs="Arial"/>
          <w:color w:val="000000"/>
          <w:sz w:val="22"/>
          <w:szCs w:val="22"/>
          <w:lang w:eastAsia="en-ZA"/>
        </w:rPr>
        <w:t xml:space="preserve">What will be the tax benefit to persons who donate land in terms of the proposed </w:t>
      </w:r>
      <w:r w:rsidRPr="00CC15D0">
        <w:rPr>
          <w:rFonts w:ascii="Arial" w:eastAsia="Calibri" w:hAnsi="Arial" w:cs="Arial"/>
          <w:sz w:val="22"/>
          <w:szCs w:val="22"/>
          <w:lang w:eastAsia="en-ZA"/>
        </w:rPr>
        <w:t>Draft National Policy for Beneficiary Selection and Land Allocation</w:t>
      </w:r>
      <w:r w:rsidRPr="00CC15D0">
        <w:rPr>
          <w:rFonts w:ascii="Arial" w:eastAsia="Calibri" w:hAnsi="Arial" w:cs="Arial"/>
          <w:sz w:val="22"/>
          <w:szCs w:val="22"/>
        </w:rPr>
        <w:t>?</w:t>
      </w:r>
      <w:r w:rsidRPr="00CC15D0">
        <w:rPr>
          <w:rFonts w:ascii="Arial" w:hAnsi="Arial" w:cs="Arial"/>
          <w:color w:val="000000" w:themeColor="text1"/>
          <w:sz w:val="22"/>
          <w:szCs w:val="22"/>
        </w:rPr>
        <w:tab/>
      </w:r>
    </w:p>
    <w:p w14:paraId="1F139DB8" w14:textId="77777777" w:rsidR="00CC15D0" w:rsidRPr="00CC15D0" w:rsidRDefault="00CC15D0" w:rsidP="00CC15D0">
      <w:pPr>
        <w:spacing w:before="100" w:beforeAutospacing="1" w:after="100" w:afterAutospacing="1"/>
        <w:ind w:left="709" w:firstLine="11"/>
        <w:jc w:val="both"/>
        <w:rPr>
          <w:rFonts w:ascii="Arial" w:eastAsiaTheme="minorHAnsi" w:hAnsi="Arial" w:cs="Arial"/>
          <w:sz w:val="22"/>
          <w:szCs w:val="22"/>
          <w:lang w:val="en-ZA"/>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CC15D0">
        <w:rPr>
          <w:rFonts w:ascii="Arial" w:hAnsi="Arial" w:cs="Arial"/>
          <w:color w:val="000000" w:themeColor="text1"/>
          <w:sz w:val="22"/>
          <w:szCs w:val="22"/>
        </w:rPr>
        <w:tab/>
        <w:t>NW325E</w:t>
      </w:r>
    </w:p>
    <w:p w14:paraId="4E96698B" w14:textId="77777777" w:rsidR="008E3D62" w:rsidRPr="00CC15D0" w:rsidRDefault="00CC15D0" w:rsidP="00CC15D0">
      <w:pPr>
        <w:spacing w:before="100" w:beforeAutospacing="1" w:after="100" w:afterAutospacing="1" w:line="276" w:lineRule="auto"/>
        <w:jc w:val="both"/>
        <w:outlineLvl w:val="0"/>
        <w:rPr>
          <w:rFonts w:ascii="Arial" w:hAnsi="Arial" w:cs="Arial"/>
          <w:sz w:val="22"/>
          <w:szCs w:val="22"/>
        </w:rPr>
      </w:pPr>
      <w:r w:rsidRPr="00CC15D0">
        <w:rPr>
          <w:rFonts w:ascii="Arial" w:hAnsi="Arial" w:cs="Arial"/>
          <w:b/>
          <w:sz w:val="22"/>
          <w:szCs w:val="22"/>
        </w:rPr>
        <w:t xml:space="preserve"> </w:t>
      </w:r>
      <w:r w:rsidR="008E3D62" w:rsidRPr="00CC15D0">
        <w:rPr>
          <w:rFonts w:ascii="Arial" w:hAnsi="Arial" w:cs="Arial"/>
          <w:b/>
          <w:sz w:val="22"/>
          <w:szCs w:val="22"/>
        </w:rPr>
        <w:t>REPLY</w:t>
      </w:r>
      <w:r w:rsidR="008E3D62" w:rsidRPr="00CC15D0">
        <w:rPr>
          <w:rFonts w:ascii="Arial" w:hAnsi="Arial" w:cs="Arial"/>
          <w:sz w:val="22"/>
          <w:szCs w:val="22"/>
        </w:rPr>
        <w:t>:</w:t>
      </w:r>
    </w:p>
    <w:p w14:paraId="7B5BE132" w14:textId="77777777" w:rsidR="00566101" w:rsidRPr="00D51582" w:rsidRDefault="00C067EF" w:rsidP="00C067EF">
      <w:pPr>
        <w:tabs>
          <w:tab w:val="left" w:pos="432"/>
          <w:tab w:val="left" w:pos="864"/>
        </w:tabs>
        <w:spacing w:line="276" w:lineRule="auto"/>
        <w:jc w:val="both"/>
        <w:rPr>
          <w:rFonts w:ascii="Arial" w:eastAsia="Calibri" w:hAnsi="Arial" w:cs="Arial"/>
          <w:sz w:val="22"/>
          <w:szCs w:val="22"/>
          <w:lang w:val="en-ZA" w:eastAsia="en-ZA"/>
        </w:rPr>
      </w:pPr>
      <w:r w:rsidRPr="00D51582">
        <w:rPr>
          <w:rFonts w:ascii="Arial" w:hAnsi="Arial" w:cs="Arial"/>
          <w:sz w:val="22"/>
          <w:szCs w:val="22"/>
          <w:lang w:val="en-ZA"/>
        </w:rPr>
        <w:t xml:space="preserve">The precise nature of the tax benefits available </w:t>
      </w:r>
      <w:r w:rsidRPr="00D51582">
        <w:rPr>
          <w:rFonts w:ascii="Arial" w:hAnsi="Arial" w:cs="Arial"/>
          <w:color w:val="000000"/>
          <w:sz w:val="22"/>
          <w:szCs w:val="22"/>
          <w:lang w:val="en-ZA" w:eastAsia="en-ZA"/>
        </w:rPr>
        <w:t xml:space="preserve">to persons who donate land in terms of the proposed Draft </w:t>
      </w:r>
      <w:r w:rsidRPr="00D51582">
        <w:rPr>
          <w:rFonts w:ascii="Arial" w:eastAsia="Calibri" w:hAnsi="Arial" w:cs="Arial"/>
          <w:sz w:val="22"/>
          <w:szCs w:val="22"/>
          <w:lang w:val="en-ZA" w:eastAsia="en-ZA"/>
        </w:rPr>
        <w:t xml:space="preserve">National Policy for Beneficiary Selection and Land Allocation </w:t>
      </w:r>
      <w:r w:rsidR="00C54673" w:rsidRPr="00D51582">
        <w:rPr>
          <w:rFonts w:ascii="Arial" w:eastAsia="Calibri" w:hAnsi="Arial" w:cs="Arial"/>
          <w:sz w:val="22"/>
          <w:szCs w:val="22"/>
          <w:lang w:val="en-ZA" w:eastAsia="en-ZA"/>
        </w:rPr>
        <w:t>will</w:t>
      </w:r>
      <w:r w:rsidRPr="00D51582">
        <w:rPr>
          <w:rFonts w:ascii="Arial" w:eastAsia="Calibri" w:hAnsi="Arial" w:cs="Arial"/>
          <w:sz w:val="22"/>
          <w:szCs w:val="22"/>
          <w:lang w:val="en-ZA" w:eastAsia="en-ZA"/>
        </w:rPr>
        <w:t xml:space="preserve"> depend on the final form the policy takes, as well as the implementation of the policy. The benefits that may be available are an exemption from donations tax</w:t>
      </w:r>
      <w:r w:rsidR="00C54673" w:rsidRPr="00D51582">
        <w:rPr>
          <w:rFonts w:ascii="Arial" w:eastAsia="Calibri" w:hAnsi="Arial" w:cs="Arial"/>
          <w:sz w:val="22"/>
          <w:szCs w:val="22"/>
          <w:lang w:val="en-ZA" w:eastAsia="en-ZA"/>
        </w:rPr>
        <w:t xml:space="preserve"> on donations of land</w:t>
      </w:r>
      <w:r w:rsidRPr="00D51582">
        <w:rPr>
          <w:rFonts w:ascii="Arial" w:eastAsia="Calibri" w:hAnsi="Arial" w:cs="Arial"/>
          <w:sz w:val="22"/>
          <w:szCs w:val="22"/>
          <w:lang w:val="en-ZA" w:eastAsia="en-ZA"/>
        </w:rPr>
        <w:t xml:space="preserve">, the disregarding of capital gains and losses </w:t>
      </w:r>
      <w:r w:rsidR="00C54673" w:rsidRPr="00D51582">
        <w:rPr>
          <w:rFonts w:ascii="Arial" w:eastAsia="Calibri" w:hAnsi="Arial" w:cs="Arial"/>
          <w:sz w:val="22"/>
          <w:szCs w:val="22"/>
          <w:lang w:val="en-ZA" w:eastAsia="en-ZA"/>
        </w:rPr>
        <w:t xml:space="preserve">on donations of land </w:t>
      </w:r>
      <w:r w:rsidRPr="00D51582">
        <w:rPr>
          <w:rFonts w:ascii="Arial" w:eastAsia="Calibri" w:hAnsi="Arial" w:cs="Arial"/>
          <w:sz w:val="22"/>
          <w:szCs w:val="22"/>
          <w:lang w:val="en-ZA" w:eastAsia="en-ZA"/>
        </w:rPr>
        <w:t xml:space="preserve">and a </w:t>
      </w:r>
      <w:r w:rsidR="00C54673" w:rsidRPr="00D51582">
        <w:rPr>
          <w:rFonts w:ascii="Arial" w:eastAsia="Calibri" w:hAnsi="Arial" w:cs="Arial"/>
          <w:sz w:val="22"/>
          <w:szCs w:val="22"/>
          <w:lang w:val="en-ZA" w:eastAsia="en-ZA"/>
        </w:rPr>
        <w:t xml:space="preserve">deduction </w:t>
      </w:r>
      <w:r w:rsidR="00D51582" w:rsidRPr="00D51582">
        <w:rPr>
          <w:rFonts w:ascii="Arial" w:eastAsia="Calibri" w:hAnsi="Arial" w:cs="Arial"/>
          <w:sz w:val="22"/>
          <w:szCs w:val="22"/>
          <w:lang w:val="en-ZA" w:eastAsia="en-ZA"/>
        </w:rPr>
        <w:t>of</w:t>
      </w:r>
      <w:r w:rsidR="00C54673" w:rsidRPr="00D51582">
        <w:rPr>
          <w:rFonts w:ascii="Arial" w:eastAsia="Calibri" w:hAnsi="Arial" w:cs="Arial"/>
          <w:sz w:val="22"/>
          <w:szCs w:val="22"/>
          <w:lang w:val="en-ZA" w:eastAsia="en-ZA"/>
        </w:rPr>
        <w:t xml:space="preserve"> the lower of the fair market value or cost of the land on the date of donation. The potentially applicable provisions are </w:t>
      </w:r>
      <w:r w:rsidR="00244657" w:rsidRPr="00D51582">
        <w:rPr>
          <w:rFonts w:ascii="Arial" w:eastAsia="Calibri" w:hAnsi="Arial" w:cs="Arial"/>
          <w:sz w:val="22"/>
          <w:szCs w:val="22"/>
          <w:lang w:val="en-ZA" w:eastAsia="en-ZA"/>
        </w:rPr>
        <w:t>summari</w:t>
      </w:r>
      <w:r w:rsidR="00D51582" w:rsidRPr="00D51582">
        <w:rPr>
          <w:rFonts w:ascii="Arial" w:eastAsia="Calibri" w:hAnsi="Arial" w:cs="Arial"/>
          <w:sz w:val="22"/>
          <w:szCs w:val="22"/>
          <w:lang w:val="en-ZA" w:eastAsia="en-ZA"/>
        </w:rPr>
        <w:t>s</w:t>
      </w:r>
      <w:r w:rsidR="00244657" w:rsidRPr="00D51582">
        <w:rPr>
          <w:rFonts w:ascii="Arial" w:eastAsia="Calibri" w:hAnsi="Arial" w:cs="Arial"/>
          <w:sz w:val="22"/>
          <w:szCs w:val="22"/>
          <w:lang w:val="en-ZA" w:eastAsia="en-ZA"/>
        </w:rPr>
        <w:t>ed below.</w:t>
      </w:r>
      <w:r w:rsidR="00C54673" w:rsidRPr="00D51582">
        <w:rPr>
          <w:rFonts w:ascii="Arial" w:eastAsia="Calibri" w:hAnsi="Arial" w:cs="Arial"/>
          <w:sz w:val="22"/>
          <w:szCs w:val="22"/>
          <w:lang w:val="en-ZA" w:eastAsia="en-ZA"/>
        </w:rPr>
        <w:t xml:space="preserve"> </w:t>
      </w:r>
    </w:p>
    <w:p w14:paraId="0EDB23FE" w14:textId="77777777" w:rsidR="00C067EF" w:rsidRPr="00D51582" w:rsidRDefault="00C067EF" w:rsidP="00EC347E">
      <w:pPr>
        <w:tabs>
          <w:tab w:val="left" w:pos="432"/>
          <w:tab w:val="left" w:pos="864"/>
        </w:tabs>
        <w:spacing w:line="276" w:lineRule="auto"/>
        <w:rPr>
          <w:rFonts w:ascii="Arial" w:eastAsia="Calibri" w:hAnsi="Arial" w:cs="Arial"/>
          <w:sz w:val="22"/>
          <w:szCs w:val="22"/>
          <w:lang w:val="en-ZA" w:eastAsia="en-ZA"/>
        </w:rPr>
      </w:pPr>
    </w:p>
    <w:p w14:paraId="08007F40" w14:textId="77777777" w:rsidR="00C067EF" w:rsidRDefault="00C067EF" w:rsidP="00C067EF">
      <w:pPr>
        <w:spacing w:line="264" w:lineRule="auto"/>
        <w:jc w:val="both"/>
        <w:rPr>
          <w:rFonts w:ascii="Arial" w:hAnsi="Arial" w:cs="Arial"/>
          <w:sz w:val="22"/>
          <w:szCs w:val="22"/>
          <w:lang w:val="en-ZA"/>
        </w:rPr>
      </w:pPr>
      <w:r w:rsidRPr="00D51582">
        <w:rPr>
          <w:rFonts w:ascii="Arial" w:hAnsi="Arial" w:cs="Arial"/>
          <w:sz w:val="22"/>
          <w:szCs w:val="22"/>
          <w:lang w:val="en-ZA"/>
        </w:rPr>
        <w:t>Section 54 of the Income Tax Act</w:t>
      </w:r>
      <w:r w:rsidR="00C54673" w:rsidRPr="00D51582">
        <w:rPr>
          <w:rFonts w:ascii="Arial" w:hAnsi="Arial" w:cs="Arial"/>
          <w:sz w:val="22"/>
          <w:szCs w:val="22"/>
          <w:lang w:val="en-ZA"/>
        </w:rPr>
        <w:t>, 1962,</w:t>
      </w:r>
      <w:r w:rsidRPr="00D51582">
        <w:rPr>
          <w:rFonts w:ascii="Arial" w:hAnsi="Arial" w:cs="Arial"/>
          <w:sz w:val="22"/>
          <w:szCs w:val="22"/>
          <w:lang w:val="en-ZA"/>
        </w:rPr>
        <w:t xml:space="preserve"> </w:t>
      </w:r>
      <w:r w:rsidR="003766C9" w:rsidRPr="00D51582">
        <w:rPr>
          <w:rFonts w:ascii="Arial" w:hAnsi="Arial" w:cs="Arial"/>
          <w:sz w:val="22"/>
          <w:szCs w:val="22"/>
          <w:lang w:val="en-ZA"/>
        </w:rPr>
        <w:t xml:space="preserve">(the Act) </w:t>
      </w:r>
      <w:r w:rsidRPr="00D51582">
        <w:rPr>
          <w:rFonts w:ascii="Arial" w:hAnsi="Arial" w:cs="Arial"/>
          <w:sz w:val="22"/>
          <w:szCs w:val="22"/>
          <w:lang w:val="en-ZA"/>
        </w:rPr>
        <w:t xml:space="preserve">stipulates that donations tax is payable on the value of any property disposed of under any donation by any resident. Section 56(1), however, provides for the exemption of the payment of donations tax in certain circumstances. For purposes of this </w:t>
      </w:r>
      <w:r w:rsidR="00C54673" w:rsidRPr="00D51582">
        <w:rPr>
          <w:rFonts w:ascii="Arial" w:hAnsi="Arial" w:cs="Arial"/>
          <w:sz w:val="22"/>
          <w:szCs w:val="22"/>
          <w:lang w:val="en-ZA"/>
        </w:rPr>
        <w:t>reply</w:t>
      </w:r>
      <w:r w:rsidRPr="00D51582">
        <w:rPr>
          <w:rFonts w:ascii="Arial" w:hAnsi="Arial" w:cs="Arial"/>
          <w:sz w:val="22"/>
          <w:szCs w:val="22"/>
          <w:lang w:val="en-ZA"/>
        </w:rPr>
        <w:t>, the fo</w:t>
      </w:r>
      <w:r w:rsidR="009F2CAB" w:rsidRPr="00D51582">
        <w:rPr>
          <w:rFonts w:ascii="Arial" w:hAnsi="Arial" w:cs="Arial"/>
          <w:sz w:val="22"/>
          <w:szCs w:val="22"/>
          <w:lang w:val="en-ZA"/>
        </w:rPr>
        <w:t>llowing paragraphs are relevant.</w:t>
      </w:r>
    </w:p>
    <w:p w14:paraId="161E61AA" w14:textId="77777777" w:rsidR="00C86B20" w:rsidRPr="00D51582" w:rsidRDefault="00C86B20" w:rsidP="00C067EF">
      <w:pPr>
        <w:spacing w:line="264" w:lineRule="auto"/>
        <w:jc w:val="both"/>
        <w:rPr>
          <w:rFonts w:ascii="Arial" w:hAnsi="Arial" w:cs="Arial"/>
          <w:sz w:val="22"/>
          <w:szCs w:val="22"/>
          <w:lang w:val="en-ZA"/>
        </w:rPr>
      </w:pPr>
    </w:p>
    <w:p w14:paraId="26957F11" w14:textId="77777777" w:rsidR="00C067EF" w:rsidRPr="00D51582" w:rsidRDefault="00C54673" w:rsidP="00C067EF">
      <w:pPr>
        <w:pStyle w:val="ListParagraph"/>
        <w:numPr>
          <w:ilvl w:val="0"/>
          <w:numId w:val="13"/>
        </w:numPr>
        <w:spacing w:line="264" w:lineRule="auto"/>
        <w:jc w:val="both"/>
        <w:rPr>
          <w:rFonts w:ascii="Arial" w:hAnsi="Arial" w:cs="Arial"/>
          <w:sz w:val="22"/>
          <w:szCs w:val="22"/>
          <w:lang w:val="en-ZA"/>
        </w:rPr>
      </w:pPr>
      <w:r w:rsidRPr="00D51582">
        <w:rPr>
          <w:rFonts w:ascii="Arial" w:hAnsi="Arial" w:cs="Arial"/>
          <w:sz w:val="22"/>
          <w:szCs w:val="22"/>
          <w:lang w:val="en-ZA"/>
        </w:rPr>
        <w:t xml:space="preserve">Paragraph </w:t>
      </w:r>
      <w:r w:rsidR="00C067EF" w:rsidRPr="00D51582">
        <w:rPr>
          <w:rFonts w:ascii="Arial" w:hAnsi="Arial" w:cs="Arial"/>
          <w:sz w:val="22"/>
          <w:szCs w:val="22"/>
          <w:lang w:val="en-ZA"/>
        </w:rPr>
        <w:t>(</w:t>
      </w:r>
      <w:r w:rsidR="00C067EF" w:rsidRPr="00D51582">
        <w:rPr>
          <w:rFonts w:ascii="Arial" w:hAnsi="Arial" w:cs="Arial"/>
          <w:i/>
          <w:iCs/>
          <w:sz w:val="22"/>
          <w:szCs w:val="22"/>
          <w:lang w:val="en-ZA"/>
        </w:rPr>
        <w:t>h</w:t>
      </w:r>
      <w:r w:rsidR="00C067EF" w:rsidRPr="00D51582">
        <w:rPr>
          <w:rFonts w:ascii="Arial" w:hAnsi="Arial" w:cs="Arial"/>
          <w:sz w:val="22"/>
          <w:szCs w:val="22"/>
          <w:lang w:val="en-ZA"/>
        </w:rPr>
        <w:t>) exempts from donations tax, any donation of property by or to persons listed in sections 10(1)(</w:t>
      </w:r>
      <w:r w:rsidR="00C067EF" w:rsidRPr="00D51582">
        <w:rPr>
          <w:rFonts w:ascii="Arial" w:hAnsi="Arial" w:cs="Arial"/>
          <w:i/>
          <w:iCs/>
          <w:sz w:val="22"/>
          <w:szCs w:val="22"/>
          <w:lang w:val="en-ZA"/>
        </w:rPr>
        <w:t>a</w:t>
      </w:r>
      <w:r w:rsidR="00C067EF" w:rsidRPr="00D51582">
        <w:rPr>
          <w:rFonts w:ascii="Arial" w:hAnsi="Arial" w:cs="Arial"/>
          <w:sz w:val="22"/>
          <w:szCs w:val="22"/>
          <w:lang w:val="en-ZA"/>
        </w:rPr>
        <w:t>), (</w:t>
      </w:r>
      <w:r w:rsidR="00C067EF" w:rsidRPr="00D51582">
        <w:rPr>
          <w:rFonts w:ascii="Arial" w:hAnsi="Arial" w:cs="Arial"/>
          <w:i/>
          <w:iCs/>
          <w:sz w:val="22"/>
          <w:szCs w:val="22"/>
          <w:lang w:val="en-ZA"/>
        </w:rPr>
        <w:t>c</w:t>
      </w:r>
      <w:r w:rsidR="00C067EF" w:rsidRPr="00D51582">
        <w:rPr>
          <w:rFonts w:ascii="Arial" w:hAnsi="Arial" w:cs="Arial"/>
          <w:sz w:val="22"/>
          <w:szCs w:val="22"/>
          <w:lang w:val="en-ZA"/>
        </w:rPr>
        <w:t>A), (</w:t>
      </w:r>
      <w:r w:rsidR="00C067EF" w:rsidRPr="00D51582">
        <w:rPr>
          <w:rFonts w:ascii="Arial" w:hAnsi="Arial" w:cs="Arial"/>
          <w:i/>
          <w:iCs/>
          <w:sz w:val="22"/>
          <w:szCs w:val="22"/>
          <w:lang w:val="en-ZA"/>
        </w:rPr>
        <w:t>c</w:t>
      </w:r>
      <w:r w:rsidR="00C067EF" w:rsidRPr="00D51582">
        <w:rPr>
          <w:rFonts w:ascii="Arial" w:hAnsi="Arial" w:cs="Arial"/>
          <w:sz w:val="22"/>
          <w:szCs w:val="22"/>
          <w:lang w:val="en-ZA"/>
        </w:rPr>
        <w:t xml:space="preserve">E), </w:t>
      </w:r>
      <w:r w:rsidR="00C067EF" w:rsidRPr="00D51582">
        <w:rPr>
          <w:rFonts w:ascii="Arial" w:hAnsi="Arial" w:cs="Arial"/>
          <w:i/>
          <w:iCs/>
          <w:sz w:val="22"/>
          <w:szCs w:val="22"/>
          <w:lang w:val="en-ZA"/>
        </w:rPr>
        <w:t>c</w:t>
      </w:r>
      <w:r w:rsidR="00C067EF" w:rsidRPr="00D51582">
        <w:rPr>
          <w:rFonts w:ascii="Arial" w:hAnsi="Arial" w:cs="Arial"/>
          <w:sz w:val="22"/>
          <w:szCs w:val="22"/>
          <w:lang w:val="en-ZA"/>
        </w:rPr>
        <w:t>N), (</w:t>
      </w:r>
      <w:r w:rsidR="00C067EF" w:rsidRPr="00D51582">
        <w:rPr>
          <w:rFonts w:ascii="Arial" w:hAnsi="Arial" w:cs="Arial"/>
          <w:i/>
          <w:iCs/>
          <w:sz w:val="22"/>
          <w:szCs w:val="22"/>
          <w:lang w:val="en-ZA"/>
        </w:rPr>
        <w:t>c</w:t>
      </w:r>
      <w:r w:rsidR="00C067EF" w:rsidRPr="00D51582">
        <w:rPr>
          <w:rFonts w:ascii="Arial" w:hAnsi="Arial" w:cs="Arial"/>
          <w:sz w:val="22"/>
          <w:szCs w:val="22"/>
          <w:lang w:val="en-ZA"/>
        </w:rPr>
        <w:t>O), (</w:t>
      </w:r>
      <w:r w:rsidR="00C067EF" w:rsidRPr="00D51582">
        <w:rPr>
          <w:rFonts w:ascii="Arial" w:hAnsi="Arial" w:cs="Arial"/>
          <w:i/>
          <w:iCs/>
          <w:sz w:val="22"/>
          <w:szCs w:val="22"/>
          <w:lang w:val="en-ZA"/>
        </w:rPr>
        <w:t>d</w:t>
      </w:r>
      <w:r w:rsidR="00C067EF" w:rsidRPr="00D51582">
        <w:rPr>
          <w:rFonts w:ascii="Arial" w:hAnsi="Arial" w:cs="Arial"/>
          <w:sz w:val="22"/>
          <w:szCs w:val="22"/>
          <w:lang w:val="en-ZA"/>
        </w:rPr>
        <w:t>) or (e). This includes, among others, the national, provincial or local sphere of government, certain institutions, boards or bodies and qualifying public benefit organisations (PBO</w:t>
      </w:r>
      <w:r w:rsidRPr="00D51582">
        <w:rPr>
          <w:rFonts w:ascii="Arial" w:hAnsi="Arial" w:cs="Arial"/>
          <w:sz w:val="22"/>
          <w:szCs w:val="22"/>
          <w:lang w:val="en-ZA"/>
        </w:rPr>
        <w:t>s</w:t>
      </w:r>
      <w:r w:rsidR="00C067EF" w:rsidRPr="00D51582">
        <w:rPr>
          <w:rFonts w:ascii="Arial" w:hAnsi="Arial" w:cs="Arial"/>
          <w:sz w:val="22"/>
          <w:szCs w:val="22"/>
          <w:lang w:val="en-ZA"/>
        </w:rPr>
        <w:t xml:space="preserve">). </w:t>
      </w:r>
    </w:p>
    <w:p w14:paraId="50386D84" w14:textId="77777777" w:rsidR="00C067EF" w:rsidRDefault="00C54673" w:rsidP="00C067EF">
      <w:pPr>
        <w:pStyle w:val="ListParagraph"/>
        <w:numPr>
          <w:ilvl w:val="0"/>
          <w:numId w:val="13"/>
        </w:numPr>
        <w:spacing w:line="264" w:lineRule="auto"/>
        <w:jc w:val="both"/>
        <w:rPr>
          <w:rFonts w:ascii="Arial" w:hAnsi="Arial" w:cs="Arial"/>
          <w:sz w:val="22"/>
          <w:szCs w:val="22"/>
          <w:lang w:val="en-ZA"/>
        </w:rPr>
      </w:pPr>
      <w:r w:rsidRPr="00D51582">
        <w:rPr>
          <w:rFonts w:ascii="Arial" w:hAnsi="Arial" w:cs="Arial"/>
          <w:sz w:val="22"/>
          <w:szCs w:val="22"/>
          <w:lang w:val="en-ZA"/>
        </w:rPr>
        <w:t xml:space="preserve">Paragraph </w:t>
      </w:r>
      <w:r w:rsidR="00C067EF" w:rsidRPr="00D51582">
        <w:rPr>
          <w:rFonts w:ascii="Arial" w:hAnsi="Arial" w:cs="Arial"/>
          <w:sz w:val="22"/>
          <w:szCs w:val="22"/>
          <w:lang w:val="en-ZA"/>
        </w:rPr>
        <w:t>(</w:t>
      </w:r>
      <w:r w:rsidR="00C067EF" w:rsidRPr="00D51582">
        <w:rPr>
          <w:rFonts w:ascii="Arial" w:hAnsi="Arial" w:cs="Arial"/>
          <w:i/>
          <w:iCs/>
          <w:sz w:val="22"/>
          <w:szCs w:val="22"/>
          <w:lang w:val="en-ZA"/>
        </w:rPr>
        <w:t>o</w:t>
      </w:r>
      <w:r w:rsidR="00C067EF" w:rsidRPr="00D51582">
        <w:rPr>
          <w:rFonts w:ascii="Arial" w:hAnsi="Arial" w:cs="Arial"/>
          <w:sz w:val="22"/>
          <w:szCs w:val="22"/>
          <w:lang w:val="en-ZA"/>
        </w:rPr>
        <w:t>) exempts from donation</w:t>
      </w:r>
      <w:r w:rsidR="00D51582">
        <w:rPr>
          <w:rFonts w:ascii="Arial" w:hAnsi="Arial" w:cs="Arial"/>
          <w:sz w:val="22"/>
          <w:szCs w:val="22"/>
          <w:lang w:val="en-ZA"/>
        </w:rPr>
        <w:t>s</w:t>
      </w:r>
      <w:r w:rsidR="00C067EF" w:rsidRPr="00D51582">
        <w:rPr>
          <w:rFonts w:ascii="Arial" w:hAnsi="Arial" w:cs="Arial"/>
          <w:sz w:val="22"/>
          <w:szCs w:val="22"/>
          <w:lang w:val="en-ZA"/>
        </w:rPr>
        <w:t xml:space="preserve"> tax, a donation of property consisting of the full ownership in immovable property and meeting the following requirements:</w:t>
      </w:r>
    </w:p>
    <w:p w14:paraId="1FCE3F97" w14:textId="77777777" w:rsidR="00C86B20" w:rsidRPr="00D51582" w:rsidRDefault="00C86B20" w:rsidP="00C86B20">
      <w:pPr>
        <w:pStyle w:val="ListParagraph"/>
        <w:spacing w:line="264" w:lineRule="auto"/>
        <w:ind w:left="360"/>
        <w:jc w:val="both"/>
        <w:rPr>
          <w:rFonts w:ascii="Arial" w:hAnsi="Arial" w:cs="Arial"/>
          <w:sz w:val="22"/>
          <w:szCs w:val="22"/>
          <w:lang w:val="en-ZA"/>
        </w:rPr>
      </w:pPr>
    </w:p>
    <w:p w14:paraId="466A4724" w14:textId="77777777" w:rsidR="00C067EF" w:rsidRPr="00D51582" w:rsidRDefault="009F2CAB" w:rsidP="00C54673">
      <w:pPr>
        <w:pStyle w:val="ListParagraph"/>
        <w:numPr>
          <w:ilvl w:val="1"/>
          <w:numId w:val="13"/>
        </w:numPr>
        <w:spacing w:line="264" w:lineRule="auto"/>
        <w:ind w:left="709" w:hanging="283"/>
        <w:jc w:val="both"/>
        <w:rPr>
          <w:rFonts w:ascii="Arial" w:hAnsi="Arial" w:cs="Arial"/>
          <w:sz w:val="22"/>
          <w:szCs w:val="22"/>
          <w:lang w:val="en-ZA"/>
        </w:rPr>
      </w:pPr>
      <w:r w:rsidRPr="00D51582">
        <w:rPr>
          <w:rFonts w:ascii="Arial" w:hAnsi="Arial" w:cs="Arial"/>
          <w:sz w:val="22"/>
          <w:szCs w:val="22"/>
          <w:lang w:val="en-ZA"/>
        </w:rPr>
        <w:t>t</w:t>
      </w:r>
      <w:r w:rsidR="00C067EF" w:rsidRPr="00D51582">
        <w:rPr>
          <w:rFonts w:ascii="Arial" w:hAnsi="Arial" w:cs="Arial"/>
          <w:sz w:val="22"/>
          <w:szCs w:val="22"/>
          <w:lang w:val="en-ZA"/>
        </w:rPr>
        <w:t>he immovable property must be acquired by any beneficiary entitled to any grant or services in terms of the Land Reform Programme, as contemplated in the White Paper on South African Land Policy, 1997</w:t>
      </w:r>
      <w:r w:rsidR="003766C9" w:rsidRPr="00D51582">
        <w:rPr>
          <w:rFonts w:ascii="Arial" w:hAnsi="Arial" w:cs="Arial"/>
          <w:sz w:val="22"/>
          <w:szCs w:val="22"/>
          <w:lang w:val="en-ZA"/>
        </w:rPr>
        <w:t>, in terms of a project that has been approved by t</w:t>
      </w:r>
      <w:r w:rsidR="00C067EF" w:rsidRPr="00D51582">
        <w:rPr>
          <w:rFonts w:ascii="Arial" w:hAnsi="Arial" w:cs="Arial"/>
          <w:sz w:val="22"/>
          <w:szCs w:val="22"/>
          <w:lang w:val="en-ZA"/>
        </w:rPr>
        <w:t xml:space="preserve">he </w:t>
      </w:r>
      <w:r w:rsidR="003766C9" w:rsidRPr="00D51582">
        <w:rPr>
          <w:rFonts w:ascii="Arial" w:hAnsi="Arial" w:cs="Arial"/>
          <w:sz w:val="22"/>
          <w:szCs w:val="22"/>
          <w:lang w:val="en-ZA"/>
        </w:rPr>
        <w:t>M</w:t>
      </w:r>
      <w:r w:rsidR="00C067EF" w:rsidRPr="00D51582">
        <w:rPr>
          <w:rFonts w:ascii="Arial" w:hAnsi="Arial" w:cs="Arial"/>
          <w:sz w:val="22"/>
          <w:szCs w:val="22"/>
          <w:lang w:val="en-ZA"/>
        </w:rPr>
        <w:t>inister of Land Affairs or a duly designated person</w:t>
      </w:r>
      <w:r w:rsidR="00C54673" w:rsidRPr="00D51582">
        <w:rPr>
          <w:rFonts w:ascii="Arial" w:hAnsi="Arial" w:cs="Arial"/>
          <w:sz w:val="22"/>
          <w:szCs w:val="22"/>
          <w:lang w:val="en-ZA"/>
        </w:rPr>
        <w:t>; or</w:t>
      </w:r>
    </w:p>
    <w:p w14:paraId="76380E43" w14:textId="77777777" w:rsidR="00C067EF" w:rsidRPr="00D51582" w:rsidRDefault="009F2CAB" w:rsidP="00C54673">
      <w:pPr>
        <w:pStyle w:val="ListParagraph"/>
        <w:numPr>
          <w:ilvl w:val="1"/>
          <w:numId w:val="13"/>
        </w:numPr>
        <w:spacing w:line="264" w:lineRule="auto"/>
        <w:ind w:left="709" w:hanging="283"/>
        <w:jc w:val="both"/>
        <w:rPr>
          <w:rFonts w:ascii="Arial" w:hAnsi="Arial" w:cs="Arial"/>
          <w:sz w:val="22"/>
          <w:szCs w:val="22"/>
          <w:lang w:val="en-ZA"/>
        </w:rPr>
      </w:pPr>
      <w:r w:rsidRPr="00D51582">
        <w:rPr>
          <w:rFonts w:ascii="Arial" w:hAnsi="Arial" w:cs="Arial"/>
          <w:sz w:val="22"/>
          <w:szCs w:val="22"/>
          <w:lang w:val="en-ZA"/>
        </w:rPr>
        <w:t>t</w:t>
      </w:r>
      <w:r w:rsidR="00C067EF" w:rsidRPr="00D51582">
        <w:rPr>
          <w:rFonts w:ascii="Arial" w:hAnsi="Arial" w:cs="Arial"/>
          <w:sz w:val="22"/>
          <w:szCs w:val="22"/>
          <w:lang w:val="en-ZA"/>
        </w:rPr>
        <w:t>he donation of immovable property must have been made under land reform initiatives by virtue of the measures contemplated in Chapter 6 of the National Development Plan: Vision 2030 of 11 November 2011</w:t>
      </w:r>
      <w:r w:rsidR="00D51582">
        <w:rPr>
          <w:rFonts w:ascii="Arial" w:hAnsi="Arial" w:cs="Arial"/>
          <w:sz w:val="22"/>
          <w:szCs w:val="22"/>
          <w:lang w:val="en-ZA"/>
        </w:rPr>
        <w:t>, released by the National Planning Commission, Presidency of the Republic of South Africa</w:t>
      </w:r>
      <w:r w:rsidR="00C067EF" w:rsidRPr="00D51582">
        <w:rPr>
          <w:rFonts w:ascii="Arial" w:hAnsi="Arial" w:cs="Arial"/>
          <w:sz w:val="22"/>
          <w:szCs w:val="22"/>
          <w:lang w:val="en-ZA"/>
        </w:rPr>
        <w:t xml:space="preserve">. </w:t>
      </w:r>
    </w:p>
    <w:p w14:paraId="5F88068A" w14:textId="77777777" w:rsidR="00C067EF" w:rsidRPr="00D51582" w:rsidRDefault="00C067EF" w:rsidP="00C067EF">
      <w:pPr>
        <w:spacing w:line="264" w:lineRule="auto"/>
        <w:jc w:val="both"/>
        <w:rPr>
          <w:rFonts w:ascii="Arial" w:hAnsi="Arial" w:cs="Arial"/>
          <w:sz w:val="22"/>
          <w:szCs w:val="22"/>
          <w:lang w:val="en-ZA"/>
        </w:rPr>
      </w:pPr>
    </w:p>
    <w:p w14:paraId="006FD30C" w14:textId="77777777" w:rsidR="00C067EF" w:rsidRPr="00D51582" w:rsidRDefault="00C067EF" w:rsidP="00C067EF">
      <w:pPr>
        <w:spacing w:line="264" w:lineRule="auto"/>
        <w:jc w:val="both"/>
        <w:rPr>
          <w:rFonts w:ascii="Arial" w:hAnsi="Arial" w:cs="Arial"/>
          <w:sz w:val="22"/>
          <w:szCs w:val="22"/>
          <w:lang w:val="en-ZA"/>
        </w:rPr>
      </w:pPr>
      <w:r w:rsidRPr="00D51582">
        <w:rPr>
          <w:rFonts w:ascii="Arial" w:hAnsi="Arial" w:cs="Arial"/>
          <w:sz w:val="22"/>
          <w:szCs w:val="22"/>
          <w:lang w:val="en-ZA"/>
        </w:rPr>
        <w:t>Paragraph 62(</w:t>
      </w:r>
      <w:r w:rsidRPr="00D51582">
        <w:rPr>
          <w:rFonts w:ascii="Arial" w:hAnsi="Arial" w:cs="Arial"/>
          <w:i/>
          <w:iCs/>
          <w:sz w:val="22"/>
          <w:szCs w:val="22"/>
          <w:lang w:val="en-ZA"/>
        </w:rPr>
        <w:t>a</w:t>
      </w:r>
      <w:r w:rsidRPr="00D51582">
        <w:rPr>
          <w:rFonts w:ascii="Arial" w:hAnsi="Arial" w:cs="Arial"/>
          <w:sz w:val="22"/>
          <w:szCs w:val="22"/>
          <w:lang w:val="en-ZA"/>
        </w:rPr>
        <w:t>) of the Eighth Schedule</w:t>
      </w:r>
      <w:r w:rsidR="00C54673" w:rsidRPr="00D51582">
        <w:rPr>
          <w:rFonts w:ascii="Arial" w:hAnsi="Arial" w:cs="Arial"/>
          <w:sz w:val="22"/>
          <w:szCs w:val="22"/>
          <w:lang w:val="en-ZA"/>
        </w:rPr>
        <w:t xml:space="preserve"> to the Act</w:t>
      </w:r>
      <w:r w:rsidRPr="00D51582">
        <w:rPr>
          <w:rFonts w:ascii="Arial" w:hAnsi="Arial" w:cs="Arial"/>
          <w:sz w:val="22"/>
          <w:szCs w:val="22"/>
          <w:lang w:val="en-ZA"/>
        </w:rPr>
        <w:t xml:space="preserve"> provides that a person must disregard a capital gain or capital loss determined in respect of the donation or bequest of any asset by that person to the government in the national, provincial or local sphere. Paragraph 64D of the Eighth </w:t>
      </w:r>
      <w:r w:rsidRPr="00D51582">
        <w:rPr>
          <w:rFonts w:ascii="Arial" w:hAnsi="Arial" w:cs="Arial"/>
          <w:sz w:val="22"/>
          <w:szCs w:val="22"/>
          <w:lang w:val="en-ZA"/>
        </w:rPr>
        <w:lastRenderedPageBreak/>
        <w:t xml:space="preserve">Schedule provides that a person must disregard any capital gain or capital loss in respect of a donation of land or right to land under a land reform initiative contemplated in Chapter 6 of the National Development Plan: Vision 2030 of 11 November 2011. </w:t>
      </w:r>
    </w:p>
    <w:p w14:paraId="5D0030F3" w14:textId="77777777" w:rsidR="00C067EF" w:rsidRPr="00D51582" w:rsidRDefault="00C067EF" w:rsidP="00C067EF">
      <w:pPr>
        <w:spacing w:line="264" w:lineRule="auto"/>
        <w:jc w:val="both"/>
        <w:rPr>
          <w:rFonts w:ascii="Arial" w:hAnsi="Arial" w:cs="Arial"/>
          <w:sz w:val="22"/>
          <w:szCs w:val="22"/>
          <w:lang w:val="en-ZA"/>
        </w:rPr>
      </w:pPr>
    </w:p>
    <w:p w14:paraId="6B62BFF4" w14:textId="77777777" w:rsidR="009F2CAB" w:rsidRDefault="00C067EF" w:rsidP="009F2CAB">
      <w:pPr>
        <w:tabs>
          <w:tab w:val="left" w:pos="432"/>
          <w:tab w:val="left" w:pos="864"/>
        </w:tabs>
        <w:spacing w:line="276" w:lineRule="auto"/>
        <w:jc w:val="both"/>
        <w:rPr>
          <w:rFonts w:ascii="Arial" w:hAnsi="Arial" w:cs="Arial"/>
          <w:sz w:val="22"/>
          <w:szCs w:val="22"/>
          <w:lang w:val="en-ZA"/>
        </w:rPr>
      </w:pPr>
      <w:r w:rsidRPr="00D51582">
        <w:rPr>
          <w:rFonts w:ascii="Arial" w:hAnsi="Arial" w:cs="Arial"/>
          <w:sz w:val="22"/>
          <w:szCs w:val="22"/>
          <w:lang w:val="en-ZA"/>
        </w:rPr>
        <w:t xml:space="preserve">A </w:t>
      </w:r>
      <w:r w:rsidRPr="00D51582">
        <w:rPr>
          <w:rFonts w:ascii="Arial" w:hAnsi="Arial" w:cs="Arial"/>
          <w:i/>
          <w:iCs/>
          <w:sz w:val="22"/>
          <w:szCs w:val="22"/>
          <w:lang w:val="en-ZA"/>
        </w:rPr>
        <w:t>bona fide</w:t>
      </w:r>
      <w:r w:rsidRPr="00D51582">
        <w:rPr>
          <w:rFonts w:ascii="Arial" w:hAnsi="Arial" w:cs="Arial"/>
          <w:sz w:val="22"/>
          <w:szCs w:val="22"/>
          <w:lang w:val="en-ZA"/>
        </w:rPr>
        <w:t xml:space="preserve"> donation </w:t>
      </w:r>
      <w:r w:rsidR="003766C9" w:rsidRPr="00D51582">
        <w:rPr>
          <w:rFonts w:ascii="Arial" w:hAnsi="Arial" w:cs="Arial"/>
          <w:sz w:val="22"/>
          <w:szCs w:val="22"/>
          <w:lang w:val="en-ZA"/>
        </w:rPr>
        <w:t xml:space="preserve">of land </w:t>
      </w:r>
      <w:r w:rsidRPr="00D51582">
        <w:rPr>
          <w:rFonts w:ascii="Arial" w:hAnsi="Arial" w:cs="Arial"/>
          <w:sz w:val="22"/>
          <w:szCs w:val="22"/>
          <w:lang w:val="en-ZA"/>
        </w:rPr>
        <w:t xml:space="preserve">made </w:t>
      </w:r>
      <w:r w:rsidR="009F2CAB" w:rsidRPr="00D51582">
        <w:rPr>
          <w:rFonts w:ascii="Arial" w:hAnsi="Arial" w:cs="Arial"/>
          <w:sz w:val="22"/>
          <w:szCs w:val="22"/>
          <w:lang w:val="en-ZA"/>
        </w:rPr>
        <w:t xml:space="preserve">may qualify </w:t>
      </w:r>
      <w:r w:rsidR="00D51582">
        <w:rPr>
          <w:rFonts w:ascii="Arial" w:hAnsi="Arial" w:cs="Arial"/>
          <w:sz w:val="22"/>
          <w:szCs w:val="22"/>
          <w:lang w:val="en-ZA"/>
        </w:rPr>
        <w:t>as</w:t>
      </w:r>
      <w:r w:rsidR="009F2CAB" w:rsidRPr="00D51582">
        <w:rPr>
          <w:rFonts w:ascii="Arial" w:hAnsi="Arial" w:cs="Arial"/>
          <w:sz w:val="22"/>
          <w:szCs w:val="22"/>
          <w:lang w:val="en-ZA"/>
        </w:rPr>
        <w:t xml:space="preserve"> a</w:t>
      </w:r>
      <w:r w:rsidR="00D51582">
        <w:rPr>
          <w:rFonts w:ascii="Arial" w:hAnsi="Arial" w:cs="Arial"/>
          <w:sz w:val="22"/>
          <w:szCs w:val="22"/>
          <w:lang w:val="en-ZA"/>
        </w:rPr>
        <w:t xml:space="preserve">n income tax </w:t>
      </w:r>
      <w:r w:rsidR="009F2CAB" w:rsidRPr="00D51582">
        <w:rPr>
          <w:rFonts w:ascii="Arial" w:hAnsi="Arial" w:cs="Arial"/>
          <w:sz w:val="22"/>
          <w:szCs w:val="22"/>
          <w:lang w:val="en-ZA"/>
        </w:rPr>
        <w:t>deduction under section 18A of the Act if all the legislated requirements are met and, in particular:</w:t>
      </w:r>
    </w:p>
    <w:p w14:paraId="466AEB9A" w14:textId="77777777" w:rsidR="00C86B20" w:rsidRPr="00D51582" w:rsidRDefault="00C86B20" w:rsidP="009F2CAB">
      <w:pPr>
        <w:tabs>
          <w:tab w:val="left" w:pos="432"/>
          <w:tab w:val="left" w:pos="864"/>
        </w:tabs>
        <w:spacing w:line="276" w:lineRule="auto"/>
        <w:jc w:val="both"/>
        <w:rPr>
          <w:rFonts w:ascii="Arial" w:hAnsi="Arial" w:cs="Arial"/>
          <w:sz w:val="22"/>
          <w:szCs w:val="22"/>
          <w:lang w:val="en-ZA"/>
        </w:rPr>
      </w:pPr>
    </w:p>
    <w:p w14:paraId="0EDD4572" w14:textId="77777777" w:rsidR="009F2CAB" w:rsidRPr="00D51582" w:rsidRDefault="009F2CAB" w:rsidP="009F2CAB">
      <w:pPr>
        <w:pStyle w:val="ListParagraph"/>
        <w:numPr>
          <w:ilvl w:val="0"/>
          <w:numId w:val="14"/>
        </w:numPr>
        <w:tabs>
          <w:tab w:val="left" w:pos="432"/>
          <w:tab w:val="left" w:pos="864"/>
        </w:tabs>
        <w:spacing w:line="276" w:lineRule="auto"/>
        <w:jc w:val="both"/>
        <w:rPr>
          <w:rFonts w:ascii="Arial" w:hAnsi="Arial" w:cs="Arial"/>
          <w:sz w:val="22"/>
          <w:szCs w:val="22"/>
          <w:lang w:val="en-ZA"/>
        </w:rPr>
      </w:pPr>
      <w:r w:rsidRPr="00D51582">
        <w:rPr>
          <w:rFonts w:ascii="Arial" w:hAnsi="Arial" w:cs="Arial"/>
          <w:sz w:val="22"/>
          <w:szCs w:val="22"/>
          <w:lang w:val="en-ZA"/>
        </w:rPr>
        <w:t>if the donation is made to a PBO, the PBO</w:t>
      </w:r>
      <w:r w:rsidR="00C067EF" w:rsidRPr="00D51582">
        <w:rPr>
          <w:rFonts w:ascii="Arial" w:hAnsi="Arial" w:cs="Arial"/>
          <w:sz w:val="22"/>
          <w:szCs w:val="22"/>
          <w:lang w:val="en-ZA"/>
        </w:rPr>
        <w:t xml:space="preserve"> </w:t>
      </w:r>
      <w:r w:rsidRPr="00D51582">
        <w:rPr>
          <w:rFonts w:ascii="Arial" w:hAnsi="Arial" w:cs="Arial"/>
          <w:sz w:val="22"/>
          <w:szCs w:val="22"/>
          <w:lang w:val="en-ZA"/>
        </w:rPr>
        <w:t xml:space="preserve">has been </w:t>
      </w:r>
      <w:r w:rsidR="003766C9" w:rsidRPr="00D51582">
        <w:rPr>
          <w:rFonts w:ascii="Arial" w:hAnsi="Arial" w:cs="Arial"/>
          <w:sz w:val="22"/>
          <w:szCs w:val="22"/>
          <w:lang w:val="en-ZA"/>
        </w:rPr>
        <w:t>approved under sections 18A and 30</w:t>
      </w:r>
      <w:r w:rsidRPr="00D51582">
        <w:rPr>
          <w:rFonts w:ascii="Arial" w:hAnsi="Arial" w:cs="Arial"/>
          <w:sz w:val="22"/>
          <w:szCs w:val="22"/>
          <w:lang w:val="en-ZA"/>
        </w:rPr>
        <w:t>;</w:t>
      </w:r>
    </w:p>
    <w:p w14:paraId="59BDD95D" w14:textId="77777777" w:rsidR="009F2CAB" w:rsidRPr="00D51582" w:rsidRDefault="009F2CAB" w:rsidP="009F2CAB">
      <w:pPr>
        <w:pStyle w:val="ListParagraph"/>
        <w:numPr>
          <w:ilvl w:val="0"/>
          <w:numId w:val="14"/>
        </w:numPr>
        <w:tabs>
          <w:tab w:val="left" w:pos="432"/>
          <w:tab w:val="left" w:pos="864"/>
        </w:tabs>
        <w:spacing w:line="276" w:lineRule="auto"/>
        <w:jc w:val="both"/>
        <w:rPr>
          <w:rFonts w:ascii="Arial" w:hAnsi="Arial" w:cs="Arial"/>
          <w:sz w:val="22"/>
          <w:szCs w:val="22"/>
          <w:lang w:val="en-ZA"/>
        </w:rPr>
      </w:pPr>
      <w:r w:rsidRPr="00D51582">
        <w:rPr>
          <w:rFonts w:ascii="Arial" w:hAnsi="Arial" w:cs="Arial"/>
          <w:sz w:val="22"/>
          <w:szCs w:val="22"/>
          <w:lang w:val="en-ZA"/>
        </w:rPr>
        <w:t xml:space="preserve">if the donation is made to </w:t>
      </w:r>
      <w:r w:rsidR="003766C9" w:rsidRPr="00D51582">
        <w:rPr>
          <w:rFonts w:ascii="Arial" w:hAnsi="Arial" w:cs="Arial"/>
          <w:sz w:val="22"/>
          <w:szCs w:val="22"/>
          <w:lang w:val="en-ZA"/>
        </w:rPr>
        <w:t>a department of government in the n</w:t>
      </w:r>
      <w:r w:rsidRPr="00D51582">
        <w:rPr>
          <w:rFonts w:ascii="Arial" w:hAnsi="Arial" w:cs="Arial"/>
          <w:sz w:val="22"/>
          <w:szCs w:val="22"/>
          <w:lang w:val="en-ZA"/>
        </w:rPr>
        <w:t>ational, provincial or local sph</w:t>
      </w:r>
      <w:r w:rsidR="003766C9" w:rsidRPr="00D51582">
        <w:rPr>
          <w:rFonts w:ascii="Arial" w:hAnsi="Arial" w:cs="Arial"/>
          <w:sz w:val="22"/>
          <w:szCs w:val="22"/>
          <w:lang w:val="en-ZA"/>
        </w:rPr>
        <w:t>ere</w:t>
      </w:r>
      <w:r w:rsidRPr="00D51582">
        <w:rPr>
          <w:rFonts w:ascii="Arial" w:hAnsi="Arial" w:cs="Arial"/>
          <w:sz w:val="22"/>
          <w:szCs w:val="22"/>
          <w:lang w:val="en-ZA"/>
        </w:rPr>
        <w:t>,</w:t>
      </w:r>
      <w:r w:rsidR="003766C9" w:rsidRPr="00D51582">
        <w:rPr>
          <w:rFonts w:ascii="Arial" w:hAnsi="Arial" w:cs="Arial"/>
          <w:sz w:val="22"/>
          <w:szCs w:val="22"/>
          <w:lang w:val="en-ZA"/>
        </w:rPr>
        <w:t xml:space="preserve"> </w:t>
      </w:r>
      <w:r w:rsidRPr="00D51582">
        <w:rPr>
          <w:rFonts w:ascii="Arial" w:hAnsi="Arial" w:cs="Arial"/>
          <w:sz w:val="22"/>
          <w:szCs w:val="22"/>
          <w:lang w:val="en-ZA"/>
        </w:rPr>
        <w:t xml:space="preserve">the department </w:t>
      </w:r>
      <w:r w:rsidR="003766C9" w:rsidRPr="00D51582">
        <w:rPr>
          <w:rFonts w:ascii="Arial" w:hAnsi="Arial" w:cs="Arial"/>
          <w:sz w:val="22"/>
          <w:szCs w:val="22"/>
          <w:lang w:val="en-ZA"/>
        </w:rPr>
        <w:t>has been approved under section 18</w:t>
      </w:r>
      <w:r w:rsidRPr="00D51582">
        <w:rPr>
          <w:rFonts w:ascii="Arial" w:hAnsi="Arial" w:cs="Arial"/>
          <w:sz w:val="22"/>
          <w:szCs w:val="22"/>
          <w:lang w:val="en-ZA"/>
        </w:rPr>
        <w:t>A; and</w:t>
      </w:r>
    </w:p>
    <w:p w14:paraId="6348B267" w14:textId="77777777" w:rsidR="00C067EF" w:rsidRPr="00D51582" w:rsidRDefault="009F2CAB" w:rsidP="009F2CAB">
      <w:pPr>
        <w:pStyle w:val="ListParagraph"/>
        <w:numPr>
          <w:ilvl w:val="0"/>
          <w:numId w:val="14"/>
        </w:numPr>
        <w:tabs>
          <w:tab w:val="left" w:pos="432"/>
          <w:tab w:val="left" w:pos="864"/>
        </w:tabs>
        <w:spacing w:line="276" w:lineRule="auto"/>
        <w:jc w:val="both"/>
        <w:rPr>
          <w:rFonts w:ascii="Arial" w:eastAsia="Calibri" w:hAnsi="Arial" w:cs="Arial"/>
          <w:sz w:val="22"/>
          <w:szCs w:val="22"/>
          <w:lang w:val="en-ZA" w:eastAsia="en-ZA"/>
        </w:rPr>
      </w:pPr>
      <w:r w:rsidRPr="00D51582">
        <w:rPr>
          <w:rFonts w:ascii="Arial" w:hAnsi="Arial" w:cs="Arial"/>
          <w:sz w:val="22"/>
          <w:szCs w:val="22"/>
          <w:lang w:val="en-ZA"/>
        </w:rPr>
        <w:t xml:space="preserve">the recipient of the donation </w:t>
      </w:r>
      <w:r w:rsidR="00C067EF" w:rsidRPr="00D51582">
        <w:rPr>
          <w:rFonts w:ascii="Arial" w:hAnsi="Arial" w:cs="Arial"/>
          <w:sz w:val="22"/>
          <w:szCs w:val="22"/>
          <w:lang w:val="en-ZA"/>
        </w:rPr>
        <w:t xml:space="preserve">actively carries on </w:t>
      </w:r>
      <w:r w:rsidR="00244657" w:rsidRPr="00D51582">
        <w:rPr>
          <w:rFonts w:ascii="Arial" w:hAnsi="Arial" w:cs="Arial"/>
          <w:sz w:val="22"/>
          <w:szCs w:val="22"/>
          <w:lang w:val="en-ZA"/>
        </w:rPr>
        <w:t xml:space="preserve">a </w:t>
      </w:r>
      <w:r w:rsidRPr="00D51582">
        <w:rPr>
          <w:rFonts w:ascii="Arial" w:hAnsi="Arial" w:cs="Arial"/>
          <w:sz w:val="22"/>
          <w:szCs w:val="22"/>
          <w:lang w:val="en-ZA"/>
        </w:rPr>
        <w:t>listed</w:t>
      </w:r>
      <w:r w:rsidR="00C067EF" w:rsidRPr="00D51582">
        <w:rPr>
          <w:rFonts w:ascii="Arial" w:hAnsi="Arial" w:cs="Arial"/>
          <w:sz w:val="22"/>
          <w:szCs w:val="22"/>
          <w:lang w:val="en-ZA"/>
        </w:rPr>
        <w:t xml:space="preserve"> </w:t>
      </w:r>
      <w:r w:rsidR="00D51582">
        <w:rPr>
          <w:rFonts w:ascii="Arial" w:hAnsi="Arial" w:cs="Arial"/>
          <w:sz w:val="22"/>
          <w:szCs w:val="22"/>
          <w:lang w:val="en-ZA"/>
        </w:rPr>
        <w:t>public benefit activity (</w:t>
      </w:r>
      <w:r w:rsidR="00C067EF" w:rsidRPr="00D51582">
        <w:rPr>
          <w:rFonts w:ascii="Arial" w:hAnsi="Arial" w:cs="Arial"/>
          <w:sz w:val="22"/>
          <w:szCs w:val="22"/>
          <w:lang w:val="en-ZA"/>
        </w:rPr>
        <w:t>PBA</w:t>
      </w:r>
      <w:r w:rsidR="00D51582">
        <w:rPr>
          <w:rFonts w:ascii="Arial" w:hAnsi="Arial" w:cs="Arial"/>
          <w:sz w:val="22"/>
          <w:szCs w:val="22"/>
          <w:lang w:val="en-ZA"/>
        </w:rPr>
        <w:t>)</w:t>
      </w:r>
      <w:r w:rsidR="00C067EF" w:rsidRPr="00D51582">
        <w:rPr>
          <w:rFonts w:ascii="Arial" w:hAnsi="Arial" w:cs="Arial"/>
          <w:sz w:val="22"/>
          <w:szCs w:val="22"/>
          <w:lang w:val="en-ZA"/>
        </w:rPr>
        <w:t xml:space="preserve"> </w:t>
      </w:r>
      <w:r w:rsidRPr="00D51582">
        <w:rPr>
          <w:rFonts w:ascii="Arial" w:hAnsi="Arial" w:cs="Arial"/>
          <w:sz w:val="22"/>
          <w:szCs w:val="22"/>
          <w:lang w:val="en-ZA"/>
        </w:rPr>
        <w:t>and applies such donations solely for the purposes of the PBA</w:t>
      </w:r>
      <w:r w:rsidR="00C067EF" w:rsidRPr="00D51582">
        <w:rPr>
          <w:rFonts w:ascii="Arial" w:hAnsi="Arial" w:cs="Arial"/>
          <w:sz w:val="22"/>
          <w:szCs w:val="22"/>
          <w:lang w:val="en-ZA"/>
        </w:rPr>
        <w:t>.</w:t>
      </w:r>
    </w:p>
    <w:p w14:paraId="76F10FA7" w14:textId="77777777" w:rsidR="00C067EF" w:rsidRPr="00D51582" w:rsidRDefault="00C067EF" w:rsidP="00EC347E">
      <w:pPr>
        <w:tabs>
          <w:tab w:val="left" w:pos="432"/>
          <w:tab w:val="left" w:pos="864"/>
        </w:tabs>
        <w:spacing w:line="276" w:lineRule="auto"/>
        <w:rPr>
          <w:rFonts w:ascii="Arial" w:eastAsia="Calibri" w:hAnsi="Arial" w:cs="Arial"/>
          <w:sz w:val="22"/>
          <w:szCs w:val="22"/>
          <w:lang w:val="en-ZA" w:eastAsia="en-ZA"/>
        </w:rPr>
      </w:pPr>
    </w:p>
    <w:p w14:paraId="18F26BA3" w14:textId="77777777" w:rsidR="00244657" w:rsidRDefault="00244657" w:rsidP="00244657">
      <w:pPr>
        <w:spacing w:line="264" w:lineRule="auto"/>
        <w:jc w:val="both"/>
        <w:rPr>
          <w:rFonts w:ascii="Arial" w:hAnsi="Arial" w:cs="Arial"/>
          <w:sz w:val="22"/>
          <w:szCs w:val="22"/>
          <w:lang w:val="en-ZA"/>
        </w:rPr>
      </w:pPr>
      <w:r w:rsidRPr="00D51582">
        <w:rPr>
          <w:rFonts w:ascii="Arial" w:hAnsi="Arial" w:cs="Arial"/>
          <w:sz w:val="22"/>
          <w:szCs w:val="22"/>
          <w:lang w:val="en-ZA"/>
        </w:rPr>
        <w:t>Part II of the Ninth Schedule to the Act lists a PBA under the heading “Land and Housing” in paragraph 5(</w:t>
      </w:r>
      <w:r w:rsidRPr="00D51582">
        <w:rPr>
          <w:rFonts w:ascii="Arial" w:hAnsi="Arial" w:cs="Arial"/>
          <w:i/>
          <w:iCs/>
          <w:sz w:val="22"/>
          <w:szCs w:val="22"/>
          <w:lang w:val="en-ZA"/>
        </w:rPr>
        <w:t>e</w:t>
      </w:r>
      <w:r w:rsidRPr="00D51582">
        <w:rPr>
          <w:rFonts w:ascii="Arial" w:hAnsi="Arial" w:cs="Arial"/>
          <w:sz w:val="22"/>
          <w:szCs w:val="22"/>
          <w:lang w:val="en-ZA"/>
        </w:rPr>
        <w:t>) that reads as follows.</w:t>
      </w:r>
    </w:p>
    <w:p w14:paraId="27180A55" w14:textId="77777777" w:rsidR="00D51582" w:rsidRPr="00D51582" w:rsidRDefault="00D51582" w:rsidP="00244657">
      <w:pPr>
        <w:spacing w:line="264" w:lineRule="auto"/>
        <w:jc w:val="both"/>
        <w:rPr>
          <w:rFonts w:ascii="Arial" w:hAnsi="Arial" w:cs="Arial"/>
          <w:sz w:val="22"/>
          <w:szCs w:val="22"/>
          <w:lang w:val="en-ZA"/>
        </w:rPr>
      </w:pPr>
    </w:p>
    <w:p w14:paraId="6051289B" w14:textId="77777777" w:rsidR="00244657" w:rsidRPr="00D51582" w:rsidRDefault="00244657" w:rsidP="00244657">
      <w:pPr>
        <w:spacing w:line="264" w:lineRule="auto"/>
        <w:ind w:left="357"/>
        <w:jc w:val="both"/>
        <w:rPr>
          <w:rFonts w:ascii="Arial" w:hAnsi="Arial" w:cs="Arial"/>
          <w:sz w:val="22"/>
          <w:szCs w:val="22"/>
          <w:lang w:val="en-ZA"/>
        </w:rPr>
      </w:pPr>
      <w:r w:rsidRPr="00D51582">
        <w:rPr>
          <w:rFonts w:ascii="Arial" w:hAnsi="Arial" w:cs="Arial"/>
          <w:sz w:val="22"/>
          <w:szCs w:val="22"/>
          <w:lang w:val="en-ZA"/>
        </w:rPr>
        <w:t>“The promotion, facilitation and support of access to land and use of land, housing infrastructural development for promoting official land reform programmes.”</w:t>
      </w:r>
    </w:p>
    <w:p w14:paraId="248FB853" w14:textId="77777777" w:rsidR="00244657" w:rsidRPr="00D51582" w:rsidRDefault="00244657" w:rsidP="00244657">
      <w:pPr>
        <w:spacing w:line="264" w:lineRule="auto"/>
        <w:ind w:left="357"/>
        <w:jc w:val="both"/>
        <w:rPr>
          <w:rFonts w:ascii="Arial" w:hAnsi="Arial" w:cs="Arial"/>
          <w:sz w:val="22"/>
          <w:szCs w:val="22"/>
          <w:lang w:val="en-ZA"/>
        </w:rPr>
      </w:pPr>
    </w:p>
    <w:p w14:paraId="389EFEDA" w14:textId="77777777" w:rsidR="00E1520C" w:rsidRPr="00D51582" w:rsidRDefault="00244657" w:rsidP="00244657">
      <w:pPr>
        <w:spacing w:after="240" w:line="264" w:lineRule="auto"/>
        <w:jc w:val="both"/>
        <w:rPr>
          <w:rFonts w:ascii="Arial" w:hAnsi="Arial" w:cs="Arial"/>
          <w:b/>
          <w:sz w:val="22"/>
          <w:szCs w:val="22"/>
          <w:u w:val="single"/>
          <w:lang w:val="en-ZA"/>
        </w:rPr>
      </w:pPr>
      <w:r w:rsidRPr="00D51582">
        <w:rPr>
          <w:rFonts w:ascii="Arial" w:hAnsi="Arial" w:cs="Arial"/>
          <w:sz w:val="22"/>
          <w:szCs w:val="22"/>
          <w:lang w:val="en-ZA"/>
        </w:rPr>
        <w:t>This PBA is broader and more multifaceted than the donation of land resulting from an official land reform programme.</w:t>
      </w:r>
    </w:p>
    <w:p w14:paraId="46A3BB99" w14:textId="77777777" w:rsidR="00E1520C" w:rsidRDefault="00E1520C" w:rsidP="007A78C0">
      <w:pPr>
        <w:tabs>
          <w:tab w:val="left" w:pos="432"/>
          <w:tab w:val="left" w:pos="864"/>
        </w:tabs>
        <w:spacing w:line="360" w:lineRule="auto"/>
        <w:rPr>
          <w:rFonts w:ascii="Arial" w:hAnsi="Arial" w:cs="Arial"/>
          <w:b/>
          <w:sz w:val="22"/>
          <w:szCs w:val="22"/>
          <w:u w:val="single"/>
        </w:rPr>
      </w:pPr>
    </w:p>
    <w:p w14:paraId="1260C496" w14:textId="77777777" w:rsidR="008C0D4C" w:rsidRDefault="008C0D4C" w:rsidP="007A78C0">
      <w:pPr>
        <w:tabs>
          <w:tab w:val="left" w:pos="432"/>
          <w:tab w:val="left" w:pos="864"/>
        </w:tabs>
        <w:spacing w:line="360" w:lineRule="auto"/>
        <w:rPr>
          <w:rFonts w:ascii="Arial" w:hAnsi="Arial" w:cs="Arial"/>
          <w:b/>
          <w:sz w:val="22"/>
          <w:szCs w:val="22"/>
          <w:u w:val="single"/>
        </w:rPr>
      </w:pPr>
    </w:p>
    <w:p w14:paraId="25626677" w14:textId="77777777" w:rsidR="008C0D4C" w:rsidRDefault="008C0D4C" w:rsidP="007A78C0">
      <w:pPr>
        <w:tabs>
          <w:tab w:val="left" w:pos="432"/>
          <w:tab w:val="left" w:pos="864"/>
        </w:tabs>
        <w:spacing w:line="360" w:lineRule="auto"/>
        <w:rPr>
          <w:rFonts w:ascii="Arial" w:hAnsi="Arial" w:cs="Arial"/>
          <w:b/>
          <w:sz w:val="22"/>
          <w:szCs w:val="22"/>
          <w:u w:val="single"/>
        </w:rPr>
      </w:pPr>
    </w:p>
    <w:sectPr w:rsidR="008C0D4C"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80FCC" w14:textId="77777777" w:rsidR="003A1260" w:rsidRDefault="003A1260" w:rsidP="00380E88">
      <w:r>
        <w:separator/>
      </w:r>
    </w:p>
  </w:endnote>
  <w:endnote w:type="continuationSeparator" w:id="0">
    <w:p w14:paraId="36E4A2C8" w14:textId="77777777" w:rsidR="003A1260" w:rsidRDefault="003A1260"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58075" w14:textId="77777777" w:rsidR="003A1260" w:rsidRDefault="003A1260" w:rsidP="00380E88">
      <w:r>
        <w:separator/>
      </w:r>
    </w:p>
  </w:footnote>
  <w:footnote w:type="continuationSeparator" w:id="0">
    <w:p w14:paraId="70C75382" w14:textId="77777777" w:rsidR="003A1260" w:rsidRDefault="003A1260"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DF95385"/>
    <w:multiLevelType w:val="hybridMultilevel"/>
    <w:tmpl w:val="9F422C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F33340"/>
    <w:multiLevelType w:val="hybridMultilevel"/>
    <w:tmpl w:val="72B05E3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11"/>
  </w:num>
  <w:num w:numId="6">
    <w:abstractNumId w:val="1"/>
  </w:num>
  <w:num w:numId="7">
    <w:abstractNumId w:val="1"/>
  </w:num>
  <w:num w:numId="8">
    <w:abstractNumId w:val="12"/>
  </w:num>
  <w:num w:numId="9">
    <w:abstractNumId w:val="0"/>
  </w:num>
  <w:num w:numId="10">
    <w:abstractNumId w:val="3"/>
  </w:num>
  <w:num w:numId="11">
    <w:abstractNumId w:val="10"/>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5FA7"/>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44657"/>
    <w:rsid w:val="00251791"/>
    <w:rsid w:val="00260251"/>
    <w:rsid w:val="00262F05"/>
    <w:rsid w:val="002855CE"/>
    <w:rsid w:val="00285EA1"/>
    <w:rsid w:val="0028635F"/>
    <w:rsid w:val="002867DD"/>
    <w:rsid w:val="002927CD"/>
    <w:rsid w:val="002A4157"/>
    <w:rsid w:val="002B3B25"/>
    <w:rsid w:val="002B6B38"/>
    <w:rsid w:val="002B7345"/>
    <w:rsid w:val="002D104B"/>
    <w:rsid w:val="002D2A4C"/>
    <w:rsid w:val="002D499A"/>
    <w:rsid w:val="002E4AA0"/>
    <w:rsid w:val="002F6E86"/>
    <w:rsid w:val="00326CF2"/>
    <w:rsid w:val="003421BD"/>
    <w:rsid w:val="00344553"/>
    <w:rsid w:val="00345531"/>
    <w:rsid w:val="00346695"/>
    <w:rsid w:val="00346D9F"/>
    <w:rsid w:val="00351BF5"/>
    <w:rsid w:val="00354BA4"/>
    <w:rsid w:val="003766C9"/>
    <w:rsid w:val="0037795E"/>
    <w:rsid w:val="00380E88"/>
    <w:rsid w:val="00393919"/>
    <w:rsid w:val="003A1260"/>
    <w:rsid w:val="003A5B00"/>
    <w:rsid w:val="003A5FF1"/>
    <w:rsid w:val="003A6BD5"/>
    <w:rsid w:val="003B0A2D"/>
    <w:rsid w:val="003D5A20"/>
    <w:rsid w:val="003E2711"/>
    <w:rsid w:val="003E6A8B"/>
    <w:rsid w:val="003F1329"/>
    <w:rsid w:val="003F6A56"/>
    <w:rsid w:val="00413ABE"/>
    <w:rsid w:val="00413C95"/>
    <w:rsid w:val="00424252"/>
    <w:rsid w:val="0042645C"/>
    <w:rsid w:val="00427ECA"/>
    <w:rsid w:val="0043065E"/>
    <w:rsid w:val="00435EA2"/>
    <w:rsid w:val="00455CF7"/>
    <w:rsid w:val="0046713E"/>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4B7A"/>
    <w:rsid w:val="005B6F0A"/>
    <w:rsid w:val="005E21D9"/>
    <w:rsid w:val="005E32E0"/>
    <w:rsid w:val="005E415D"/>
    <w:rsid w:val="005F11A2"/>
    <w:rsid w:val="005F6B76"/>
    <w:rsid w:val="00605493"/>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E95"/>
    <w:rsid w:val="00726A9C"/>
    <w:rsid w:val="007359BF"/>
    <w:rsid w:val="00743F26"/>
    <w:rsid w:val="00751942"/>
    <w:rsid w:val="00751A1E"/>
    <w:rsid w:val="007540E0"/>
    <w:rsid w:val="007544A8"/>
    <w:rsid w:val="0076668B"/>
    <w:rsid w:val="007749D9"/>
    <w:rsid w:val="00780F57"/>
    <w:rsid w:val="00783E1A"/>
    <w:rsid w:val="00786C07"/>
    <w:rsid w:val="007914E0"/>
    <w:rsid w:val="0079284D"/>
    <w:rsid w:val="007A32AF"/>
    <w:rsid w:val="007A78C0"/>
    <w:rsid w:val="007B1BA1"/>
    <w:rsid w:val="007C44DF"/>
    <w:rsid w:val="007C4690"/>
    <w:rsid w:val="007D4060"/>
    <w:rsid w:val="007E56A2"/>
    <w:rsid w:val="007F18AA"/>
    <w:rsid w:val="00800B54"/>
    <w:rsid w:val="00802D4F"/>
    <w:rsid w:val="00803AC4"/>
    <w:rsid w:val="00807B52"/>
    <w:rsid w:val="00813FF0"/>
    <w:rsid w:val="008223D4"/>
    <w:rsid w:val="008270A1"/>
    <w:rsid w:val="008321A4"/>
    <w:rsid w:val="0084121D"/>
    <w:rsid w:val="00852DC3"/>
    <w:rsid w:val="008631A7"/>
    <w:rsid w:val="00876CBB"/>
    <w:rsid w:val="0088112E"/>
    <w:rsid w:val="0088688A"/>
    <w:rsid w:val="00891265"/>
    <w:rsid w:val="00893761"/>
    <w:rsid w:val="00897498"/>
    <w:rsid w:val="00897F0B"/>
    <w:rsid w:val="008A25B9"/>
    <w:rsid w:val="008A3396"/>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42B49"/>
    <w:rsid w:val="009508F2"/>
    <w:rsid w:val="00950F95"/>
    <w:rsid w:val="00953363"/>
    <w:rsid w:val="0096007E"/>
    <w:rsid w:val="00972601"/>
    <w:rsid w:val="0097786E"/>
    <w:rsid w:val="00987BC9"/>
    <w:rsid w:val="009A18A7"/>
    <w:rsid w:val="009E1AB2"/>
    <w:rsid w:val="009E24E9"/>
    <w:rsid w:val="009F2CAB"/>
    <w:rsid w:val="009F480A"/>
    <w:rsid w:val="00A02200"/>
    <w:rsid w:val="00A15D3C"/>
    <w:rsid w:val="00A23A3E"/>
    <w:rsid w:val="00A337C8"/>
    <w:rsid w:val="00A359DB"/>
    <w:rsid w:val="00A45496"/>
    <w:rsid w:val="00A45FE5"/>
    <w:rsid w:val="00A51431"/>
    <w:rsid w:val="00A525F0"/>
    <w:rsid w:val="00A53038"/>
    <w:rsid w:val="00A55CB3"/>
    <w:rsid w:val="00A566A2"/>
    <w:rsid w:val="00A5731A"/>
    <w:rsid w:val="00A677C3"/>
    <w:rsid w:val="00A72B9B"/>
    <w:rsid w:val="00A84063"/>
    <w:rsid w:val="00A952EA"/>
    <w:rsid w:val="00AA4ED9"/>
    <w:rsid w:val="00AC5330"/>
    <w:rsid w:val="00AD00CE"/>
    <w:rsid w:val="00AD1B6E"/>
    <w:rsid w:val="00AD5C9B"/>
    <w:rsid w:val="00AE07DE"/>
    <w:rsid w:val="00B03AF4"/>
    <w:rsid w:val="00B03DD6"/>
    <w:rsid w:val="00B20E37"/>
    <w:rsid w:val="00B21F18"/>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C06302"/>
    <w:rsid w:val="00C067EF"/>
    <w:rsid w:val="00C25C7E"/>
    <w:rsid w:val="00C26CCD"/>
    <w:rsid w:val="00C312EA"/>
    <w:rsid w:val="00C32942"/>
    <w:rsid w:val="00C375AF"/>
    <w:rsid w:val="00C401F8"/>
    <w:rsid w:val="00C44C35"/>
    <w:rsid w:val="00C472D6"/>
    <w:rsid w:val="00C526D5"/>
    <w:rsid w:val="00C54673"/>
    <w:rsid w:val="00C60822"/>
    <w:rsid w:val="00C61072"/>
    <w:rsid w:val="00C86B20"/>
    <w:rsid w:val="00C87C5C"/>
    <w:rsid w:val="00C905A7"/>
    <w:rsid w:val="00C96BD3"/>
    <w:rsid w:val="00CB034C"/>
    <w:rsid w:val="00CB0954"/>
    <w:rsid w:val="00CB4FDB"/>
    <w:rsid w:val="00CB51AD"/>
    <w:rsid w:val="00CC15D0"/>
    <w:rsid w:val="00CC2F3E"/>
    <w:rsid w:val="00D01E04"/>
    <w:rsid w:val="00D05765"/>
    <w:rsid w:val="00D17D13"/>
    <w:rsid w:val="00D20E78"/>
    <w:rsid w:val="00D2724B"/>
    <w:rsid w:val="00D332C0"/>
    <w:rsid w:val="00D3403D"/>
    <w:rsid w:val="00D34050"/>
    <w:rsid w:val="00D363B6"/>
    <w:rsid w:val="00D37422"/>
    <w:rsid w:val="00D46E69"/>
    <w:rsid w:val="00D51582"/>
    <w:rsid w:val="00D61422"/>
    <w:rsid w:val="00D761DC"/>
    <w:rsid w:val="00DA50C7"/>
    <w:rsid w:val="00DB2463"/>
    <w:rsid w:val="00DC769E"/>
    <w:rsid w:val="00DD2A0D"/>
    <w:rsid w:val="00DD5296"/>
    <w:rsid w:val="00DE122E"/>
    <w:rsid w:val="00DE3CBB"/>
    <w:rsid w:val="00DE76CB"/>
    <w:rsid w:val="00DF0D26"/>
    <w:rsid w:val="00DF746E"/>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87D44"/>
    <w:rsid w:val="00E938DE"/>
    <w:rsid w:val="00E93F2D"/>
    <w:rsid w:val="00EA468F"/>
    <w:rsid w:val="00EA6A49"/>
    <w:rsid w:val="00EA792E"/>
    <w:rsid w:val="00EB04E2"/>
    <w:rsid w:val="00EC21DD"/>
    <w:rsid w:val="00EC347E"/>
    <w:rsid w:val="00EC4BF6"/>
    <w:rsid w:val="00ED3A3C"/>
    <w:rsid w:val="00F03C60"/>
    <w:rsid w:val="00F05CB1"/>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17538"/>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65344274">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2022325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20914494">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40777883">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01942226">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0746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5AC0-047E-4A82-9C5E-37D94DAE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2020-05-17T18:01:00Z</cp:lastPrinted>
  <dcterms:created xsi:type="dcterms:W3CDTF">2020-05-21T20:51:00Z</dcterms:created>
  <dcterms:modified xsi:type="dcterms:W3CDTF">2020-05-21T20:51:00Z</dcterms:modified>
</cp:coreProperties>
</file>