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FB13CF" w:rsidRDefault="00CE323E" w:rsidP="002C0C62">
      <w:pPr>
        <w:jc w:val="center"/>
        <w:rPr>
          <w:rFonts w:ascii="Arial" w:hAnsi="Arial" w:cs="Arial"/>
        </w:rPr>
      </w:pPr>
      <w:r w:rsidRPr="00FB13CF">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B13CF" w:rsidRDefault="00C3677B" w:rsidP="002C0C62">
      <w:pPr>
        <w:spacing w:after="120" w:line="240" w:lineRule="auto"/>
        <w:jc w:val="center"/>
        <w:rPr>
          <w:rFonts w:ascii="Arial" w:hAnsi="Arial" w:cs="Arial"/>
        </w:rPr>
      </w:pPr>
      <w:r w:rsidRPr="00FB13CF">
        <w:rPr>
          <w:rFonts w:ascii="Arial" w:hAnsi="Arial" w:cs="Arial"/>
        </w:rPr>
        <w:t>Private Bag X893, Pretoria, 0001, Tel (012) 312 5555, Fax (012) 323 5618</w:t>
      </w:r>
    </w:p>
    <w:p w:rsidR="006B438D" w:rsidRPr="00FB13CF" w:rsidRDefault="00C3677B" w:rsidP="002C0C62">
      <w:pPr>
        <w:spacing w:after="120" w:line="240" w:lineRule="auto"/>
        <w:jc w:val="center"/>
        <w:rPr>
          <w:rFonts w:ascii="Arial" w:hAnsi="Arial" w:cs="Arial"/>
        </w:rPr>
      </w:pPr>
      <w:r w:rsidRPr="00FB13CF">
        <w:rPr>
          <w:rFonts w:ascii="Arial" w:hAnsi="Arial" w:cs="Arial"/>
        </w:rPr>
        <w:t>Private Bag X9192, Cape Town, 8000, Tel (021) 46</w:t>
      </w:r>
      <w:r w:rsidR="00EA2661" w:rsidRPr="00FB13CF">
        <w:rPr>
          <w:rFonts w:ascii="Arial" w:hAnsi="Arial" w:cs="Arial"/>
        </w:rPr>
        <w:t>9</w:t>
      </w:r>
      <w:r w:rsidRPr="00FB13CF">
        <w:rPr>
          <w:rFonts w:ascii="Arial" w:hAnsi="Arial" w:cs="Arial"/>
        </w:rPr>
        <w:t xml:space="preserve"> 5</w:t>
      </w:r>
      <w:r w:rsidR="00EA2661" w:rsidRPr="00FB13CF">
        <w:rPr>
          <w:rFonts w:ascii="Arial" w:hAnsi="Arial" w:cs="Arial"/>
        </w:rPr>
        <w:t>150</w:t>
      </w:r>
      <w:r w:rsidRPr="00FB13CF">
        <w:rPr>
          <w:rFonts w:ascii="Arial" w:hAnsi="Arial" w:cs="Arial"/>
        </w:rPr>
        <w:t>, Fax: (021) 465 7956</w:t>
      </w:r>
    </w:p>
    <w:p w:rsidR="00C3677B" w:rsidRPr="00FB13C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FB13CF">
        <w:rPr>
          <w:rFonts w:ascii="Arial" w:hAnsi="Arial" w:cs="Arial"/>
          <w:b/>
          <w:bCs/>
          <w:lang w:val="en-ZA"/>
        </w:rPr>
        <w:tab/>
        <w:t>Memorandum from the Parliamentary Office</w:t>
      </w:r>
    </w:p>
    <w:p w:rsidR="001915DA" w:rsidRPr="00FB13CF" w:rsidRDefault="001915DA" w:rsidP="00AC588D">
      <w:pPr>
        <w:jc w:val="center"/>
        <w:rPr>
          <w:rFonts w:ascii="Arial" w:hAnsi="Arial" w:cs="Arial"/>
          <w:b/>
          <w:bCs/>
          <w:lang w:val="en-ZA"/>
        </w:rPr>
      </w:pPr>
      <w:r w:rsidRPr="00FB13CF">
        <w:rPr>
          <w:rFonts w:ascii="Arial" w:hAnsi="Arial" w:cs="Arial"/>
          <w:b/>
          <w:bCs/>
          <w:lang w:val="en-ZA"/>
        </w:rPr>
        <w:t xml:space="preserve">NATIONAL ASSEMBLY </w:t>
      </w:r>
    </w:p>
    <w:p w:rsidR="00C3677B" w:rsidRPr="00FB13CF" w:rsidRDefault="00C3677B" w:rsidP="00AC588D">
      <w:pPr>
        <w:jc w:val="center"/>
        <w:rPr>
          <w:rFonts w:ascii="Arial" w:hAnsi="Arial" w:cs="Arial"/>
          <w:b/>
          <w:bCs/>
          <w:lang w:val="en-ZA"/>
        </w:rPr>
      </w:pPr>
      <w:r w:rsidRPr="00FB13CF">
        <w:rPr>
          <w:rFonts w:ascii="Arial" w:hAnsi="Arial" w:cs="Arial"/>
          <w:b/>
          <w:bCs/>
          <w:lang w:val="en-ZA"/>
        </w:rPr>
        <w:t xml:space="preserve">FOR </w:t>
      </w:r>
      <w:r w:rsidR="00AA246C" w:rsidRPr="00FB13CF">
        <w:rPr>
          <w:rFonts w:ascii="Arial" w:hAnsi="Arial" w:cs="Arial"/>
          <w:b/>
          <w:bCs/>
          <w:lang w:val="en-ZA"/>
        </w:rPr>
        <w:t>WRITTEN</w:t>
      </w:r>
      <w:r w:rsidRPr="00FB13CF">
        <w:rPr>
          <w:rFonts w:ascii="Arial" w:hAnsi="Arial" w:cs="Arial"/>
          <w:b/>
          <w:bCs/>
          <w:lang w:val="en-ZA"/>
        </w:rPr>
        <w:t xml:space="preserve"> REPLY</w:t>
      </w:r>
    </w:p>
    <w:p w:rsidR="00C3677B" w:rsidRPr="00FB13CF" w:rsidRDefault="00C654A2" w:rsidP="00AC588D">
      <w:pPr>
        <w:jc w:val="center"/>
        <w:rPr>
          <w:rFonts w:ascii="Arial" w:hAnsi="Arial" w:cs="Arial"/>
          <w:b/>
          <w:bCs/>
          <w:lang w:val="en-ZA"/>
        </w:rPr>
      </w:pPr>
      <w:r w:rsidRPr="00FB13CF">
        <w:rPr>
          <w:rFonts w:ascii="Arial" w:hAnsi="Arial" w:cs="Arial"/>
          <w:b/>
          <w:bCs/>
          <w:lang w:val="en-ZA"/>
        </w:rPr>
        <w:t xml:space="preserve">QUESTION </w:t>
      </w:r>
      <w:r w:rsidR="004C4CE5" w:rsidRPr="00FB13CF">
        <w:rPr>
          <w:rFonts w:ascii="Arial" w:hAnsi="Arial" w:cs="Arial"/>
          <w:b/>
          <w:bCs/>
          <w:lang w:val="en-ZA"/>
        </w:rPr>
        <w:t>2419</w:t>
      </w:r>
    </w:p>
    <w:p w:rsidR="00C3677B" w:rsidRPr="00FB13CF" w:rsidRDefault="00C3677B" w:rsidP="00AC588D">
      <w:pPr>
        <w:jc w:val="center"/>
        <w:rPr>
          <w:rFonts w:ascii="Arial" w:hAnsi="Arial" w:cs="Arial"/>
          <w:b/>
          <w:bCs/>
          <w:u w:val="single"/>
          <w:lang w:val="en-ZA"/>
        </w:rPr>
      </w:pPr>
      <w:r w:rsidRPr="00FB13CF">
        <w:rPr>
          <w:rFonts w:ascii="Arial" w:hAnsi="Arial" w:cs="Arial"/>
          <w:b/>
          <w:bCs/>
          <w:u w:val="single"/>
          <w:lang w:val="en-ZA"/>
        </w:rPr>
        <w:t>DATE OF PUBLICATIO</w:t>
      </w:r>
      <w:r w:rsidR="009B0E09" w:rsidRPr="00FB13CF">
        <w:rPr>
          <w:rFonts w:ascii="Arial" w:hAnsi="Arial" w:cs="Arial"/>
          <w:b/>
          <w:bCs/>
          <w:u w:val="single"/>
          <w:lang w:val="en-ZA"/>
        </w:rPr>
        <w:t xml:space="preserve">N OF INTERNAL QUESTION PAPER: </w:t>
      </w:r>
      <w:r w:rsidR="00B1689D" w:rsidRPr="00FB13CF">
        <w:rPr>
          <w:rFonts w:ascii="Arial" w:hAnsi="Arial" w:cs="Arial"/>
          <w:b/>
          <w:bCs/>
          <w:u w:val="single"/>
          <w:lang w:val="en-ZA"/>
        </w:rPr>
        <w:t>24</w:t>
      </w:r>
      <w:r w:rsidR="00CB1096" w:rsidRPr="00FB13CF">
        <w:rPr>
          <w:rFonts w:ascii="Arial" w:hAnsi="Arial" w:cs="Arial"/>
          <w:b/>
          <w:bCs/>
          <w:u w:val="single"/>
          <w:lang w:val="en-ZA"/>
        </w:rPr>
        <w:t>/</w:t>
      </w:r>
      <w:r w:rsidR="000F1507" w:rsidRPr="00FB13CF">
        <w:rPr>
          <w:rFonts w:ascii="Arial" w:hAnsi="Arial" w:cs="Arial"/>
          <w:b/>
          <w:bCs/>
          <w:u w:val="single"/>
          <w:lang w:val="en-ZA"/>
        </w:rPr>
        <w:t>08</w:t>
      </w:r>
      <w:r w:rsidR="00CB1096" w:rsidRPr="00FB13CF">
        <w:rPr>
          <w:rFonts w:ascii="Arial" w:hAnsi="Arial" w:cs="Arial"/>
          <w:b/>
          <w:bCs/>
          <w:u w:val="single"/>
          <w:lang w:val="en-ZA"/>
        </w:rPr>
        <w:t>/</w:t>
      </w:r>
      <w:r w:rsidR="00F73D24" w:rsidRPr="00FB13CF">
        <w:rPr>
          <w:rFonts w:ascii="Arial" w:hAnsi="Arial" w:cs="Arial"/>
          <w:b/>
          <w:bCs/>
          <w:u w:val="single"/>
          <w:lang w:val="en-ZA"/>
        </w:rPr>
        <w:t>201</w:t>
      </w:r>
      <w:r w:rsidR="002C0C62" w:rsidRPr="00FB13CF">
        <w:rPr>
          <w:rFonts w:ascii="Arial" w:hAnsi="Arial" w:cs="Arial"/>
          <w:b/>
          <w:bCs/>
          <w:u w:val="single"/>
          <w:lang w:val="en-ZA"/>
        </w:rPr>
        <w:t>8</w:t>
      </w:r>
    </w:p>
    <w:p w:rsidR="00F177A6" w:rsidRPr="00FB13CF" w:rsidRDefault="009B0E09" w:rsidP="00DA48EA">
      <w:pPr>
        <w:spacing w:after="120" w:line="360" w:lineRule="auto"/>
        <w:jc w:val="center"/>
        <w:rPr>
          <w:rFonts w:ascii="Arial" w:hAnsi="Arial" w:cs="Arial"/>
          <w:b/>
          <w:bCs/>
          <w:u w:val="single"/>
          <w:lang w:val="en-ZA"/>
        </w:rPr>
      </w:pPr>
      <w:r w:rsidRPr="00FB13CF">
        <w:rPr>
          <w:rFonts w:ascii="Arial" w:hAnsi="Arial" w:cs="Arial"/>
          <w:b/>
          <w:bCs/>
          <w:u w:val="single"/>
          <w:lang w:val="en-ZA"/>
        </w:rPr>
        <w:t xml:space="preserve">(INTERNAL QUESTION PAPER </w:t>
      </w:r>
      <w:r w:rsidR="002C0C62" w:rsidRPr="00FB13CF">
        <w:rPr>
          <w:rFonts w:ascii="Arial" w:hAnsi="Arial" w:cs="Arial"/>
          <w:b/>
          <w:bCs/>
          <w:u w:val="single"/>
          <w:lang w:val="en-ZA"/>
        </w:rPr>
        <w:t xml:space="preserve">NO </w:t>
      </w:r>
      <w:r w:rsidR="00B1689D" w:rsidRPr="00FB13CF">
        <w:rPr>
          <w:rFonts w:ascii="Arial" w:hAnsi="Arial" w:cs="Arial"/>
          <w:b/>
          <w:bCs/>
          <w:u w:val="single"/>
          <w:lang w:val="en-ZA"/>
        </w:rPr>
        <w:t>26</w:t>
      </w:r>
      <w:r w:rsidR="008A5D41" w:rsidRPr="00FB13CF">
        <w:rPr>
          <w:rFonts w:ascii="Arial" w:hAnsi="Arial" w:cs="Arial"/>
          <w:b/>
          <w:bCs/>
          <w:u w:val="single"/>
          <w:lang w:val="en-ZA"/>
        </w:rPr>
        <w:t xml:space="preserve"> </w:t>
      </w:r>
      <w:r w:rsidR="00F73D24" w:rsidRPr="00FB13CF">
        <w:rPr>
          <w:rFonts w:ascii="Arial" w:hAnsi="Arial" w:cs="Arial"/>
          <w:b/>
          <w:bCs/>
          <w:u w:val="single"/>
          <w:lang w:val="en-ZA"/>
        </w:rPr>
        <w:t>OF 201</w:t>
      </w:r>
      <w:r w:rsidR="002C0C62" w:rsidRPr="00FB13CF">
        <w:rPr>
          <w:rFonts w:ascii="Arial" w:hAnsi="Arial" w:cs="Arial"/>
          <w:b/>
          <w:bCs/>
          <w:u w:val="single"/>
          <w:lang w:val="en-ZA"/>
        </w:rPr>
        <w:t>8</w:t>
      </w:r>
      <w:r w:rsidR="00E02103" w:rsidRPr="00FB13CF">
        <w:rPr>
          <w:rFonts w:ascii="Arial" w:hAnsi="Arial" w:cs="Arial"/>
          <w:b/>
          <w:bCs/>
          <w:u w:val="single"/>
          <w:lang w:val="en-ZA"/>
        </w:rPr>
        <w:t>)</w:t>
      </w:r>
    </w:p>
    <w:p w:rsidR="00706CA8" w:rsidRPr="00FB13CF" w:rsidRDefault="004C4CE5" w:rsidP="00DA48EA">
      <w:pPr>
        <w:spacing w:after="120" w:line="360" w:lineRule="auto"/>
        <w:jc w:val="both"/>
        <w:rPr>
          <w:rFonts w:ascii="Arial" w:hAnsi="Arial" w:cs="Arial"/>
          <w:b/>
          <w:noProof/>
          <w:lang w:val="af-ZA"/>
        </w:rPr>
      </w:pPr>
      <w:r w:rsidRPr="00FB13CF">
        <w:rPr>
          <w:rFonts w:ascii="Arial" w:hAnsi="Arial" w:cs="Arial"/>
          <w:b/>
          <w:bCs/>
          <w:lang w:val="en-ZA"/>
        </w:rPr>
        <w:t>Ms H S Boshoff (DA) t</w:t>
      </w:r>
      <w:r w:rsidR="002A76BD" w:rsidRPr="00FB13CF">
        <w:rPr>
          <w:rFonts w:ascii="Arial" w:hAnsi="Arial" w:cs="Arial"/>
          <w:b/>
          <w:noProof/>
          <w:lang w:val="af-ZA"/>
        </w:rPr>
        <w:t>o ask the Minister of Higher Education and Training:</w:t>
      </w:r>
    </w:p>
    <w:p w:rsidR="002E707C" w:rsidRPr="00FB13CF" w:rsidRDefault="004C4CE5" w:rsidP="00FB13CF">
      <w:pPr>
        <w:pStyle w:val="ListParagraph"/>
        <w:numPr>
          <w:ilvl w:val="0"/>
          <w:numId w:val="26"/>
        </w:numPr>
        <w:spacing w:after="120" w:line="360" w:lineRule="auto"/>
        <w:jc w:val="both"/>
        <w:rPr>
          <w:rFonts w:ascii="Arial" w:eastAsia="Cambria" w:hAnsi="Arial" w:cs="Arial"/>
        </w:rPr>
      </w:pPr>
      <w:r w:rsidRPr="00FB13CF">
        <w:rPr>
          <w:rFonts w:ascii="Arial" w:eastAsia="Cambria" w:hAnsi="Arial" w:cs="Arial"/>
        </w:rPr>
        <w:t xml:space="preserve">What programmes for the Continuous Professional Training and Development of teachers at special needs schools are (i) currently </w:t>
      </w:r>
      <w:r w:rsidRPr="00E351EB">
        <w:rPr>
          <w:rFonts w:ascii="Arial" w:eastAsia="Cambria" w:hAnsi="Arial" w:cs="Arial"/>
          <w:noProof/>
        </w:rPr>
        <w:t>being implemented</w:t>
      </w:r>
      <w:r w:rsidRPr="00FB13CF">
        <w:rPr>
          <w:rFonts w:ascii="Arial" w:eastAsia="Cambria" w:hAnsi="Arial" w:cs="Arial"/>
        </w:rPr>
        <w:t xml:space="preserve"> and (ii) planned for future academic years and (b) what number of teachers are trained or will </w:t>
      </w:r>
      <w:r w:rsidRPr="00E351EB">
        <w:rPr>
          <w:rFonts w:ascii="Arial" w:eastAsia="Cambria" w:hAnsi="Arial" w:cs="Arial"/>
          <w:noProof/>
        </w:rPr>
        <w:t>be trained</w:t>
      </w:r>
      <w:r w:rsidRPr="00FB13CF">
        <w:rPr>
          <w:rFonts w:ascii="Arial" w:eastAsia="Cambria" w:hAnsi="Arial" w:cs="Arial"/>
        </w:rPr>
        <w:t xml:space="preserve"> in each programme?</w:t>
      </w:r>
    </w:p>
    <w:p w:rsidR="001915DA" w:rsidRPr="00FB13CF" w:rsidRDefault="004C4CE5" w:rsidP="002E707C">
      <w:pPr>
        <w:spacing w:after="120" w:line="360" w:lineRule="auto"/>
        <w:ind w:left="567" w:firstLine="7655"/>
        <w:jc w:val="both"/>
        <w:rPr>
          <w:rFonts w:ascii="Arial" w:hAnsi="Arial" w:cs="Arial"/>
          <w:b/>
        </w:rPr>
      </w:pPr>
      <w:r w:rsidRPr="00FB13CF">
        <w:rPr>
          <w:rFonts w:ascii="Arial" w:hAnsi="Arial" w:cs="Arial"/>
          <w:b/>
        </w:rPr>
        <w:t>NW2667</w:t>
      </w:r>
      <w:r w:rsidR="00E77E4A" w:rsidRPr="00FB13CF">
        <w:rPr>
          <w:rFonts w:ascii="Arial" w:hAnsi="Arial" w:cs="Arial"/>
          <w:b/>
        </w:rPr>
        <w:t xml:space="preserve">E </w:t>
      </w:r>
      <w:r w:rsidR="001915DA" w:rsidRPr="00FB13CF">
        <w:rPr>
          <w:rFonts w:ascii="Arial" w:hAnsi="Arial" w:cs="Arial"/>
          <w:b/>
        </w:rPr>
        <w:br w:type="page"/>
      </w:r>
    </w:p>
    <w:p w:rsidR="007D5278" w:rsidRPr="00FB13CF" w:rsidRDefault="00B12389" w:rsidP="00FB13CF">
      <w:pPr>
        <w:spacing w:after="240" w:line="360" w:lineRule="auto"/>
        <w:jc w:val="both"/>
        <w:rPr>
          <w:rFonts w:ascii="Arial" w:hAnsi="Arial" w:cs="Arial"/>
          <w:b/>
        </w:rPr>
      </w:pPr>
      <w:r w:rsidRPr="00FB13CF">
        <w:rPr>
          <w:rFonts w:ascii="Arial" w:hAnsi="Arial" w:cs="Arial"/>
          <w:b/>
        </w:rPr>
        <w:lastRenderedPageBreak/>
        <w:t>R</w:t>
      </w:r>
      <w:r w:rsidR="00FC1A3C" w:rsidRPr="00FB13CF">
        <w:rPr>
          <w:rFonts w:ascii="Arial" w:hAnsi="Arial" w:cs="Arial"/>
          <w:b/>
        </w:rPr>
        <w:t>EPLY:</w:t>
      </w:r>
    </w:p>
    <w:p w:rsidR="00A70864" w:rsidRPr="00C27C4C" w:rsidRDefault="00A70864" w:rsidP="00C27C4C">
      <w:pPr>
        <w:pStyle w:val="ListParagraph"/>
        <w:numPr>
          <w:ilvl w:val="0"/>
          <w:numId w:val="28"/>
        </w:numPr>
        <w:spacing w:after="240" w:line="360" w:lineRule="auto"/>
        <w:ind w:left="567" w:hanging="567"/>
        <w:jc w:val="both"/>
        <w:rPr>
          <w:rFonts w:ascii="Arial" w:hAnsi="Arial" w:cs="Arial"/>
        </w:rPr>
      </w:pPr>
      <w:r w:rsidRPr="00C27C4C">
        <w:rPr>
          <w:rFonts w:ascii="Arial" w:hAnsi="Arial" w:cs="Arial"/>
        </w:rPr>
        <w:t xml:space="preserve">The development of inclusive education competence begins in initial teacher education programmes, and deeper specialisation </w:t>
      </w:r>
      <w:r w:rsidRPr="00E351EB">
        <w:rPr>
          <w:rFonts w:ascii="Arial" w:hAnsi="Arial" w:cs="Arial"/>
          <w:noProof/>
        </w:rPr>
        <w:t>is developed</w:t>
      </w:r>
      <w:r w:rsidRPr="00C27C4C">
        <w:rPr>
          <w:rFonts w:ascii="Arial" w:hAnsi="Arial" w:cs="Arial"/>
        </w:rPr>
        <w:t xml:space="preserve"> through continuing professional development programmes.</w:t>
      </w:r>
    </w:p>
    <w:p w:rsidR="00A70864" w:rsidRPr="00FB13CF" w:rsidRDefault="00A70864" w:rsidP="00C27C4C">
      <w:pPr>
        <w:spacing w:after="240" w:line="360" w:lineRule="auto"/>
        <w:ind w:left="567"/>
        <w:jc w:val="both"/>
        <w:rPr>
          <w:rFonts w:ascii="Arial" w:hAnsi="Arial" w:cs="Arial"/>
        </w:rPr>
      </w:pPr>
      <w:r w:rsidRPr="00FB13CF">
        <w:rPr>
          <w:rFonts w:ascii="Arial" w:hAnsi="Arial" w:cs="Arial"/>
        </w:rPr>
        <w:t xml:space="preserve">Universities offer initial teacher education and continuing professional development qualification programmes for teachers based on the policy requirements stipulated in the </w:t>
      </w:r>
      <w:r w:rsidRPr="00FB13CF">
        <w:rPr>
          <w:rFonts w:ascii="Arial" w:hAnsi="Arial" w:cs="Arial"/>
          <w:i/>
        </w:rPr>
        <w:t xml:space="preserve">Policy on Minimum Requirements for Teacher Education Qualifications </w:t>
      </w:r>
      <w:r w:rsidRPr="00FB13CF">
        <w:rPr>
          <w:rFonts w:ascii="Arial" w:hAnsi="Arial" w:cs="Arial"/>
        </w:rPr>
        <w:t>(PMRTEQ) (Department of Higher Education and Training 2011, revised</w:t>
      </w:r>
      <w:r w:rsidR="00455F22">
        <w:rPr>
          <w:rFonts w:ascii="Arial" w:hAnsi="Arial" w:cs="Arial"/>
        </w:rPr>
        <w:t xml:space="preserve"> in</w:t>
      </w:r>
      <w:r w:rsidRPr="00FB13CF">
        <w:rPr>
          <w:rFonts w:ascii="Arial" w:hAnsi="Arial" w:cs="Arial"/>
        </w:rPr>
        <w:t xml:space="preserve"> 2015).</w:t>
      </w:r>
    </w:p>
    <w:p w:rsidR="00A70864" w:rsidRPr="00FB13CF" w:rsidRDefault="00A70864" w:rsidP="0036672B">
      <w:pPr>
        <w:spacing w:after="0" w:line="360" w:lineRule="auto"/>
        <w:ind w:left="567"/>
        <w:jc w:val="both"/>
        <w:rPr>
          <w:rFonts w:ascii="Arial" w:hAnsi="Arial" w:cs="Arial"/>
        </w:rPr>
      </w:pPr>
      <w:r w:rsidRPr="00FB13CF">
        <w:rPr>
          <w:rFonts w:ascii="Arial" w:hAnsi="Arial" w:cs="Arial"/>
        </w:rPr>
        <w:t>The PMRTEQ makes it possible for universities to offer the following initial teacher education programmes:</w:t>
      </w:r>
    </w:p>
    <w:p w:rsidR="00A70864" w:rsidRPr="00FB13CF" w:rsidRDefault="0036672B" w:rsidP="0036672B">
      <w:pPr>
        <w:pStyle w:val="ListParagraph"/>
        <w:numPr>
          <w:ilvl w:val="0"/>
          <w:numId w:val="27"/>
        </w:numPr>
        <w:spacing w:after="0" w:line="360" w:lineRule="auto"/>
        <w:ind w:left="993"/>
        <w:contextualSpacing w:val="0"/>
        <w:jc w:val="both"/>
        <w:rPr>
          <w:rFonts w:ascii="Arial" w:hAnsi="Arial" w:cs="Arial"/>
        </w:rPr>
      </w:pPr>
      <w:r>
        <w:rPr>
          <w:rFonts w:ascii="Arial" w:hAnsi="Arial" w:cs="Arial"/>
        </w:rPr>
        <w:t>Bachelor of Education (B</w:t>
      </w:r>
      <w:r w:rsidR="00A70864" w:rsidRPr="00FB13CF">
        <w:rPr>
          <w:rFonts w:ascii="Arial" w:hAnsi="Arial" w:cs="Arial"/>
        </w:rPr>
        <w:t>Ed) (480 credits, NQF level 7)</w:t>
      </w:r>
      <w:r w:rsidR="00455F22">
        <w:rPr>
          <w:rFonts w:ascii="Arial" w:hAnsi="Arial" w:cs="Arial"/>
        </w:rPr>
        <w:t>; and</w:t>
      </w:r>
    </w:p>
    <w:p w:rsidR="00A70864" w:rsidRPr="00FB13CF" w:rsidRDefault="00A70864" w:rsidP="00C27C4C">
      <w:pPr>
        <w:pStyle w:val="ListParagraph"/>
        <w:numPr>
          <w:ilvl w:val="0"/>
          <w:numId w:val="27"/>
        </w:numPr>
        <w:spacing w:after="240" w:line="360" w:lineRule="auto"/>
        <w:ind w:left="993"/>
        <w:contextualSpacing w:val="0"/>
        <w:jc w:val="both"/>
        <w:rPr>
          <w:rFonts w:ascii="Arial" w:hAnsi="Arial" w:cs="Arial"/>
        </w:rPr>
      </w:pPr>
      <w:r w:rsidRPr="00FB13CF">
        <w:rPr>
          <w:rFonts w:ascii="Arial" w:hAnsi="Arial" w:cs="Arial"/>
        </w:rPr>
        <w:t>Postgraduate Certificate in Education (PGCE) (120 credits, NQF Level 7)</w:t>
      </w:r>
      <w:r w:rsidR="00455F22">
        <w:rPr>
          <w:rFonts w:ascii="Arial" w:hAnsi="Arial" w:cs="Arial"/>
        </w:rPr>
        <w:t>.</w:t>
      </w:r>
    </w:p>
    <w:p w:rsidR="00A70864" w:rsidRPr="00FB13CF" w:rsidRDefault="0036672B" w:rsidP="00C27C4C">
      <w:pPr>
        <w:spacing w:after="240" w:line="360" w:lineRule="auto"/>
        <w:ind w:left="567"/>
        <w:jc w:val="both"/>
        <w:rPr>
          <w:rFonts w:ascii="Arial" w:hAnsi="Arial" w:cs="Arial"/>
        </w:rPr>
      </w:pPr>
      <w:r>
        <w:rPr>
          <w:rFonts w:ascii="Arial" w:hAnsi="Arial" w:cs="Arial"/>
        </w:rPr>
        <w:t>The PMRTEQ requires that all BEd and PGCE graduates “</w:t>
      </w:r>
      <w:r w:rsidR="00A70864" w:rsidRPr="00455F22">
        <w:rPr>
          <w:rFonts w:ascii="Arial" w:hAnsi="Arial" w:cs="Arial"/>
          <w:i/>
        </w:rPr>
        <w:t xml:space="preserve">must be knowledgeable about inclusive education and </w:t>
      </w:r>
      <w:r w:rsidR="00A70864" w:rsidRPr="00E351EB">
        <w:rPr>
          <w:rFonts w:ascii="Arial" w:hAnsi="Arial" w:cs="Arial"/>
          <w:i/>
          <w:noProof/>
        </w:rPr>
        <w:t>skilled</w:t>
      </w:r>
      <w:r w:rsidR="00A70864" w:rsidRPr="00455F22">
        <w:rPr>
          <w:rFonts w:ascii="Arial" w:hAnsi="Arial" w:cs="Arial"/>
          <w:i/>
        </w:rPr>
        <w:t xml:space="preserve"> in identifying and addressing barriers to learning, as well as in curriculum differentiation to address the needs of individual learners within a grade</w:t>
      </w:r>
      <w:r>
        <w:rPr>
          <w:rFonts w:ascii="Arial" w:hAnsi="Arial" w:cs="Arial"/>
        </w:rPr>
        <w:t>.”</w:t>
      </w:r>
      <w:r w:rsidR="00A70864" w:rsidRPr="00FB13CF">
        <w:rPr>
          <w:rFonts w:ascii="Arial" w:hAnsi="Arial" w:cs="Arial"/>
        </w:rPr>
        <w:t xml:space="preserve"> </w:t>
      </w:r>
      <w:r w:rsidR="00455F22">
        <w:rPr>
          <w:rFonts w:ascii="Arial" w:hAnsi="Arial" w:cs="Arial"/>
        </w:rPr>
        <w:br/>
      </w:r>
      <w:r w:rsidR="00A70864" w:rsidRPr="00FB13CF">
        <w:rPr>
          <w:rFonts w:ascii="Arial" w:hAnsi="Arial" w:cs="Arial"/>
        </w:rPr>
        <w:t xml:space="preserve">(PMRTEQ, </w:t>
      </w:r>
      <w:r w:rsidR="00455F22">
        <w:rPr>
          <w:rFonts w:ascii="Arial" w:hAnsi="Arial" w:cs="Arial"/>
        </w:rPr>
        <w:t>page 25 and</w:t>
      </w:r>
      <w:r w:rsidR="00A70864" w:rsidRPr="00FB13CF">
        <w:rPr>
          <w:rFonts w:ascii="Arial" w:hAnsi="Arial" w:cs="Arial"/>
        </w:rPr>
        <w:t xml:space="preserve"> 29)</w:t>
      </w:r>
    </w:p>
    <w:p w:rsidR="00A70864" w:rsidRPr="00FB13CF" w:rsidRDefault="00A70864" w:rsidP="00C27C4C">
      <w:pPr>
        <w:spacing w:after="240" w:line="360" w:lineRule="auto"/>
        <w:ind w:left="567"/>
        <w:jc w:val="both"/>
        <w:rPr>
          <w:rFonts w:ascii="Arial" w:hAnsi="Arial" w:cs="Arial"/>
        </w:rPr>
      </w:pPr>
      <w:r w:rsidRPr="00FB13CF">
        <w:rPr>
          <w:rFonts w:ascii="Arial" w:hAnsi="Arial" w:cs="Arial"/>
        </w:rPr>
        <w:t xml:space="preserve">The PMRTEQ specifies 11 basic </w:t>
      </w:r>
      <w:r w:rsidRPr="00E351EB">
        <w:rPr>
          <w:rFonts w:ascii="Arial" w:hAnsi="Arial" w:cs="Arial"/>
          <w:noProof/>
        </w:rPr>
        <w:t>competenc</w:t>
      </w:r>
      <w:r w:rsidR="00E351EB">
        <w:rPr>
          <w:rFonts w:ascii="Arial" w:hAnsi="Arial" w:cs="Arial"/>
          <w:noProof/>
        </w:rPr>
        <w:t>i</w:t>
      </w:r>
      <w:r w:rsidRPr="00E351EB">
        <w:rPr>
          <w:rFonts w:ascii="Arial" w:hAnsi="Arial" w:cs="Arial"/>
          <w:noProof/>
        </w:rPr>
        <w:t>es</w:t>
      </w:r>
      <w:r w:rsidRPr="00FB13CF">
        <w:rPr>
          <w:rFonts w:ascii="Arial" w:hAnsi="Arial" w:cs="Arial"/>
        </w:rPr>
        <w:t xml:space="preserve"> for beginner teachers. One of</w:t>
      </w:r>
      <w:r w:rsidR="0036672B">
        <w:rPr>
          <w:rFonts w:ascii="Arial" w:hAnsi="Arial" w:cs="Arial"/>
        </w:rPr>
        <w:t xml:space="preserve"> the </w:t>
      </w:r>
      <w:r w:rsidR="0036672B" w:rsidRPr="00E351EB">
        <w:rPr>
          <w:rFonts w:ascii="Arial" w:hAnsi="Arial" w:cs="Arial"/>
          <w:noProof/>
        </w:rPr>
        <w:t>competenc</w:t>
      </w:r>
      <w:r w:rsidR="00E351EB">
        <w:rPr>
          <w:rFonts w:ascii="Arial" w:hAnsi="Arial" w:cs="Arial"/>
          <w:noProof/>
        </w:rPr>
        <w:t>i</w:t>
      </w:r>
      <w:r w:rsidR="0036672B" w:rsidRPr="00E351EB">
        <w:rPr>
          <w:rFonts w:ascii="Arial" w:hAnsi="Arial" w:cs="Arial"/>
          <w:noProof/>
        </w:rPr>
        <w:t>es</w:t>
      </w:r>
      <w:r w:rsidR="0036672B">
        <w:rPr>
          <w:rFonts w:ascii="Arial" w:hAnsi="Arial" w:cs="Arial"/>
        </w:rPr>
        <w:t xml:space="preserve"> requires that “</w:t>
      </w:r>
      <w:r w:rsidRPr="00455F22">
        <w:rPr>
          <w:rFonts w:ascii="Arial" w:hAnsi="Arial" w:cs="Arial"/>
          <w:i/>
        </w:rPr>
        <w:t xml:space="preserve">Newly qualified teachers must understand diversity in the South African context </w:t>
      </w:r>
      <w:r w:rsidRPr="00E351EB">
        <w:rPr>
          <w:rFonts w:ascii="Arial" w:hAnsi="Arial" w:cs="Arial"/>
          <w:i/>
          <w:noProof/>
        </w:rPr>
        <w:t>in order to</w:t>
      </w:r>
      <w:r w:rsidRPr="00455F22">
        <w:rPr>
          <w:rFonts w:ascii="Arial" w:hAnsi="Arial" w:cs="Arial"/>
          <w:i/>
        </w:rPr>
        <w:t xml:space="preserve"> teach in a manner that includes all learners. They must also be able to identify learning or social problems and work in partnership with social providers to address</w:t>
      </w:r>
      <w:r w:rsidR="0036672B">
        <w:rPr>
          <w:rFonts w:ascii="Arial" w:hAnsi="Arial" w:cs="Arial"/>
          <w:i/>
        </w:rPr>
        <w:t xml:space="preserve"> </w:t>
      </w:r>
      <w:r w:rsidRPr="00455F22">
        <w:rPr>
          <w:rFonts w:ascii="Arial" w:hAnsi="Arial" w:cs="Arial"/>
          <w:i/>
        </w:rPr>
        <w:t>these</w:t>
      </w:r>
      <w:r w:rsidR="0036672B">
        <w:rPr>
          <w:rFonts w:ascii="Arial" w:hAnsi="Arial" w:cs="Arial"/>
        </w:rPr>
        <w:t xml:space="preserve">.” </w:t>
      </w:r>
      <w:r w:rsidR="00455F22">
        <w:rPr>
          <w:rFonts w:ascii="Arial" w:hAnsi="Arial" w:cs="Arial"/>
        </w:rPr>
        <w:t xml:space="preserve">(PMRTEQ, page </w:t>
      </w:r>
      <w:r w:rsidRPr="00FB13CF">
        <w:rPr>
          <w:rFonts w:ascii="Arial" w:hAnsi="Arial" w:cs="Arial"/>
        </w:rPr>
        <w:t>62)</w:t>
      </w:r>
    </w:p>
    <w:p w:rsidR="00A70864" w:rsidRPr="00FB13CF" w:rsidRDefault="00E351EB" w:rsidP="00C27C4C">
      <w:pPr>
        <w:spacing w:after="240" w:line="360" w:lineRule="auto"/>
        <w:ind w:left="567"/>
        <w:jc w:val="both"/>
        <w:rPr>
          <w:rFonts w:ascii="Arial" w:hAnsi="Arial" w:cs="Arial"/>
        </w:rPr>
      </w:pPr>
      <w:r>
        <w:rPr>
          <w:rFonts w:ascii="Arial" w:hAnsi="Arial" w:cs="Arial"/>
          <w:noProof/>
        </w:rPr>
        <w:t>T</w:t>
      </w:r>
      <w:r w:rsidR="00A70864" w:rsidRPr="00E351EB">
        <w:rPr>
          <w:rFonts w:ascii="Arial" w:hAnsi="Arial" w:cs="Arial"/>
          <w:noProof/>
        </w:rPr>
        <w:t>o</w:t>
      </w:r>
      <w:r w:rsidR="00A70864" w:rsidRPr="00FB13CF">
        <w:rPr>
          <w:rFonts w:ascii="Arial" w:hAnsi="Arial" w:cs="Arial"/>
        </w:rPr>
        <w:t xml:space="preserve"> support the implementation of these policy directives, the Department is implementing the Teacher Education</w:t>
      </w:r>
      <w:r w:rsidR="0036672B">
        <w:rPr>
          <w:rFonts w:ascii="Arial" w:hAnsi="Arial" w:cs="Arial"/>
        </w:rPr>
        <w:t xml:space="preserve"> for Inclusive Teaching (</w:t>
      </w:r>
      <w:r w:rsidR="0036672B" w:rsidRPr="00FB13CF">
        <w:rPr>
          <w:rFonts w:ascii="Arial" w:hAnsi="Arial" w:cs="Arial"/>
        </w:rPr>
        <w:t>TEfIT</w:t>
      </w:r>
      <w:r w:rsidR="0036672B">
        <w:rPr>
          <w:rFonts w:ascii="Arial" w:hAnsi="Arial" w:cs="Arial"/>
        </w:rPr>
        <w:t xml:space="preserve">) </w:t>
      </w:r>
      <w:r w:rsidR="00A70864" w:rsidRPr="00FB13CF">
        <w:rPr>
          <w:rFonts w:ascii="Arial" w:hAnsi="Arial" w:cs="Arial"/>
        </w:rPr>
        <w:t xml:space="preserve">Project. This project involves the collaborative development of knowledge and practice standards for inclusive </w:t>
      </w:r>
      <w:r w:rsidR="00A70864" w:rsidRPr="00E351EB">
        <w:rPr>
          <w:rFonts w:ascii="Arial" w:hAnsi="Arial" w:cs="Arial"/>
          <w:noProof/>
        </w:rPr>
        <w:t>teaching</w:t>
      </w:r>
      <w:r w:rsidR="00A70864" w:rsidRPr="00FB13CF">
        <w:rPr>
          <w:rFonts w:ascii="Arial" w:hAnsi="Arial" w:cs="Arial"/>
        </w:rPr>
        <w:t xml:space="preserve"> and supporting curriculum frameworks, courses and course materials </w:t>
      </w:r>
      <w:r w:rsidRPr="00FB13CF">
        <w:rPr>
          <w:rFonts w:ascii="Arial" w:hAnsi="Arial" w:cs="Arial"/>
        </w:rPr>
        <w:t>that</w:t>
      </w:r>
      <w:r w:rsidR="00A70864" w:rsidRPr="00FB13CF">
        <w:rPr>
          <w:rFonts w:ascii="Arial" w:hAnsi="Arial" w:cs="Arial"/>
        </w:rPr>
        <w:t xml:space="preserve"> universities can use for the development of new and existing teachers’ inclusive teaching competence. The goal is that all new teachers graduating from initial teacher education programmes </w:t>
      </w:r>
      <w:r w:rsidR="00A70864" w:rsidRPr="00E351EB">
        <w:rPr>
          <w:rFonts w:ascii="Arial" w:hAnsi="Arial" w:cs="Arial"/>
          <w:noProof/>
        </w:rPr>
        <w:t>are able to</w:t>
      </w:r>
      <w:r w:rsidR="00A70864" w:rsidRPr="00FB13CF">
        <w:rPr>
          <w:rFonts w:ascii="Arial" w:hAnsi="Arial" w:cs="Arial"/>
        </w:rPr>
        <w:t xml:space="preserve"> address inclusive education competently in their practice.</w:t>
      </w:r>
    </w:p>
    <w:p w:rsidR="00A70864" w:rsidRPr="00FB13CF" w:rsidRDefault="00A70864" w:rsidP="00C27C4C">
      <w:pPr>
        <w:spacing w:after="240" w:line="360" w:lineRule="auto"/>
        <w:ind w:left="567"/>
        <w:jc w:val="both"/>
        <w:rPr>
          <w:rFonts w:ascii="Arial" w:eastAsia="Cambria" w:hAnsi="Arial" w:cs="Arial"/>
          <w:b/>
        </w:rPr>
      </w:pPr>
      <w:r w:rsidRPr="00FB13CF">
        <w:rPr>
          <w:rFonts w:ascii="Arial" w:hAnsi="Arial" w:cs="Arial"/>
        </w:rPr>
        <w:lastRenderedPageBreak/>
        <w:t>A further component of the TEfIT Project involves support for three universities to develop as centres of specialisation for special needs education in three areas. The University of Pretoria is being supported to develop as a centre of specialisation for Visual Impairment Studies, the University of the Witwatersrand for Deaf Studies, and the University of</w:t>
      </w:r>
      <w:r w:rsidR="005A3BB2">
        <w:rPr>
          <w:rFonts w:ascii="Arial" w:hAnsi="Arial" w:cs="Arial"/>
        </w:rPr>
        <w:t xml:space="preserve"> Johannesburg for Neurological-D</w:t>
      </w:r>
      <w:r w:rsidRPr="00FB13CF">
        <w:rPr>
          <w:rFonts w:ascii="Arial" w:hAnsi="Arial" w:cs="Arial"/>
        </w:rPr>
        <w:t xml:space="preserve">evelopmental Learning Needs. These centres will have the function of </w:t>
      </w:r>
      <w:r w:rsidRPr="00FB13CF">
        <w:rPr>
          <w:rFonts w:ascii="Arial" w:eastAsia="Cambria" w:hAnsi="Arial" w:cs="Arial"/>
        </w:rPr>
        <w:t>trainin</w:t>
      </w:r>
      <w:r w:rsidR="005A3BB2">
        <w:rPr>
          <w:rFonts w:ascii="Arial" w:eastAsia="Cambria" w:hAnsi="Arial" w:cs="Arial"/>
        </w:rPr>
        <w:t>g specialist teachers who work/</w:t>
      </w:r>
      <w:r w:rsidRPr="00FB13CF">
        <w:rPr>
          <w:rFonts w:ascii="Arial" w:eastAsia="Cambria" w:hAnsi="Arial" w:cs="Arial"/>
        </w:rPr>
        <w:t>will work in special schools, special schools resource centres and full-service schools</w:t>
      </w:r>
      <w:r w:rsidR="005A3BB2">
        <w:rPr>
          <w:rFonts w:ascii="Arial" w:eastAsia="Cambria" w:hAnsi="Arial" w:cs="Arial"/>
        </w:rPr>
        <w:t>,</w:t>
      </w:r>
      <w:r w:rsidRPr="00FB13CF">
        <w:rPr>
          <w:rFonts w:ascii="Arial" w:eastAsia="Cambria" w:hAnsi="Arial" w:cs="Arial"/>
        </w:rPr>
        <w:t xml:space="preserve"> and of leading research in these areas </w:t>
      </w:r>
      <w:r w:rsidRPr="00E351EB">
        <w:rPr>
          <w:rFonts w:ascii="Arial" w:eastAsia="Cambria" w:hAnsi="Arial" w:cs="Arial"/>
          <w:noProof/>
        </w:rPr>
        <w:t>to</w:t>
      </w:r>
      <w:r w:rsidRPr="00FB13CF">
        <w:rPr>
          <w:rFonts w:ascii="Arial" w:eastAsia="Cambria" w:hAnsi="Arial" w:cs="Arial"/>
        </w:rPr>
        <w:t xml:space="preserve"> inform policy and practice.</w:t>
      </w:r>
    </w:p>
    <w:p w:rsidR="00A70864" w:rsidRPr="00FB13CF" w:rsidRDefault="00A70864" w:rsidP="00C27C4C">
      <w:pPr>
        <w:spacing w:after="240" w:line="360" w:lineRule="auto"/>
        <w:ind w:left="567"/>
        <w:jc w:val="both"/>
        <w:rPr>
          <w:rFonts w:ascii="Arial" w:hAnsi="Arial" w:cs="Arial"/>
        </w:rPr>
      </w:pPr>
      <w:r w:rsidRPr="00FB13CF">
        <w:rPr>
          <w:rFonts w:ascii="Arial" w:hAnsi="Arial" w:cs="Arial"/>
        </w:rPr>
        <w:t>The three universities are developing programmes aligned with the PMRTEQ and Higher Education Qualific</w:t>
      </w:r>
      <w:r w:rsidR="005A3BB2">
        <w:rPr>
          <w:rFonts w:ascii="Arial" w:hAnsi="Arial" w:cs="Arial"/>
        </w:rPr>
        <w:t>ations Sub-Framework.</w:t>
      </w:r>
    </w:p>
    <w:p w:rsidR="00A70864" w:rsidRPr="00FB13CF" w:rsidRDefault="00A70864" w:rsidP="00C27C4C">
      <w:pPr>
        <w:spacing w:after="240" w:line="360" w:lineRule="auto"/>
        <w:ind w:left="567"/>
        <w:jc w:val="both"/>
        <w:rPr>
          <w:rFonts w:ascii="Arial" w:hAnsi="Arial" w:cs="Arial"/>
        </w:rPr>
      </w:pPr>
      <w:r w:rsidRPr="00584858">
        <w:rPr>
          <w:rFonts w:ascii="Arial" w:hAnsi="Arial" w:cs="Arial"/>
        </w:rPr>
        <w:t>Table 1: Continuous</w:t>
      </w:r>
      <w:r w:rsidRPr="00FB13CF">
        <w:rPr>
          <w:rFonts w:ascii="Arial" w:hAnsi="Arial" w:cs="Arial"/>
        </w:rPr>
        <w:t xml:space="preserve"> Professional Development programmes under development by the three universities</w:t>
      </w:r>
    </w:p>
    <w:tbl>
      <w:tblPr>
        <w:tblStyle w:val="TableGrid"/>
        <w:tblW w:w="8931" w:type="dxa"/>
        <w:tblInd w:w="562" w:type="dxa"/>
        <w:tblLook w:val="04A0" w:firstRow="1" w:lastRow="0" w:firstColumn="1" w:lastColumn="0" w:noHBand="0" w:noVBand="1"/>
      </w:tblPr>
      <w:tblGrid>
        <w:gridCol w:w="2122"/>
        <w:gridCol w:w="4824"/>
        <w:gridCol w:w="1985"/>
      </w:tblGrid>
      <w:tr w:rsidR="00A70864" w:rsidRPr="00FB13CF" w:rsidTr="00C27C4C">
        <w:tc>
          <w:tcPr>
            <w:tcW w:w="2122" w:type="dxa"/>
            <w:tcBorders>
              <w:top w:val="single" w:sz="4" w:space="0" w:color="auto"/>
              <w:left w:val="single" w:sz="4" w:space="0" w:color="auto"/>
              <w:bottom w:val="single" w:sz="4" w:space="0" w:color="auto"/>
              <w:right w:val="single" w:sz="4" w:space="0" w:color="auto"/>
            </w:tcBorders>
            <w:vAlign w:val="center"/>
            <w:hideMark/>
          </w:tcPr>
          <w:p w:rsidR="00A70864" w:rsidRPr="00FB13CF" w:rsidRDefault="00A70864" w:rsidP="00584858">
            <w:pPr>
              <w:spacing w:before="60" w:after="60" w:line="240" w:lineRule="auto"/>
              <w:jc w:val="center"/>
              <w:rPr>
                <w:rFonts w:ascii="Arial" w:hAnsi="Arial" w:cs="Arial"/>
                <w:b/>
                <w:lang w:eastAsia="ja-JP"/>
              </w:rPr>
            </w:pPr>
            <w:r w:rsidRPr="00FB13CF">
              <w:rPr>
                <w:rFonts w:ascii="Arial" w:hAnsi="Arial" w:cs="Arial"/>
                <w:b/>
                <w:lang w:eastAsia="ja-JP"/>
              </w:rPr>
              <w:t>University</w:t>
            </w:r>
          </w:p>
        </w:tc>
        <w:tc>
          <w:tcPr>
            <w:tcW w:w="4824" w:type="dxa"/>
            <w:tcBorders>
              <w:top w:val="single" w:sz="4" w:space="0" w:color="auto"/>
              <w:left w:val="single" w:sz="4" w:space="0" w:color="auto"/>
              <w:bottom w:val="single" w:sz="4" w:space="0" w:color="auto"/>
              <w:right w:val="single" w:sz="4" w:space="0" w:color="auto"/>
            </w:tcBorders>
            <w:vAlign w:val="center"/>
            <w:hideMark/>
          </w:tcPr>
          <w:p w:rsidR="00A70864" w:rsidRPr="00FB13CF" w:rsidRDefault="00A70864" w:rsidP="00584858">
            <w:pPr>
              <w:spacing w:before="60" w:after="60" w:line="240" w:lineRule="auto"/>
              <w:jc w:val="center"/>
              <w:rPr>
                <w:rFonts w:ascii="Arial" w:hAnsi="Arial" w:cs="Arial"/>
                <w:b/>
                <w:lang w:eastAsia="ja-JP"/>
              </w:rPr>
            </w:pPr>
            <w:r w:rsidRPr="00FB13CF">
              <w:rPr>
                <w:rFonts w:ascii="Arial" w:hAnsi="Arial" w:cs="Arial"/>
                <w:b/>
                <w:lang w:eastAsia="ja-JP"/>
              </w:rPr>
              <w:t>Programmes under development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0864" w:rsidRPr="00FB13CF" w:rsidRDefault="00A70864" w:rsidP="00584858">
            <w:pPr>
              <w:spacing w:before="60" w:after="60" w:line="240" w:lineRule="auto"/>
              <w:jc w:val="center"/>
              <w:rPr>
                <w:rFonts w:ascii="Arial" w:hAnsi="Arial" w:cs="Arial"/>
                <w:b/>
                <w:lang w:eastAsia="ja-JP"/>
              </w:rPr>
            </w:pPr>
            <w:r w:rsidRPr="00E351EB">
              <w:rPr>
                <w:rFonts w:ascii="Arial" w:hAnsi="Arial" w:cs="Arial"/>
                <w:b/>
                <w:noProof/>
                <w:lang w:eastAsia="ja-JP"/>
              </w:rPr>
              <w:t>Target</w:t>
            </w:r>
            <w:r w:rsidRPr="00FB13CF">
              <w:rPr>
                <w:rFonts w:ascii="Arial" w:hAnsi="Arial" w:cs="Arial"/>
                <w:b/>
                <w:lang w:eastAsia="ja-JP"/>
              </w:rPr>
              <w:t xml:space="preserve"> date for </w:t>
            </w:r>
            <w:r w:rsidRPr="00E351EB">
              <w:rPr>
                <w:rFonts w:ascii="Arial" w:hAnsi="Arial" w:cs="Arial"/>
                <w:b/>
                <w:noProof/>
                <w:lang w:eastAsia="ja-JP"/>
              </w:rPr>
              <w:t>offering</w:t>
            </w:r>
            <w:r w:rsidR="00E351EB">
              <w:rPr>
                <w:rFonts w:ascii="Arial" w:hAnsi="Arial" w:cs="Arial"/>
                <w:b/>
                <w:lang w:eastAsia="ja-JP"/>
              </w:rPr>
              <w:t xml:space="preserve"> of</w:t>
            </w:r>
            <w:r w:rsidRPr="00FB13CF">
              <w:rPr>
                <w:rFonts w:ascii="Arial" w:hAnsi="Arial" w:cs="Arial"/>
                <w:b/>
                <w:lang w:eastAsia="ja-JP"/>
              </w:rPr>
              <w:t xml:space="preserve"> programmes</w:t>
            </w:r>
          </w:p>
        </w:tc>
      </w:tr>
      <w:tr w:rsidR="00A70864" w:rsidRPr="00FB13CF" w:rsidTr="00C27C4C">
        <w:tc>
          <w:tcPr>
            <w:tcW w:w="2122" w:type="dxa"/>
            <w:vMerge w:val="restart"/>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University of Pretoria</w:t>
            </w:r>
          </w:p>
        </w:tc>
        <w:tc>
          <w:tcPr>
            <w:tcW w:w="4824" w:type="dxa"/>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Advanced Certificate: Inclusive Education (Barriers to Learning: Learning Difficulties)</w:t>
            </w:r>
          </w:p>
        </w:tc>
        <w:tc>
          <w:tcPr>
            <w:tcW w:w="1985" w:type="dxa"/>
            <w:tcBorders>
              <w:top w:val="single" w:sz="4" w:space="0" w:color="auto"/>
              <w:left w:val="single" w:sz="4" w:space="0" w:color="auto"/>
              <w:bottom w:val="single" w:sz="4" w:space="0" w:color="auto"/>
              <w:right w:val="single" w:sz="4" w:space="0" w:color="auto"/>
            </w:tcBorders>
            <w:hideMark/>
          </w:tcPr>
          <w:p w:rsidR="00A70864" w:rsidRPr="00FB13CF" w:rsidRDefault="00A70864" w:rsidP="00C27C4C">
            <w:pPr>
              <w:spacing w:before="60" w:after="60" w:line="240" w:lineRule="auto"/>
              <w:jc w:val="center"/>
              <w:rPr>
                <w:rFonts w:ascii="Arial" w:hAnsi="Arial" w:cs="Arial"/>
                <w:lang w:eastAsia="ja-JP"/>
              </w:rPr>
            </w:pPr>
            <w:r w:rsidRPr="00FB13CF">
              <w:rPr>
                <w:rFonts w:ascii="Arial" w:hAnsi="Arial" w:cs="Arial"/>
                <w:lang w:eastAsia="ja-JP"/>
              </w:rPr>
              <w:t>2020</w:t>
            </w:r>
          </w:p>
        </w:tc>
      </w:tr>
      <w:tr w:rsidR="00A70864" w:rsidRPr="00FB13CF" w:rsidTr="00C27C4C">
        <w:tc>
          <w:tcPr>
            <w:tcW w:w="2122" w:type="dxa"/>
            <w:vMerge/>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p>
        </w:tc>
        <w:tc>
          <w:tcPr>
            <w:tcW w:w="4824" w:type="dxa"/>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 xml:space="preserve">Bachelor of Education (Honours): </w:t>
            </w:r>
          </w:p>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(Special Needs and Inclusive Education)</w:t>
            </w:r>
          </w:p>
        </w:tc>
        <w:tc>
          <w:tcPr>
            <w:tcW w:w="1985" w:type="dxa"/>
            <w:tcBorders>
              <w:top w:val="single" w:sz="4" w:space="0" w:color="auto"/>
              <w:left w:val="single" w:sz="4" w:space="0" w:color="auto"/>
              <w:bottom w:val="single" w:sz="4" w:space="0" w:color="auto"/>
              <w:right w:val="single" w:sz="4" w:space="0" w:color="auto"/>
            </w:tcBorders>
            <w:hideMark/>
          </w:tcPr>
          <w:p w:rsidR="00A70864" w:rsidRPr="00FB13CF" w:rsidRDefault="00A70864" w:rsidP="00C27C4C">
            <w:pPr>
              <w:spacing w:before="60" w:after="60" w:line="240" w:lineRule="auto"/>
              <w:jc w:val="center"/>
              <w:rPr>
                <w:rFonts w:ascii="Arial" w:hAnsi="Arial" w:cs="Arial"/>
                <w:lang w:eastAsia="ja-JP"/>
              </w:rPr>
            </w:pPr>
            <w:r w:rsidRPr="00FB13CF">
              <w:rPr>
                <w:rFonts w:ascii="Arial" w:hAnsi="Arial" w:cs="Arial"/>
                <w:lang w:eastAsia="ja-JP"/>
              </w:rPr>
              <w:t>2020</w:t>
            </w:r>
          </w:p>
        </w:tc>
      </w:tr>
      <w:tr w:rsidR="00A70864" w:rsidRPr="00FB13CF" w:rsidTr="00C27C4C">
        <w:tc>
          <w:tcPr>
            <w:tcW w:w="2122" w:type="dxa"/>
            <w:vMerge/>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p>
        </w:tc>
        <w:tc>
          <w:tcPr>
            <w:tcW w:w="4824" w:type="dxa"/>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Advanced Diploma in Education: Visual Impairment Studies</w:t>
            </w:r>
          </w:p>
        </w:tc>
        <w:tc>
          <w:tcPr>
            <w:tcW w:w="1985" w:type="dxa"/>
            <w:tcBorders>
              <w:top w:val="single" w:sz="4" w:space="0" w:color="auto"/>
              <w:left w:val="single" w:sz="4" w:space="0" w:color="auto"/>
              <w:bottom w:val="single" w:sz="4" w:space="0" w:color="auto"/>
              <w:right w:val="single" w:sz="4" w:space="0" w:color="auto"/>
            </w:tcBorders>
            <w:hideMark/>
          </w:tcPr>
          <w:p w:rsidR="00A70864" w:rsidRPr="00FB13CF" w:rsidRDefault="00A70864" w:rsidP="00C27C4C">
            <w:pPr>
              <w:spacing w:before="60" w:after="60" w:line="240" w:lineRule="auto"/>
              <w:jc w:val="center"/>
              <w:rPr>
                <w:rFonts w:ascii="Arial" w:hAnsi="Arial" w:cs="Arial"/>
                <w:lang w:eastAsia="ja-JP"/>
              </w:rPr>
            </w:pPr>
            <w:r w:rsidRPr="00FB13CF">
              <w:rPr>
                <w:rFonts w:ascii="Arial" w:hAnsi="Arial" w:cs="Arial"/>
                <w:lang w:eastAsia="ja-JP"/>
              </w:rPr>
              <w:t>2020</w:t>
            </w:r>
          </w:p>
        </w:tc>
      </w:tr>
      <w:tr w:rsidR="00A70864" w:rsidRPr="00FB13CF" w:rsidTr="00C27C4C">
        <w:tc>
          <w:tcPr>
            <w:tcW w:w="2122" w:type="dxa"/>
            <w:vMerge w:val="restart"/>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 xml:space="preserve">University of </w:t>
            </w:r>
            <w:r w:rsidR="00AA454E">
              <w:rPr>
                <w:rFonts w:ascii="Arial" w:hAnsi="Arial" w:cs="Arial"/>
                <w:lang w:eastAsia="ja-JP"/>
              </w:rPr>
              <w:br/>
            </w:r>
            <w:r w:rsidRPr="00FB13CF">
              <w:rPr>
                <w:rFonts w:ascii="Arial" w:hAnsi="Arial" w:cs="Arial"/>
                <w:lang w:eastAsia="ja-JP"/>
              </w:rPr>
              <w:t>the Witwatersrand</w:t>
            </w:r>
          </w:p>
        </w:tc>
        <w:tc>
          <w:tcPr>
            <w:tcW w:w="4824" w:type="dxa"/>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Post Graduate Diploma in Deaf Education (South African Sign Language as a language specialisation )</w:t>
            </w:r>
          </w:p>
        </w:tc>
        <w:tc>
          <w:tcPr>
            <w:tcW w:w="1985" w:type="dxa"/>
            <w:tcBorders>
              <w:top w:val="single" w:sz="4" w:space="0" w:color="auto"/>
              <w:left w:val="single" w:sz="4" w:space="0" w:color="auto"/>
              <w:bottom w:val="single" w:sz="4" w:space="0" w:color="auto"/>
              <w:right w:val="single" w:sz="4" w:space="0" w:color="auto"/>
            </w:tcBorders>
            <w:hideMark/>
          </w:tcPr>
          <w:p w:rsidR="00A70864" w:rsidRPr="00FB13CF" w:rsidRDefault="00A70864" w:rsidP="00C27C4C">
            <w:pPr>
              <w:spacing w:before="60" w:after="60" w:line="240" w:lineRule="auto"/>
              <w:jc w:val="center"/>
              <w:rPr>
                <w:rFonts w:ascii="Arial" w:hAnsi="Arial" w:cs="Arial"/>
                <w:lang w:eastAsia="ja-JP"/>
              </w:rPr>
            </w:pPr>
            <w:r w:rsidRPr="00FB13CF">
              <w:rPr>
                <w:rFonts w:ascii="Arial" w:hAnsi="Arial" w:cs="Arial"/>
                <w:lang w:eastAsia="ja-JP"/>
              </w:rPr>
              <w:t>2020</w:t>
            </w:r>
          </w:p>
        </w:tc>
      </w:tr>
      <w:tr w:rsidR="00A70864" w:rsidRPr="00FB13CF" w:rsidTr="00C27C4C">
        <w:tc>
          <w:tcPr>
            <w:tcW w:w="2122" w:type="dxa"/>
            <w:vMerge/>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p>
        </w:tc>
        <w:tc>
          <w:tcPr>
            <w:tcW w:w="4824" w:type="dxa"/>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 xml:space="preserve">Bachelor of Education Honours </w:t>
            </w:r>
          </w:p>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 xml:space="preserve">(Deaf Education) </w:t>
            </w:r>
          </w:p>
        </w:tc>
        <w:tc>
          <w:tcPr>
            <w:tcW w:w="1985" w:type="dxa"/>
            <w:tcBorders>
              <w:top w:val="single" w:sz="4" w:space="0" w:color="auto"/>
              <w:left w:val="single" w:sz="4" w:space="0" w:color="auto"/>
              <w:bottom w:val="single" w:sz="4" w:space="0" w:color="auto"/>
              <w:right w:val="single" w:sz="4" w:space="0" w:color="auto"/>
            </w:tcBorders>
            <w:hideMark/>
          </w:tcPr>
          <w:p w:rsidR="00A70864" w:rsidRPr="00FB13CF" w:rsidRDefault="00A70864" w:rsidP="00C27C4C">
            <w:pPr>
              <w:spacing w:before="60" w:after="60" w:line="240" w:lineRule="auto"/>
              <w:jc w:val="center"/>
              <w:rPr>
                <w:rFonts w:ascii="Arial" w:hAnsi="Arial" w:cs="Arial"/>
                <w:lang w:eastAsia="ja-JP"/>
              </w:rPr>
            </w:pPr>
            <w:r w:rsidRPr="00FB13CF">
              <w:rPr>
                <w:rFonts w:ascii="Arial" w:hAnsi="Arial" w:cs="Arial"/>
                <w:lang w:eastAsia="ja-JP"/>
              </w:rPr>
              <w:t>2020</w:t>
            </w:r>
          </w:p>
        </w:tc>
      </w:tr>
      <w:tr w:rsidR="00A70864" w:rsidRPr="00FB13CF" w:rsidTr="00C27C4C">
        <w:tc>
          <w:tcPr>
            <w:tcW w:w="2122" w:type="dxa"/>
            <w:vMerge w:val="restart"/>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University of Johannesburg</w:t>
            </w:r>
          </w:p>
        </w:tc>
        <w:tc>
          <w:tcPr>
            <w:tcW w:w="4824" w:type="dxa"/>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r w:rsidRPr="00FB13CF">
              <w:rPr>
                <w:rFonts w:ascii="Arial" w:hAnsi="Arial" w:cs="Arial"/>
                <w:lang w:eastAsia="ja-JP"/>
              </w:rPr>
              <w:t xml:space="preserve">Advanced Diploma in Education: Remedial Education </w:t>
            </w:r>
          </w:p>
        </w:tc>
        <w:tc>
          <w:tcPr>
            <w:tcW w:w="1985" w:type="dxa"/>
            <w:tcBorders>
              <w:top w:val="single" w:sz="4" w:space="0" w:color="auto"/>
              <w:left w:val="single" w:sz="4" w:space="0" w:color="auto"/>
              <w:bottom w:val="single" w:sz="4" w:space="0" w:color="auto"/>
              <w:right w:val="single" w:sz="4" w:space="0" w:color="auto"/>
            </w:tcBorders>
            <w:hideMark/>
          </w:tcPr>
          <w:p w:rsidR="00A70864" w:rsidRPr="00FB13CF" w:rsidRDefault="00A70864" w:rsidP="00C27C4C">
            <w:pPr>
              <w:spacing w:before="60" w:after="60" w:line="240" w:lineRule="auto"/>
              <w:jc w:val="center"/>
              <w:rPr>
                <w:rFonts w:ascii="Arial" w:hAnsi="Arial" w:cs="Arial"/>
                <w:lang w:eastAsia="ja-JP"/>
              </w:rPr>
            </w:pPr>
            <w:r w:rsidRPr="00FB13CF">
              <w:rPr>
                <w:rFonts w:ascii="Arial" w:hAnsi="Arial" w:cs="Arial"/>
                <w:lang w:eastAsia="ja-JP"/>
              </w:rPr>
              <w:t>2020</w:t>
            </w:r>
          </w:p>
        </w:tc>
      </w:tr>
      <w:tr w:rsidR="00A70864" w:rsidRPr="00FB13CF" w:rsidTr="00C27C4C">
        <w:tc>
          <w:tcPr>
            <w:tcW w:w="2122" w:type="dxa"/>
            <w:vMerge/>
            <w:tcBorders>
              <w:top w:val="single" w:sz="4" w:space="0" w:color="auto"/>
              <w:left w:val="single" w:sz="4" w:space="0" w:color="auto"/>
              <w:bottom w:val="single" w:sz="4" w:space="0" w:color="auto"/>
              <w:right w:val="single" w:sz="4" w:space="0" w:color="auto"/>
            </w:tcBorders>
            <w:hideMark/>
          </w:tcPr>
          <w:p w:rsidR="00A70864" w:rsidRPr="00FB13CF" w:rsidRDefault="00A70864" w:rsidP="00584858">
            <w:pPr>
              <w:spacing w:before="60" w:after="60" w:line="240" w:lineRule="auto"/>
              <w:rPr>
                <w:rFonts w:ascii="Arial" w:hAnsi="Arial" w:cs="Arial"/>
                <w:lang w:eastAsia="ja-JP"/>
              </w:rPr>
            </w:pPr>
          </w:p>
        </w:tc>
        <w:tc>
          <w:tcPr>
            <w:tcW w:w="4824" w:type="dxa"/>
            <w:tcBorders>
              <w:top w:val="single" w:sz="4" w:space="0" w:color="auto"/>
              <w:left w:val="single" w:sz="4" w:space="0" w:color="auto"/>
              <w:bottom w:val="single" w:sz="4" w:space="0" w:color="auto"/>
              <w:right w:val="single" w:sz="4" w:space="0" w:color="auto"/>
            </w:tcBorders>
            <w:hideMark/>
          </w:tcPr>
          <w:p w:rsidR="00A70864" w:rsidRPr="00FB13CF" w:rsidRDefault="005A3BB2" w:rsidP="00584858">
            <w:pPr>
              <w:spacing w:before="60" w:after="60" w:line="240" w:lineRule="auto"/>
              <w:rPr>
                <w:rFonts w:ascii="Arial" w:hAnsi="Arial" w:cs="Arial"/>
                <w:lang w:eastAsia="ja-JP"/>
              </w:rPr>
            </w:pPr>
            <w:r>
              <w:rPr>
                <w:rFonts w:ascii="Arial" w:hAnsi="Arial" w:cs="Arial"/>
                <w:lang w:eastAsia="ja-JP"/>
              </w:rPr>
              <w:t>Postg</w:t>
            </w:r>
            <w:r w:rsidR="00A70864" w:rsidRPr="00FB13CF">
              <w:rPr>
                <w:rFonts w:ascii="Arial" w:hAnsi="Arial" w:cs="Arial"/>
                <w:lang w:eastAsia="ja-JP"/>
              </w:rPr>
              <w:t>raduate Diploma in Education</w:t>
            </w:r>
            <w:r>
              <w:rPr>
                <w:rFonts w:ascii="Arial" w:hAnsi="Arial" w:cs="Arial"/>
                <w:lang w:eastAsia="ja-JP"/>
              </w:rPr>
              <w:t xml:space="preserve"> </w:t>
            </w:r>
            <w:r w:rsidR="00A70864" w:rsidRPr="00FB13CF">
              <w:rPr>
                <w:rFonts w:ascii="Arial" w:hAnsi="Arial" w:cs="Arial"/>
                <w:lang w:eastAsia="ja-JP"/>
              </w:rPr>
              <w:t>(Inclusive Education)</w:t>
            </w:r>
          </w:p>
        </w:tc>
        <w:tc>
          <w:tcPr>
            <w:tcW w:w="1985" w:type="dxa"/>
            <w:tcBorders>
              <w:top w:val="single" w:sz="4" w:space="0" w:color="auto"/>
              <w:left w:val="single" w:sz="4" w:space="0" w:color="auto"/>
              <w:bottom w:val="single" w:sz="4" w:space="0" w:color="auto"/>
              <w:right w:val="single" w:sz="4" w:space="0" w:color="auto"/>
            </w:tcBorders>
            <w:hideMark/>
          </w:tcPr>
          <w:p w:rsidR="00A70864" w:rsidRPr="00FB13CF" w:rsidRDefault="00A70864" w:rsidP="00C27C4C">
            <w:pPr>
              <w:spacing w:before="60" w:after="60" w:line="240" w:lineRule="auto"/>
              <w:jc w:val="center"/>
              <w:rPr>
                <w:rFonts w:ascii="Arial" w:hAnsi="Arial" w:cs="Arial"/>
                <w:lang w:eastAsia="ja-JP"/>
              </w:rPr>
            </w:pPr>
            <w:r w:rsidRPr="00FB13CF">
              <w:rPr>
                <w:rFonts w:ascii="Arial" w:hAnsi="Arial" w:cs="Arial"/>
                <w:lang w:eastAsia="ja-JP"/>
              </w:rPr>
              <w:t>2020</w:t>
            </w:r>
          </w:p>
        </w:tc>
      </w:tr>
    </w:tbl>
    <w:p w:rsidR="00AA454E" w:rsidRDefault="00AA454E">
      <w:pPr>
        <w:spacing w:after="0" w:line="240" w:lineRule="auto"/>
        <w:rPr>
          <w:rFonts w:ascii="Arial" w:hAnsi="Arial" w:cs="Arial"/>
        </w:rPr>
      </w:pPr>
      <w:r>
        <w:rPr>
          <w:rFonts w:ascii="Arial" w:hAnsi="Arial" w:cs="Arial"/>
        </w:rPr>
        <w:br w:type="page"/>
      </w:r>
    </w:p>
    <w:p w:rsidR="00A70864" w:rsidRPr="00FB13CF" w:rsidRDefault="00A70864" w:rsidP="00C27C4C">
      <w:pPr>
        <w:spacing w:after="240" w:line="360" w:lineRule="auto"/>
        <w:ind w:left="567"/>
        <w:jc w:val="both"/>
        <w:rPr>
          <w:rFonts w:ascii="Arial" w:hAnsi="Arial" w:cs="Arial"/>
        </w:rPr>
      </w:pPr>
      <w:r w:rsidRPr="00FB13CF">
        <w:rPr>
          <w:rFonts w:ascii="Arial" w:hAnsi="Arial" w:cs="Arial"/>
        </w:rPr>
        <w:lastRenderedPageBreak/>
        <w:t>Other universities are also active in this area. The latest audited 2016 data received from universities indicates the following Advanced Certificate in Educ</w:t>
      </w:r>
      <w:r w:rsidR="00AA454E">
        <w:rPr>
          <w:rFonts w:ascii="Arial" w:hAnsi="Arial" w:cs="Arial"/>
        </w:rPr>
        <w:t>ation (ACE) programme offerings.</w:t>
      </w:r>
    </w:p>
    <w:p w:rsidR="00A70864" w:rsidRPr="00FB13CF" w:rsidRDefault="00A70864" w:rsidP="00C27C4C">
      <w:pPr>
        <w:spacing w:after="240" w:line="360" w:lineRule="auto"/>
        <w:ind w:left="567"/>
        <w:jc w:val="both"/>
        <w:rPr>
          <w:rFonts w:ascii="Arial" w:hAnsi="Arial" w:cs="Arial"/>
        </w:rPr>
      </w:pPr>
      <w:r w:rsidRPr="00AA454E">
        <w:rPr>
          <w:rFonts w:ascii="Arial" w:hAnsi="Arial" w:cs="Arial"/>
        </w:rPr>
        <w:t>Table 2: Headcount Enrolments</w:t>
      </w:r>
      <w:r w:rsidRPr="00FB13CF">
        <w:rPr>
          <w:rFonts w:ascii="Arial" w:hAnsi="Arial" w:cs="Arial"/>
        </w:rPr>
        <w:t xml:space="preserve"> (HC), Full-time Equivalent Enrolments (FTE) and Graduates (Grads) in </w:t>
      </w:r>
      <w:r w:rsidRPr="00E351EB">
        <w:rPr>
          <w:rFonts w:ascii="Arial" w:hAnsi="Arial" w:cs="Arial"/>
          <w:noProof/>
        </w:rPr>
        <w:t>active</w:t>
      </w:r>
      <w:r w:rsidRPr="00FB13CF">
        <w:rPr>
          <w:rFonts w:ascii="Arial" w:hAnsi="Arial" w:cs="Arial"/>
        </w:rPr>
        <w:t xml:space="preserve"> inclusive education/special needs education in 2016</w:t>
      </w:r>
      <w:r w:rsidR="005A3BB2">
        <w:rPr>
          <w:rFonts w:ascii="Arial" w:hAnsi="Arial" w:cs="Arial"/>
        </w:rPr>
        <w:t>.</w:t>
      </w:r>
    </w:p>
    <w:tbl>
      <w:tblPr>
        <w:tblW w:w="4781" w:type="pct"/>
        <w:tblInd w:w="557" w:type="dxa"/>
        <w:tblLook w:val="04A0" w:firstRow="1" w:lastRow="0" w:firstColumn="1" w:lastColumn="0" w:noHBand="0" w:noVBand="1"/>
      </w:tblPr>
      <w:tblGrid>
        <w:gridCol w:w="2978"/>
        <w:gridCol w:w="2838"/>
        <w:gridCol w:w="1134"/>
        <w:gridCol w:w="984"/>
        <w:gridCol w:w="997"/>
      </w:tblGrid>
      <w:tr w:rsidR="00C27C4C" w:rsidRPr="00FB13CF" w:rsidTr="00C27C4C">
        <w:trPr>
          <w:trHeight w:val="331"/>
        </w:trPr>
        <w:tc>
          <w:tcPr>
            <w:tcW w:w="3256" w:type="pct"/>
            <w:gridSpan w:val="2"/>
            <w:tcBorders>
              <w:top w:val="single" w:sz="8" w:space="0" w:color="000000"/>
              <w:left w:val="single" w:sz="8" w:space="0" w:color="000000"/>
              <w:bottom w:val="single" w:sz="8" w:space="0" w:color="000000"/>
              <w:right w:val="single" w:sz="8" w:space="0" w:color="000000"/>
            </w:tcBorders>
            <w:hideMark/>
          </w:tcPr>
          <w:p w:rsidR="00A70864" w:rsidRPr="00AA454E" w:rsidRDefault="005A3BB2" w:rsidP="00AA454E">
            <w:pPr>
              <w:spacing w:before="60" w:after="60" w:line="240" w:lineRule="auto"/>
              <w:jc w:val="center"/>
              <w:rPr>
                <w:rFonts w:ascii="Arial" w:eastAsia="Times New Roman" w:hAnsi="Arial" w:cs="Arial"/>
                <w:b/>
                <w:lang w:eastAsia="ja-JP"/>
              </w:rPr>
            </w:pPr>
            <w:r>
              <w:rPr>
                <w:rFonts w:ascii="Arial" w:eastAsia="Times New Roman" w:hAnsi="Arial" w:cs="Arial"/>
                <w:b/>
                <w:lang w:eastAsia="ja-JP"/>
              </w:rPr>
              <w:t>University and ACE Specialis</w:t>
            </w:r>
            <w:r w:rsidR="00A70864" w:rsidRPr="00AA454E">
              <w:rPr>
                <w:rFonts w:ascii="Arial" w:eastAsia="Times New Roman" w:hAnsi="Arial" w:cs="Arial"/>
                <w:b/>
                <w:lang w:eastAsia="ja-JP"/>
              </w:rPr>
              <w:t>ation</w:t>
            </w:r>
          </w:p>
        </w:tc>
        <w:tc>
          <w:tcPr>
            <w:tcW w:w="635" w:type="pct"/>
            <w:tcBorders>
              <w:top w:val="single" w:sz="8" w:space="0" w:color="000000"/>
              <w:left w:val="nil"/>
              <w:bottom w:val="single" w:sz="4" w:space="0" w:color="auto"/>
              <w:right w:val="single" w:sz="8" w:space="0" w:color="000000"/>
            </w:tcBorders>
            <w:hideMark/>
          </w:tcPr>
          <w:p w:rsidR="00A70864" w:rsidRPr="00AA454E" w:rsidRDefault="00A70864" w:rsidP="00AA454E">
            <w:pPr>
              <w:spacing w:before="60" w:after="60" w:line="240" w:lineRule="auto"/>
              <w:jc w:val="center"/>
              <w:rPr>
                <w:rFonts w:ascii="Arial" w:eastAsia="Times New Roman" w:hAnsi="Arial" w:cs="Arial"/>
                <w:b/>
                <w:lang w:eastAsia="ja-JP"/>
              </w:rPr>
            </w:pPr>
            <w:r w:rsidRPr="00AA454E">
              <w:rPr>
                <w:rFonts w:ascii="Arial" w:eastAsia="Times New Roman" w:hAnsi="Arial" w:cs="Arial"/>
                <w:b/>
                <w:lang w:eastAsia="ja-JP"/>
              </w:rPr>
              <w:t>HC</w:t>
            </w:r>
          </w:p>
        </w:tc>
        <w:tc>
          <w:tcPr>
            <w:tcW w:w="551" w:type="pct"/>
            <w:tcBorders>
              <w:top w:val="single" w:sz="8" w:space="0" w:color="000000"/>
              <w:left w:val="nil"/>
              <w:bottom w:val="single" w:sz="4" w:space="0" w:color="auto"/>
              <w:right w:val="single" w:sz="8" w:space="0" w:color="000000"/>
            </w:tcBorders>
            <w:hideMark/>
          </w:tcPr>
          <w:p w:rsidR="00A70864" w:rsidRPr="00AA454E" w:rsidRDefault="00A70864" w:rsidP="00AA454E">
            <w:pPr>
              <w:spacing w:before="60" w:after="60" w:line="240" w:lineRule="auto"/>
              <w:jc w:val="center"/>
              <w:rPr>
                <w:rFonts w:ascii="Arial" w:eastAsia="Times New Roman" w:hAnsi="Arial" w:cs="Arial"/>
                <w:b/>
                <w:lang w:eastAsia="ja-JP"/>
              </w:rPr>
            </w:pPr>
            <w:r w:rsidRPr="00AA454E">
              <w:rPr>
                <w:rFonts w:ascii="Arial" w:eastAsia="Times New Roman" w:hAnsi="Arial" w:cs="Arial"/>
                <w:b/>
                <w:lang w:eastAsia="ja-JP"/>
              </w:rPr>
              <w:t>FTE</w:t>
            </w:r>
          </w:p>
        </w:tc>
        <w:tc>
          <w:tcPr>
            <w:tcW w:w="558" w:type="pct"/>
            <w:tcBorders>
              <w:top w:val="single" w:sz="8" w:space="0" w:color="000000"/>
              <w:left w:val="nil"/>
              <w:bottom w:val="single" w:sz="4" w:space="0" w:color="auto"/>
              <w:right w:val="single" w:sz="8" w:space="0" w:color="000000"/>
            </w:tcBorders>
            <w:hideMark/>
          </w:tcPr>
          <w:p w:rsidR="00A70864" w:rsidRPr="00AA454E" w:rsidRDefault="00A70864" w:rsidP="00AA454E">
            <w:pPr>
              <w:spacing w:before="60" w:after="60" w:line="240" w:lineRule="auto"/>
              <w:jc w:val="center"/>
              <w:rPr>
                <w:rFonts w:ascii="Arial" w:eastAsia="Times New Roman" w:hAnsi="Arial" w:cs="Arial"/>
                <w:b/>
                <w:lang w:eastAsia="ja-JP"/>
              </w:rPr>
            </w:pPr>
            <w:r w:rsidRPr="00AA454E">
              <w:rPr>
                <w:rFonts w:ascii="Arial" w:eastAsia="Times New Roman" w:hAnsi="Arial" w:cs="Arial"/>
                <w:b/>
                <w:lang w:eastAsia="ja-JP"/>
              </w:rPr>
              <w:t>Grads</w:t>
            </w:r>
          </w:p>
        </w:tc>
      </w:tr>
      <w:tr w:rsidR="00C27C4C" w:rsidRPr="00FB13CF" w:rsidTr="005A3BB2">
        <w:trPr>
          <w:trHeight w:val="331"/>
        </w:trPr>
        <w:tc>
          <w:tcPr>
            <w:tcW w:w="1667" w:type="pct"/>
            <w:tcBorders>
              <w:top w:val="nil"/>
              <w:left w:val="single" w:sz="8" w:space="0" w:color="000000"/>
              <w:bottom w:val="nil"/>
              <w:right w:val="single" w:sz="8" w:space="0" w:color="000000"/>
            </w:tcBorders>
            <w:hideMark/>
          </w:tcPr>
          <w:p w:rsidR="00A70864" w:rsidRPr="005A3BB2" w:rsidRDefault="005A3BB2" w:rsidP="00AA454E">
            <w:pPr>
              <w:spacing w:before="60" w:after="60" w:line="240" w:lineRule="auto"/>
              <w:rPr>
                <w:rFonts w:ascii="Arial" w:eastAsia="Times New Roman" w:hAnsi="Arial" w:cs="Arial"/>
                <w:lang w:eastAsia="ja-JP"/>
              </w:rPr>
            </w:pPr>
            <w:r w:rsidRPr="005A3BB2">
              <w:rPr>
                <w:rFonts w:ascii="Arial" w:eastAsia="Times New Roman" w:hAnsi="Arial" w:cs="Arial"/>
                <w:lang w:eastAsia="ja-JP"/>
              </w:rPr>
              <w:t>Nelson Mandela University</w:t>
            </w:r>
          </w:p>
        </w:tc>
        <w:tc>
          <w:tcPr>
            <w:tcW w:w="1589"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rPr>
                <w:rFonts w:ascii="Arial" w:eastAsia="Times New Roman" w:hAnsi="Arial" w:cs="Arial"/>
                <w:lang w:eastAsia="ja-JP"/>
              </w:rPr>
            </w:pPr>
            <w:r w:rsidRPr="00FB13CF">
              <w:rPr>
                <w:rFonts w:ascii="Arial" w:eastAsia="Times New Roman" w:hAnsi="Arial" w:cs="Arial"/>
                <w:lang w:eastAsia="ja-JP"/>
              </w:rPr>
              <w:t>Education: SNE: Remedial</w:t>
            </w:r>
          </w:p>
        </w:tc>
        <w:tc>
          <w:tcPr>
            <w:tcW w:w="635" w:type="pct"/>
            <w:tcBorders>
              <w:top w:val="single" w:sz="4" w:space="0" w:color="auto"/>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3</w:t>
            </w:r>
          </w:p>
        </w:tc>
        <w:tc>
          <w:tcPr>
            <w:tcW w:w="551" w:type="pct"/>
            <w:tcBorders>
              <w:top w:val="single" w:sz="4" w:space="0" w:color="auto"/>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1</w:t>
            </w:r>
          </w:p>
        </w:tc>
        <w:tc>
          <w:tcPr>
            <w:tcW w:w="558" w:type="pct"/>
            <w:tcBorders>
              <w:top w:val="single" w:sz="4" w:space="0" w:color="auto"/>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3</w:t>
            </w:r>
          </w:p>
        </w:tc>
      </w:tr>
      <w:tr w:rsidR="00C27C4C" w:rsidRPr="00FB13CF" w:rsidTr="005A3BB2">
        <w:trPr>
          <w:trHeight w:val="300"/>
        </w:trPr>
        <w:tc>
          <w:tcPr>
            <w:tcW w:w="1667" w:type="pct"/>
            <w:tcBorders>
              <w:top w:val="single" w:sz="8" w:space="0" w:color="000000"/>
              <w:left w:val="single" w:sz="8" w:space="0" w:color="000000"/>
              <w:bottom w:val="nil"/>
              <w:right w:val="single" w:sz="8" w:space="0" w:color="000000"/>
            </w:tcBorders>
            <w:hideMark/>
          </w:tcPr>
          <w:p w:rsidR="00A70864" w:rsidRPr="005A3BB2" w:rsidRDefault="005A3BB2" w:rsidP="00AA454E">
            <w:pPr>
              <w:spacing w:before="60" w:after="60" w:line="240" w:lineRule="auto"/>
              <w:rPr>
                <w:rFonts w:ascii="Arial" w:eastAsia="Times New Roman" w:hAnsi="Arial" w:cs="Arial"/>
                <w:lang w:eastAsia="ja-JP"/>
              </w:rPr>
            </w:pPr>
            <w:r w:rsidRPr="00E351EB">
              <w:rPr>
                <w:rFonts w:ascii="Arial" w:eastAsia="Times New Roman" w:hAnsi="Arial" w:cs="Arial"/>
                <w:noProof/>
                <w:lang w:eastAsia="ja-JP"/>
              </w:rPr>
              <w:t>North</w:t>
            </w:r>
            <w:r w:rsidR="00E351EB">
              <w:rPr>
                <w:rFonts w:ascii="Arial" w:eastAsia="Times New Roman" w:hAnsi="Arial" w:cs="Arial"/>
                <w:noProof/>
                <w:lang w:eastAsia="ja-JP"/>
              </w:rPr>
              <w:t xml:space="preserve"> W</w:t>
            </w:r>
            <w:r w:rsidRPr="00E351EB">
              <w:rPr>
                <w:rFonts w:ascii="Arial" w:eastAsia="Times New Roman" w:hAnsi="Arial" w:cs="Arial"/>
                <w:noProof/>
                <w:lang w:eastAsia="ja-JP"/>
              </w:rPr>
              <w:t>est</w:t>
            </w:r>
            <w:r w:rsidRPr="005A3BB2">
              <w:rPr>
                <w:rFonts w:ascii="Arial" w:eastAsia="Times New Roman" w:hAnsi="Arial" w:cs="Arial"/>
                <w:lang w:eastAsia="ja-JP"/>
              </w:rPr>
              <w:t xml:space="preserve"> University</w:t>
            </w:r>
          </w:p>
        </w:tc>
        <w:tc>
          <w:tcPr>
            <w:tcW w:w="1589"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rPr>
                <w:rFonts w:ascii="Arial" w:eastAsia="Times New Roman" w:hAnsi="Arial" w:cs="Arial"/>
                <w:lang w:eastAsia="ja-JP"/>
              </w:rPr>
            </w:pPr>
            <w:r w:rsidRPr="00FB13CF">
              <w:rPr>
                <w:rFonts w:ascii="Arial" w:eastAsia="Times New Roman" w:hAnsi="Arial" w:cs="Arial"/>
                <w:lang w:eastAsia="ja-JP"/>
              </w:rPr>
              <w:t>Learner Support</w:t>
            </w:r>
          </w:p>
        </w:tc>
        <w:tc>
          <w:tcPr>
            <w:tcW w:w="635"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209</w:t>
            </w:r>
          </w:p>
        </w:tc>
        <w:tc>
          <w:tcPr>
            <w:tcW w:w="551"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68</w:t>
            </w:r>
          </w:p>
        </w:tc>
        <w:tc>
          <w:tcPr>
            <w:tcW w:w="558"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97</w:t>
            </w:r>
          </w:p>
        </w:tc>
      </w:tr>
      <w:tr w:rsidR="00C27C4C" w:rsidRPr="00FB13CF" w:rsidTr="005A3BB2">
        <w:trPr>
          <w:trHeight w:val="286"/>
        </w:trPr>
        <w:tc>
          <w:tcPr>
            <w:tcW w:w="1667" w:type="pct"/>
            <w:tcBorders>
              <w:top w:val="single" w:sz="8" w:space="0" w:color="000000"/>
              <w:left w:val="single" w:sz="8" w:space="0" w:color="000000"/>
              <w:bottom w:val="single" w:sz="8" w:space="0" w:color="000000"/>
              <w:right w:val="single" w:sz="8" w:space="0" w:color="000000"/>
            </w:tcBorders>
            <w:hideMark/>
          </w:tcPr>
          <w:p w:rsidR="00A70864" w:rsidRPr="005A3BB2" w:rsidRDefault="005A3BB2" w:rsidP="00AA454E">
            <w:pPr>
              <w:spacing w:before="60" w:after="60" w:line="240" w:lineRule="auto"/>
              <w:rPr>
                <w:rFonts w:ascii="Arial" w:eastAsia="Times New Roman" w:hAnsi="Arial" w:cs="Arial"/>
                <w:lang w:eastAsia="ja-JP"/>
              </w:rPr>
            </w:pPr>
            <w:r w:rsidRPr="005A3BB2">
              <w:rPr>
                <w:rFonts w:ascii="Arial" w:eastAsia="Times New Roman" w:hAnsi="Arial" w:cs="Arial"/>
                <w:lang w:eastAsia="ja-JP"/>
              </w:rPr>
              <w:t>University of South Africa</w:t>
            </w:r>
          </w:p>
        </w:tc>
        <w:tc>
          <w:tcPr>
            <w:tcW w:w="1589"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rPr>
                <w:rFonts w:ascii="Arial" w:eastAsia="Times New Roman" w:hAnsi="Arial" w:cs="Arial"/>
                <w:lang w:eastAsia="ja-JP"/>
              </w:rPr>
            </w:pPr>
            <w:r w:rsidRPr="00FB13CF">
              <w:rPr>
                <w:rFonts w:ascii="Arial" w:eastAsia="Times New Roman" w:hAnsi="Arial" w:cs="Arial"/>
                <w:lang w:eastAsia="ja-JP"/>
              </w:rPr>
              <w:t>Inclusive Education</w:t>
            </w:r>
          </w:p>
        </w:tc>
        <w:tc>
          <w:tcPr>
            <w:tcW w:w="635"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41</w:t>
            </w:r>
          </w:p>
        </w:tc>
        <w:tc>
          <w:tcPr>
            <w:tcW w:w="551"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15</w:t>
            </w:r>
          </w:p>
        </w:tc>
        <w:tc>
          <w:tcPr>
            <w:tcW w:w="558"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28</w:t>
            </w:r>
          </w:p>
        </w:tc>
      </w:tr>
      <w:tr w:rsidR="00C27C4C" w:rsidRPr="00FB13CF" w:rsidTr="005A3BB2">
        <w:trPr>
          <w:trHeight w:val="313"/>
        </w:trPr>
        <w:tc>
          <w:tcPr>
            <w:tcW w:w="1667" w:type="pct"/>
            <w:tcBorders>
              <w:top w:val="single" w:sz="8" w:space="0" w:color="000000"/>
              <w:left w:val="single" w:sz="8" w:space="0" w:color="000000"/>
              <w:bottom w:val="single" w:sz="8" w:space="0" w:color="000000"/>
              <w:right w:val="single" w:sz="8" w:space="0" w:color="000000"/>
            </w:tcBorders>
            <w:hideMark/>
          </w:tcPr>
          <w:p w:rsidR="00A70864" w:rsidRPr="005A3BB2" w:rsidRDefault="005A3BB2" w:rsidP="00AA454E">
            <w:pPr>
              <w:spacing w:before="60" w:after="60" w:line="240" w:lineRule="auto"/>
              <w:rPr>
                <w:rFonts w:ascii="Arial" w:eastAsia="Times New Roman" w:hAnsi="Arial" w:cs="Arial"/>
                <w:lang w:eastAsia="ja-JP"/>
              </w:rPr>
            </w:pPr>
            <w:r w:rsidRPr="005A3BB2">
              <w:rPr>
                <w:rFonts w:ascii="Arial" w:eastAsia="Times New Roman" w:hAnsi="Arial" w:cs="Arial"/>
                <w:lang w:eastAsia="ja-JP"/>
              </w:rPr>
              <w:t>University of Pretoria</w:t>
            </w:r>
          </w:p>
        </w:tc>
        <w:tc>
          <w:tcPr>
            <w:tcW w:w="1589"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rPr>
                <w:rFonts w:ascii="Arial" w:eastAsia="Times New Roman" w:hAnsi="Arial" w:cs="Arial"/>
                <w:lang w:eastAsia="ja-JP"/>
              </w:rPr>
            </w:pPr>
            <w:r w:rsidRPr="00FB13CF">
              <w:rPr>
                <w:rFonts w:ascii="Arial" w:eastAsia="Times New Roman" w:hAnsi="Arial" w:cs="Arial"/>
                <w:lang w:eastAsia="ja-JP"/>
              </w:rPr>
              <w:t>Special Needs Education</w:t>
            </w:r>
          </w:p>
        </w:tc>
        <w:tc>
          <w:tcPr>
            <w:tcW w:w="635"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71</w:t>
            </w:r>
          </w:p>
        </w:tc>
        <w:tc>
          <w:tcPr>
            <w:tcW w:w="551"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41</w:t>
            </w:r>
          </w:p>
        </w:tc>
        <w:tc>
          <w:tcPr>
            <w:tcW w:w="558" w:type="pct"/>
            <w:tcBorders>
              <w:top w:val="nil"/>
              <w:left w:val="nil"/>
              <w:bottom w:val="single" w:sz="8" w:space="0" w:color="000000"/>
              <w:right w:val="single" w:sz="8" w:space="0" w:color="000000"/>
            </w:tcBorders>
            <w:hideMark/>
          </w:tcPr>
          <w:p w:rsidR="00A70864" w:rsidRPr="00FB13CF" w:rsidRDefault="00A70864" w:rsidP="00AA454E">
            <w:pPr>
              <w:spacing w:before="60" w:after="60" w:line="240" w:lineRule="auto"/>
              <w:jc w:val="center"/>
              <w:rPr>
                <w:rFonts w:ascii="Arial" w:eastAsia="Times New Roman" w:hAnsi="Arial" w:cs="Arial"/>
                <w:lang w:eastAsia="ja-JP"/>
              </w:rPr>
            </w:pPr>
            <w:r w:rsidRPr="00FB13CF">
              <w:rPr>
                <w:rFonts w:ascii="Arial" w:eastAsia="Times New Roman" w:hAnsi="Arial" w:cs="Arial"/>
                <w:lang w:eastAsia="ja-JP"/>
              </w:rPr>
              <w:t>50</w:t>
            </w:r>
          </w:p>
        </w:tc>
      </w:tr>
    </w:tbl>
    <w:p w:rsidR="00A70864" w:rsidRPr="00FB13CF" w:rsidRDefault="00A70864" w:rsidP="00C27C4C">
      <w:pPr>
        <w:spacing w:before="360" w:after="240" w:line="360" w:lineRule="auto"/>
        <w:ind w:left="567"/>
        <w:jc w:val="both"/>
        <w:rPr>
          <w:rFonts w:ascii="Arial" w:hAnsi="Arial" w:cs="Arial"/>
        </w:rPr>
      </w:pPr>
      <w:r w:rsidRPr="00FB13CF">
        <w:rPr>
          <w:rFonts w:ascii="Arial" w:hAnsi="Arial" w:cs="Arial"/>
        </w:rPr>
        <w:t>The number and range of ACE programme offerings were much higher a few years a</w:t>
      </w:r>
      <w:r w:rsidR="005A3BB2">
        <w:rPr>
          <w:rFonts w:ascii="Arial" w:hAnsi="Arial" w:cs="Arial"/>
        </w:rPr>
        <w:t>go, and many teachers completed their</w:t>
      </w:r>
      <w:r w:rsidRPr="00FB13CF">
        <w:rPr>
          <w:rFonts w:ascii="Arial" w:hAnsi="Arial" w:cs="Arial"/>
        </w:rPr>
        <w:t xml:space="preserve"> ACE qualifications with an inclusiv</w:t>
      </w:r>
      <w:r w:rsidR="005A3BB2">
        <w:rPr>
          <w:rFonts w:ascii="Arial" w:hAnsi="Arial" w:cs="Arial"/>
        </w:rPr>
        <w:t>e education/remedial education/</w:t>
      </w:r>
      <w:r w:rsidRPr="00FB13CF">
        <w:rPr>
          <w:rFonts w:ascii="Arial" w:hAnsi="Arial" w:cs="Arial"/>
        </w:rPr>
        <w:t xml:space="preserve">special needs education focus. The number of graduates </w:t>
      </w:r>
      <w:r w:rsidRPr="00E351EB">
        <w:rPr>
          <w:rFonts w:ascii="Arial" w:hAnsi="Arial" w:cs="Arial"/>
          <w:noProof/>
        </w:rPr>
        <w:t>are</w:t>
      </w:r>
      <w:r w:rsidRPr="00FB13CF">
        <w:rPr>
          <w:rFonts w:ascii="Arial" w:hAnsi="Arial" w:cs="Arial"/>
        </w:rPr>
        <w:t xml:space="preserve"> now declining because the ACE is </w:t>
      </w:r>
      <w:r w:rsidR="005A3BB2">
        <w:rPr>
          <w:rFonts w:ascii="Arial" w:hAnsi="Arial" w:cs="Arial"/>
        </w:rPr>
        <w:t xml:space="preserve">not aligned to the HEQSF and </w:t>
      </w:r>
      <w:r w:rsidRPr="00FB13CF">
        <w:rPr>
          <w:rFonts w:ascii="Arial" w:hAnsi="Arial" w:cs="Arial"/>
        </w:rPr>
        <w:t xml:space="preserve">being phased out. Universities will replace the ACE specialisations with Advanced Diplomas in Education and Postgraduate Diplomas in Education. </w:t>
      </w:r>
    </w:p>
    <w:p w:rsidR="00A70864" w:rsidRPr="00FB13CF" w:rsidRDefault="00A70864" w:rsidP="00C27C4C">
      <w:pPr>
        <w:spacing w:after="240" w:line="360" w:lineRule="auto"/>
        <w:ind w:left="567"/>
        <w:jc w:val="both"/>
        <w:rPr>
          <w:rFonts w:ascii="Arial" w:hAnsi="Arial" w:cs="Arial"/>
        </w:rPr>
      </w:pPr>
      <w:r w:rsidRPr="00FB13CF">
        <w:rPr>
          <w:rFonts w:ascii="Arial" w:hAnsi="Arial" w:cs="Arial"/>
        </w:rPr>
        <w:t xml:space="preserve">The scale at which the new Advanced Diplomas and Postgraduate Diplomas will </w:t>
      </w:r>
      <w:r w:rsidRPr="00E351EB">
        <w:rPr>
          <w:rFonts w:ascii="Arial" w:hAnsi="Arial" w:cs="Arial"/>
          <w:noProof/>
        </w:rPr>
        <w:t>be offered</w:t>
      </w:r>
      <w:r w:rsidRPr="00FB13CF">
        <w:rPr>
          <w:rFonts w:ascii="Arial" w:hAnsi="Arial" w:cs="Arial"/>
        </w:rPr>
        <w:t xml:space="preserve"> will be dependent on the extent to which the Department of Basic Education signals a need for them and teachers are supported to enrol for the specialist programmes.</w:t>
      </w:r>
    </w:p>
    <w:p w:rsidR="00A70864" w:rsidRPr="00FB13CF" w:rsidRDefault="00A70864" w:rsidP="00C27C4C">
      <w:pPr>
        <w:spacing w:after="240" w:line="360" w:lineRule="auto"/>
        <w:ind w:left="567"/>
        <w:jc w:val="both"/>
        <w:rPr>
          <w:rFonts w:ascii="Arial" w:hAnsi="Arial" w:cs="Arial"/>
        </w:rPr>
      </w:pPr>
      <w:r w:rsidRPr="00FB13CF">
        <w:rPr>
          <w:rFonts w:ascii="Arial" w:hAnsi="Arial" w:cs="Arial"/>
        </w:rPr>
        <w:t>It is not possible for the Department of Higher Education and Training to predict future numbers of teachers who will undertake the</w:t>
      </w:r>
      <w:r w:rsidR="005A3BB2">
        <w:rPr>
          <w:rFonts w:ascii="Arial" w:hAnsi="Arial" w:cs="Arial"/>
        </w:rPr>
        <w:t>se</w:t>
      </w:r>
      <w:r w:rsidRPr="00FB13CF">
        <w:rPr>
          <w:rFonts w:ascii="Arial" w:hAnsi="Arial" w:cs="Arial"/>
        </w:rPr>
        <w:t xml:space="preserve"> specialist programmes. </w:t>
      </w:r>
      <w:r w:rsidRPr="00E351EB">
        <w:rPr>
          <w:rFonts w:ascii="Arial" w:hAnsi="Arial" w:cs="Arial"/>
          <w:noProof/>
        </w:rPr>
        <w:t>This</w:t>
      </w:r>
      <w:r w:rsidRPr="00FB13CF">
        <w:rPr>
          <w:rFonts w:ascii="Arial" w:hAnsi="Arial" w:cs="Arial"/>
        </w:rPr>
        <w:t xml:space="preserve"> is dependent on the extent to which teachers choose to do the</w:t>
      </w:r>
      <w:r w:rsidR="005A3BB2">
        <w:rPr>
          <w:rFonts w:ascii="Arial" w:hAnsi="Arial" w:cs="Arial"/>
        </w:rPr>
        <w:t>se</w:t>
      </w:r>
      <w:r w:rsidRPr="00FB13CF">
        <w:rPr>
          <w:rFonts w:ascii="Arial" w:hAnsi="Arial" w:cs="Arial"/>
        </w:rPr>
        <w:t xml:space="preserve"> courses, or are specifically supported by the Department of Basic Education and provincial education departments to register for the</w:t>
      </w:r>
      <w:r w:rsidR="005A3BB2">
        <w:rPr>
          <w:rFonts w:ascii="Arial" w:hAnsi="Arial" w:cs="Arial"/>
        </w:rPr>
        <w:t>se</w:t>
      </w:r>
      <w:r w:rsidRPr="00FB13CF">
        <w:rPr>
          <w:rFonts w:ascii="Arial" w:hAnsi="Arial" w:cs="Arial"/>
        </w:rPr>
        <w:t xml:space="preserve"> programmes.</w:t>
      </w:r>
    </w:p>
    <w:p w:rsidR="00D812CE" w:rsidRPr="00104A32" w:rsidRDefault="00D812CE" w:rsidP="00104A32">
      <w:pPr>
        <w:spacing w:after="240" w:line="360" w:lineRule="auto"/>
        <w:rPr>
          <w:rFonts w:ascii="Arial" w:hAnsi="Arial" w:cs="Arial"/>
          <w:b/>
        </w:rPr>
      </w:pPr>
      <w:bookmarkStart w:id="0" w:name="_GoBack"/>
      <w:bookmarkEnd w:id="0"/>
    </w:p>
    <w:sectPr w:rsidR="00D812CE" w:rsidRPr="00104A32"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0AA"/>
    <w:multiLevelType w:val="hybridMultilevel"/>
    <w:tmpl w:val="390A9488"/>
    <w:lvl w:ilvl="0" w:tplc="A054302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C6065E"/>
    <w:multiLevelType w:val="hybridMultilevel"/>
    <w:tmpl w:val="CF2AF694"/>
    <w:lvl w:ilvl="0" w:tplc="4134EC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1064352"/>
    <w:multiLevelType w:val="hybridMultilevel"/>
    <w:tmpl w:val="56427B4C"/>
    <w:lvl w:ilvl="0" w:tplc="A8A09E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nsid w:val="58B271A2"/>
    <w:multiLevelType w:val="hybridMultilevel"/>
    <w:tmpl w:val="66B6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7"/>
  </w:num>
  <w:num w:numId="3">
    <w:abstractNumId w:val="19"/>
  </w:num>
  <w:num w:numId="4">
    <w:abstractNumId w:val="3"/>
  </w:num>
  <w:num w:numId="5">
    <w:abstractNumId w:val="24"/>
  </w:num>
  <w:num w:numId="6">
    <w:abstractNumId w:val="17"/>
  </w:num>
  <w:num w:numId="7">
    <w:abstractNumId w:val="22"/>
  </w:num>
  <w:num w:numId="8">
    <w:abstractNumId w:val="15"/>
  </w:num>
  <w:num w:numId="9">
    <w:abstractNumId w:val="23"/>
  </w:num>
  <w:num w:numId="10">
    <w:abstractNumId w:val="8"/>
  </w:num>
  <w:num w:numId="11">
    <w:abstractNumId w:val="10"/>
  </w:num>
  <w:num w:numId="12">
    <w:abstractNumId w:val="2"/>
  </w:num>
  <w:num w:numId="13">
    <w:abstractNumId w:val="13"/>
  </w:num>
  <w:num w:numId="14">
    <w:abstractNumId w:val="21"/>
  </w:num>
  <w:num w:numId="15">
    <w:abstractNumId w:val="5"/>
  </w:num>
  <w:num w:numId="16">
    <w:abstractNumId w:val="25"/>
  </w:num>
  <w:num w:numId="17">
    <w:abstractNumId w:val="20"/>
  </w:num>
  <w:num w:numId="18">
    <w:abstractNumId w:val="26"/>
  </w:num>
  <w:num w:numId="19">
    <w:abstractNumId w:val="6"/>
  </w:num>
  <w:num w:numId="20">
    <w:abstractNumId w:val="12"/>
  </w:num>
  <w:num w:numId="21">
    <w:abstractNumId w:val="7"/>
  </w:num>
  <w:num w:numId="22">
    <w:abstractNumId w:val="9"/>
  </w:num>
  <w:num w:numId="23">
    <w:abstractNumId w:val="14"/>
  </w:num>
  <w:num w:numId="24">
    <w:abstractNumId w:val="18"/>
  </w:num>
  <w:num w:numId="25">
    <w:abstractNumId w:val="16"/>
  </w:num>
  <w:num w:numId="26">
    <w:abstractNumId w:val="0"/>
  </w:num>
  <w:num w:numId="27">
    <w:abstractNumId w:val="4"/>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3NDKxsDQzMjEyMDBQ0lEKTi0uzszPAykwrAUAViCyFS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0EAC"/>
    <w:rsid w:val="000D7B81"/>
    <w:rsid w:val="000E2985"/>
    <w:rsid w:val="000E44C0"/>
    <w:rsid w:val="000E44D4"/>
    <w:rsid w:val="000F1507"/>
    <w:rsid w:val="000F4759"/>
    <w:rsid w:val="000F62AA"/>
    <w:rsid w:val="000F7804"/>
    <w:rsid w:val="00101559"/>
    <w:rsid w:val="00102241"/>
    <w:rsid w:val="0010402E"/>
    <w:rsid w:val="00104A32"/>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4965"/>
    <w:rsid w:val="002E70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72B"/>
    <w:rsid w:val="00366A3A"/>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5F22"/>
    <w:rsid w:val="00457688"/>
    <w:rsid w:val="00463025"/>
    <w:rsid w:val="004640DF"/>
    <w:rsid w:val="004672ED"/>
    <w:rsid w:val="004800DC"/>
    <w:rsid w:val="00491C5B"/>
    <w:rsid w:val="00492A36"/>
    <w:rsid w:val="00493F06"/>
    <w:rsid w:val="004965B4"/>
    <w:rsid w:val="00496C55"/>
    <w:rsid w:val="004A043E"/>
    <w:rsid w:val="004A5705"/>
    <w:rsid w:val="004B7E13"/>
    <w:rsid w:val="004C4CE5"/>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4858"/>
    <w:rsid w:val="00585D0E"/>
    <w:rsid w:val="005920D5"/>
    <w:rsid w:val="005A1C6B"/>
    <w:rsid w:val="005A3BB2"/>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2A1"/>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2693B"/>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70864"/>
    <w:rsid w:val="00A73DAA"/>
    <w:rsid w:val="00A74C57"/>
    <w:rsid w:val="00A8120A"/>
    <w:rsid w:val="00A858CE"/>
    <w:rsid w:val="00A85961"/>
    <w:rsid w:val="00A86CC6"/>
    <w:rsid w:val="00A9633F"/>
    <w:rsid w:val="00A97D2E"/>
    <w:rsid w:val="00AA246C"/>
    <w:rsid w:val="00AA3944"/>
    <w:rsid w:val="00AA454E"/>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89D"/>
    <w:rsid w:val="00B16C29"/>
    <w:rsid w:val="00B25D9E"/>
    <w:rsid w:val="00B30C6E"/>
    <w:rsid w:val="00B3246D"/>
    <w:rsid w:val="00B32FD8"/>
    <w:rsid w:val="00B41483"/>
    <w:rsid w:val="00B4178D"/>
    <w:rsid w:val="00B42D63"/>
    <w:rsid w:val="00B43DD3"/>
    <w:rsid w:val="00B4760C"/>
    <w:rsid w:val="00B64A91"/>
    <w:rsid w:val="00B757E2"/>
    <w:rsid w:val="00B8067B"/>
    <w:rsid w:val="00B814B1"/>
    <w:rsid w:val="00B84F03"/>
    <w:rsid w:val="00B8505E"/>
    <w:rsid w:val="00B85F42"/>
    <w:rsid w:val="00B93D55"/>
    <w:rsid w:val="00B943F8"/>
    <w:rsid w:val="00B9731E"/>
    <w:rsid w:val="00BA0B15"/>
    <w:rsid w:val="00BB2D2A"/>
    <w:rsid w:val="00BC0761"/>
    <w:rsid w:val="00BC0884"/>
    <w:rsid w:val="00BC1197"/>
    <w:rsid w:val="00BC6170"/>
    <w:rsid w:val="00BD1428"/>
    <w:rsid w:val="00BD2317"/>
    <w:rsid w:val="00BD314D"/>
    <w:rsid w:val="00BE1AAF"/>
    <w:rsid w:val="00BE2524"/>
    <w:rsid w:val="00BE7A05"/>
    <w:rsid w:val="00BF0299"/>
    <w:rsid w:val="00BF7A76"/>
    <w:rsid w:val="00C12EBA"/>
    <w:rsid w:val="00C276B4"/>
    <w:rsid w:val="00C27C4C"/>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51EB"/>
    <w:rsid w:val="00E360EA"/>
    <w:rsid w:val="00E37034"/>
    <w:rsid w:val="00E4494B"/>
    <w:rsid w:val="00E45CA8"/>
    <w:rsid w:val="00E50360"/>
    <w:rsid w:val="00E551C0"/>
    <w:rsid w:val="00E601E4"/>
    <w:rsid w:val="00E67736"/>
    <w:rsid w:val="00E713D4"/>
    <w:rsid w:val="00E73AA7"/>
    <w:rsid w:val="00E7473E"/>
    <w:rsid w:val="00E77758"/>
    <w:rsid w:val="00E77E4A"/>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EF684B"/>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B13CF"/>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Bullet Lis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Bullet List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C545-1AD5-456C-B443-A052030F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September.L</cp:lastModifiedBy>
  <cp:revision>4</cp:revision>
  <cp:lastPrinted>2015-02-27T14:25:00Z</cp:lastPrinted>
  <dcterms:created xsi:type="dcterms:W3CDTF">2018-09-06T13:21:00Z</dcterms:created>
  <dcterms:modified xsi:type="dcterms:W3CDTF">2018-09-11T12:26:00Z</dcterms:modified>
</cp:coreProperties>
</file>