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9"/>
        </w:rPr>
      </w:pPr>
    </w:p>
    <w:p>
      <w:pPr>
        <w:pStyle w:val="BodyText"/>
        <w:ind w:left="3190"/>
        <w:rPr>
          <w:rFonts w:ascii="Times New Roman"/>
          <w:sz w:val="20"/>
        </w:rPr>
      </w:pPr>
      <w:r>
        <w:rPr>
          <w:rFonts w:ascii="Times New Roman"/>
          <w:sz w:val="20"/>
        </w:rPr>
        <w:drawing>
          <wp:inline distT="0" distB="0" distL="0" distR="0">
            <wp:extent cx="1321829" cy="737234"/>
            <wp:effectExtent l="0" t="0" r="0" b="0"/>
            <wp:docPr id="1" name="image1.jpeg" descr="http://www.gov.za/3dcoatl.jp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321829" cy="737234"/>
                    </a:xfrm>
                    <a:prstGeom prst="rect">
                      <a:avLst/>
                    </a:prstGeom>
                  </pic:spPr>
                </pic:pic>
              </a:graphicData>
            </a:graphic>
          </wp:inline>
        </w:drawing>
      </w:r>
      <w:r>
        <w:rPr>
          <w:rFonts w:ascii="Times New Roman"/>
          <w:sz w:val="20"/>
        </w:rPr>
      </w:r>
    </w:p>
    <w:p>
      <w:pPr>
        <w:pStyle w:val="BodyText"/>
        <w:spacing w:before="6"/>
        <w:rPr>
          <w:rFonts w:ascii="Times New Roman"/>
          <w:sz w:val="18"/>
        </w:rPr>
      </w:pPr>
    </w:p>
    <w:p>
      <w:pPr>
        <w:spacing w:before="94"/>
        <w:ind w:left="2371" w:right="2373" w:firstLine="0"/>
        <w:jc w:val="center"/>
        <w:rPr>
          <w:rFonts w:ascii="Arial"/>
          <w:b/>
          <w:sz w:val="22"/>
        </w:rPr>
      </w:pPr>
      <w:r>
        <w:rPr>
          <w:rFonts w:ascii="Arial"/>
          <w:b/>
          <w:sz w:val="22"/>
        </w:rPr>
        <w:t>DEPARTMENT: PUBLIC ENTERPRISES REPUBLIC OF SOUTH AFRICA</w:t>
      </w:r>
    </w:p>
    <w:p>
      <w:pPr>
        <w:pStyle w:val="BodyText"/>
        <w:spacing w:before="11"/>
        <w:rPr>
          <w:rFonts w:ascii="Arial"/>
          <w:b/>
          <w:sz w:val="21"/>
        </w:rPr>
      </w:pPr>
    </w:p>
    <w:p>
      <w:pPr>
        <w:spacing w:before="0"/>
        <w:ind w:left="2654" w:right="2652" w:firstLine="2"/>
        <w:jc w:val="center"/>
        <w:rPr>
          <w:rFonts w:ascii="Arial"/>
          <w:b/>
          <w:sz w:val="22"/>
        </w:rPr>
      </w:pPr>
      <w:r>
        <w:rPr>
          <w:rFonts w:ascii="Arial"/>
          <w:b/>
          <w:sz w:val="22"/>
        </w:rPr>
        <w:t>NATIONAL ASSEMBLY QUESTION FOR WRITTEN REPLY QUESTION NO: 2416</w:t>
      </w:r>
    </w:p>
    <w:p>
      <w:pPr>
        <w:pStyle w:val="BodyText"/>
        <w:spacing w:before="1"/>
        <w:rPr>
          <w:rFonts w:ascii="Arial"/>
          <w:b/>
          <w:sz w:val="22"/>
        </w:rPr>
      </w:pPr>
    </w:p>
    <w:p>
      <w:pPr>
        <w:spacing w:before="0"/>
        <w:ind w:left="100" w:right="0" w:firstLine="0"/>
        <w:jc w:val="left"/>
        <w:rPr>
          <w:rFonts w:ascii="Arial"/>
          <w:b/>
          <w:sz w:val="22"/>
        </w:rPr>
      </w:pPr>
      <w:r>
        <w:rPr>
          <w:rFonts w:ascii="Arial"/>
          <w:b/>
          <w:sz w:val="22"/>
          <w:u w:val="thick"/>
        </w:rPr>
        <w:t>QUESTION:</w:t>
      </w:r>
    </w:p>
    <w:p>
      <w:pPr>
        <w:pStyle w:val="BodyText"/>
        <w:spacing w:before="7"/>
        <w:rPr>
          <w:rFonts w:ascii="Arial"/>
          <w:b/>
        </w:rPr>
      </w:pPr>
    </w:p>
    <w:p>
      <w:pPr>
        <w:pStyle w:val="Heading1"/>
      </w:pPr>
      <w:r>
        <w:rPr/>
        <w:t>2416.</w:t>
      </w:r>
      <w:r>
        <w:rPr>
          <w:spacing w:val="-58"/>
        </w:rPr>
        <w:t> </w:t>
      </w:r>
      <w:r>
        <w:rPr/>
        <w:t>Mr A G Whitfield (DA) to ask the Minister of Public Enterprises:</w:t>
      </w:r>
    </w:p>
    <w:p>
      <w:pPr>
        <w:pStyle w:val="BodyText"/>
        <w:spacing w:before="1"/>
        <w:rPr>
          <w:b/>
          <w:sz w:val="23"/>
        </w:rPr>
      </w:pPr>
    </w:p>
    <w:p>
      <w:pPr>
        <w:pStyle w:val="ListParagraph"/>
        <w:numPr>
          <w:ilvl w:val="0"/>
          <w:numId w:val="1"/>
        </w:numPr>
        <w:tabs>
          <w:tab w:pos="809" w:val="left" w:leader="none"/>
        </w:tabs>
        <w:spacing w:line="240" w:lineRule="auto" w:before="0" w:after="0"/>
        <w:ind w:left="808" w:right="101" w:hanging="708"/>
        <w:jc w:val="both"/>
        <w:rPr>
          <w:sz w:val="24"/>
        </w:rPr>
      </w:pPr>
      <w:r>
        <w:rPr>
          <w:sz w:val="24"/>
        </w:rPr>
        <w:t>How many tonnes of manganese ore have been shipped from the (a) Port of Port Elizabeth and (b) Port of Ngqura in each year since 1 April</w:t>
      </w:r>
      <w:r>
        <w:rPr>
          <w:spacing w:val="-24"/>
          <w:sz w:val="24"/>
        </w:rPr>
        <w:t> </w:t>
      </w:r>
      <w:r>
        <w:rPr>
          <w:sz w:val="24"/>
        </w:rPr>
        <w:t>2015;</w:t>
      </w:r>
    </w:p>
    <w:p>
      <w:pPr>
        <w:pStyle w:val="BodyText"/>
        <w:spacing w:before="5"/>
        <w:rPr>
          <w:sz w:val="23"/>
        </w:rPr>
      </w:pPr>
    </w:p>
    <w:p>
      <w:pPr>
        <w:pStyle w:val="ListParagraph"/>
        <w:numPr>
          <w:ilvl w:val="0"/>
          <w:numId w:val="1"/>
        </w:numPr>
        <w:tabs>
          <w:tab w:pos="809" w:val="left" w:leader="none"/>
        </w:tabs>
        <w:spacing w:line="240" w:lineRule="auto" w:before="0" w:after="0"/>
        <w:ind w:left="808" w:right="98" w:hanging="708"/>
        <w:jc w:val="both"/>
        <w:rPr>
          <w:sz w:val="24"/>
        </w:rPr>
      </w:pPr>
      <w:r>
        <w:rPr>
          <w:sz w:val="24"/>
        </w:rPr>
        <w:t>by what date is it intended that (a) the manganese ore terminal at the Port of Port Elizabeth will be decommissioned and (b) the manganese ore terminal at Port of Ngqura will become</w:t>
      </w:r>
      <w:r>
        <w:rPr>
          <w:spacing w:val="-5"/>
          <w:sz w:val="24"/>
        </w:rPr>
        <w:t> </w:t>
      </w:r>
      <w:r>
        <w:rPr>
          <w:sz w:val="24"/>
        </w:rPr>
        <w:t>operational?</w:t>
      </w:r>
    </w:p>
    <w:p>
      <w:pPr>
        <w:pStyle w:val="BodyText"/>
        <w:rPr>
          <w:sz w:val="28"/>
        </w:rPr>
      </w:pPr>
    </w:p>
    <w:p>
      <w:pPr>
        <w:pStyle w:val="BodyText"/>
        <w:rPr>
          <w:sz w:val="28"/>
        </w:rPr>
      </w:pPr>
    </w:p>
    <w:p>
      <w:pPr>
        <w:spacing w:before="174"/>
        <w:ind w:left="100" w:right="0" w:firstLine="0"/>
        <w:jc w:val="left"/>
        <w:rPr>
          <w:b/>
          <w:sz w:val="24"/>
        </w:rPr>
      </w:pPr>
      <w:r>
        <w:rPr>
          <w:b/>
          <w:sz w:val="24"/>
          <w:u w:val="thick"/>
        </w:rPr>
        <w:t>REPLY:</w:t>
      </w:r>
    </w:p>
    <w:p>
      <w:pPr>
        <w:pStyle w:val="BodyText"/>
        <w:spacing w:before="1"/>
        <w:rPr>
          <w:b/>
          <w:sz w:val="23"/>
        </w:rPr>
      </w:pPr>
    </w:p>
    <w:p>
      <w:pPr>
        <w:spacing w:before="0"/>
        <w:ind w:left="100" w:right="0" w:firstLine="0"/>
        <w:jc w:val="left"/>
        <w:rPr>
          <w:b/>
          <w:sz w:val="24"/>
        </w:rPr>
      </w:pPr>
      <w:r>
        <w:rPr>
          <w:b/>
          <w:sz w:val="24"/>
        </w:rPr>
        <w:t>According to the information received from Transnet</w:t>
      </w:r>
    </w:p>
    <w:p>
      <w:pPr>
        <w:pStyle w:val="BodyText"/>
        <w:spacing w:before="1"/>
        <w:rPr>
          <w:b/>
          <w:sz w:val="23"/>
        </w:rPr>
      </w:pPr>
    </w:p>
    <w:p>
      <w:pPr>
        <w:pStyle w:val="BodyText"/>
        <w:spacing w:before="1"/>
        <w:ind w:left="100"/>
      </w:pPr>
      <w:r>
        <w:rPr/>
        <w:t>(1)</w:t>
      </w:r>
    </w:p>
    <w:p>
      <w:pPr>
        <w:pStyle w:val="BodyText"/>
        <w:spacing w:before="6"/>
        <w:rPr>
          <w:sz w:val="23"/>
        </w:rPr>
      </w:pPr>
    </w:p>
    <w:tbl>
      <w:tblPr>
        <w:tblW w:w="0" w:type="auto"/>
        <w:jc w:val="left"/>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2"/>
        <w:gridCol w:w="2847"/>
        <w:gridCol w:w="2809"/>
      </w:tblGrid>
      <w:tr>
        <w:trPr>
          <w:trHeight w:val="1149" w:hRule="atLeast"/>
        </w:trPr>
        <w:tc>
          <w:tcPr>
            <w:tcW w:w="2252" w:type="dxa"/>
          </w:tcPr>
          <w:p>
            <w:pPr>
              <w:pStyle w:val="TableParagraph"/>
              <w:spacing w:line="240" w:lineRule="auto"/>
              <w:ind w:right="918"/>
              <w:rPr>
                <w:sz w:val="24"/>
              </w:rPr>
            </w:pPr>
            <w:r>
              <w:rPr>
                <w:sz w:val="24"/>
              </w:rPr>
              <w:t>Manganese Tonnes</w:t>
            </w:r>
          </w:p>
          <w:p>
            <w:pPr>
              <w:pStyle w:val="TableParagraph"/>
              <w:spacing w:line="240" w:lineRule="auto" w:before="11"/>
              <w:ind w:left="0"/>
              <w:rPr>
                <w:sz w:val="22"/>
              </w:rPr>
            </w:pPr>
          </w:p>
          <w:p>
            <w:pPr>
              <w:pStyle w:val="TableParagraph"/>
              <w:spacing w:line="273" w:lineRule="exact"/>
              <w:rPr>
                <w:sz w:val="24"/>
              </w:rPr>
            </w:pPr>
            <w:r>
              <w:rPr>
                <w:sz w:val="24"/>
              </w:rPr>
              <w:t>Financial Year</w:t>
            </w:r>
          </w:p>
        </w:tc>
        <w:tc>
          <w:tcPr>
            <w:tcW w:w="2847" w:type="dxa"/>
          </w:tcPr>
          <w:p>
            <w:pPr>
              <w:pStyle w:val="TableParagraph"/>
              <w:spacing w:line="287" w:lineRule="exact"/>
              <w:rPr>
                <w:sz w:val="24"/>
              </w:rPr>
            </w:pPr>
            <w:r>
              <w:rPr>
                <w:sz w:val="24"/>
              </w:rPr>
              <w:t>Port of Port Elizabeth</w:t>
            </w:r>
          </w:p>
          <w:p>
            <w:pPr>
              <w:pStyle w:val="TableParagraph"/>
              <w:spacing w:line="240" w:lineRule="auto" w:before="1"/>
              <w:ind w:left="0"/>
              <w:rPr>
                <w:sz w:val="23"/>
              </w:rPr>
            </w:pPr>
          </w:p>
          <w:p>
            <w:pPr>
              <w:pStyle w:val="TableParagraph"/>
              <w:spacing w:line="240" w:lineRule="auto"/>
              <w:rPr>
                <w:sz w:val="24"/>
              </w:rPr>
            </w:pPr>
            <w:r>
              <w:rPr>
                <w:sz w:val="24"/>
              </w:rPr>
              <w:t>Million Tonnes</w:t>
            </w:r>
          </w:p>
        </w:tc>
        <w:tc>
          <w:tcPr>
            <w:tcW w:w="2809" w:type="dxa"/>
          </w:tcPr>
          <w:p>
            <w:pPr>
              <w:pStyle w:val="TableParagraph"/>
              <w:spacing w:line="287" w:lineRule="exact"/>
              <w:rPr>
                <w:sz w:val="24"/>
              </w:rPr>
            </w:pPr>
            <w:r>
              <w:rPr>
                <w:sz w:val="24"/>
              </w:rPr>
              <w:t>Port of</w:t>
            </w:r>
            <w:r>
              <w:rPr>
                <w:spacing w:val="-7"/>
                <w:sz w:val="24"/>
              </w:rPr>
              <w:t> </w:t>
            </w:r>
            <w:r>
              <w:rPr>
                <w:sz w:val="24"/>
              </w:rPr>
              <w:t>Ngqura</w:t>
            </w:r>
          </w:p>
          <w:p>
            <w:pPr>
              <w:pStyle w:val="TableParagraph"/>
              <w:spacing w:line="240" w:lineRule="auto" w:before="1"/>
              <w:ind w:left="0"/>
              <w:rPr>
                <w:sz w:val="23"/>
              </w:rPr>
            </w:pPr>
          </w:p>
          <w:p>
            <w:pPr>
              <w:pStyle w:val="TableParagraph"/>
              <w:spacing w:line="240" w:lineRule="auto"/>
              <w:rPr>
                <w:sz w:val="24"/>
              </w:rPr>
            </w:pPr>
            <w:r>
              <w:rPr>
                <w:sz w:val="24"/>
              </w:rPr>
              <w:t>Million</w:t>
            </w:r>
            <w:r>
              <w:rPr>
                <w:spacing w:val="-2"/>
                <w:sz w:val="24"/>
              </w:rPr>
              <w:t> </w:t>
            </w:r>
            <w:r>
              <w:rPr>
                <w:sz w:val="24"/>
              </w:rPr>
              <w:t>Tonnes</w:t>
            </w:r>
          </w:p>
        </w:tc>
      </w:tr>
      <w:tr>
        <w:trPr>
          <w:trHeight w:val="290" w:hRule="atLeast"/>
        </w:trPr>
        <w:tc>
          <w:tcPr>
            <w:tcW w:w="2252" w:type="dxa"/>
          </w:tcPr>
          <w:p>
            <w:pPr>
              <w:pStyle w:val="TableParagraph"/>
              <w:rPr>
                <w:sz w:val="24"/>
              </w:rPr>
            </w:pPr>
            <w:r>
              <w:rPr>
                <w:sz w:val="24"/>
              </w:rPr>
              <w:t>2015/16</w:t>
            </w:r>
          </w:p>
        </w:tc>
        <w:tc>
          <w:tcPr>
            <w:tcW w:w="2847" w:type="dxa"/>
          </w:tcPr>
          <w:p>
            <w:pPr>
              <w:pStyle w:val="TableParagraph"/>
              <w:rPr>
                <w:sz w:val="24"/>
              </w:rPr>
            </w:pPr>
            <w:r>
              <w:rPr>
                <w:sz w:val="24"/>
              </w:rPr>
              <w:t>6 139 602 Mt</w:t>
            </w:r>
          </w:p>
        </w:tc>
        <w:tc>
          <w:tcPr>
            <w:tcW w:w="2809" w:type="dxa"/>
          </w:tcPr>
          <w:p>
            <w:pPr>
              <w:pStyle w:val="TableParagraph"/>
              <w:rPr>
                <w:sz w:val="24"/>
              </w:rPr>
            </w:pPr>
            <w:r>
              <w:rPr>
                <w:sz w:val="24"/>
              </w:rPr>
              <w:t>0</w:t>
            </w:r>
          </w:p>
        </w:tc>
      </w:tr>
      <w:tr>
        <w:trPr>
          <w:trHeight w:val="285" w:hRule="atLeast"/>
        </w:trPr>
        <w:tc>
          <w:tcPr>
            <w:tcW w:w="2252" w:type="dxa"/>
            <w:tcBorders>
              <w:bottom w:val="single" w:sz="6" w:space="0" w:color="000000"/>
            </w:tcBorders>
          </w:tcPr>
          <w:p>
            <w:pPr>
              <w:pStyle w:val="TableParagraph"/>
              <w:spacing w:line="265" w:lineRule="exact"/>
              <w:rPr>
                <w:sz w:val="24"/>
              </w:rPr>
            </w:pPr>
            <w:r>
              <w:rPr>
                <w:sz w:val="24"/>
              </w:rPr>
              <w:t>2016/17</w:t>
            </w:r>
          </w:p>
        </w:tc>
        <w:tc>
          <w:tcPr>
            <w:tcW w:w="2847" w:type="dxa"/>
            <w:tcBorders>
              <w:bottom w:val="single" w:sz="6" w:space="0" w:color="000000"/>
            </w:tcBorders>
          </w:tcPr>
          <w:p>
            <w:pPr>
              <w:pStyle w:val="TableParagraph"/>
              <w:spacing w:line="265" w:lineRule="exact"/>
              <w:rPr>
                <w:sz w:val="24"/>
              </w:rPr>
            </w:pPr>
            <w:r>
              <w:rPr>
                <w:sz w:val="24"/>
              </w:rPr>
              <w:t>7 446 310 Mt</w:t>
            </w:r>
          </w:p>
        </w:tc>
        <w:tc>
          <w:tcPr>
            <w:tcW w:w="2809" w:type="dxa"/>
            <w:tcBorders>
              <w:bottom w:val="single" w:sz="6" w:space="0" w:color="000000"/>
            </w:tcBorders>
          </w:tcPr>
          <w:p>
            <w:pPr>
              <w:pStyle w:val="TableParagraph"/>
              <w:spacing w:line="265" w:lineRule="exact"/>
              <w:rPr>
                <w:sz w:val="24"/>
              </w:rPr>
            </w:pPr>
            <w:r>
              <w:rPr>
                <w:sz w:val="24"/>
              </w:rPr>
              <w:t>0</w:t>
            </w:r>
          </w:p>
        </w:tc>
      </w:tr>
      <w:tr>
        <w:trPr>
          <w:trHeight w:val="287" w:hRule="atLeast"/>
        </w:trPr>
        <w:tc>
          <w:tcPr>
            <w:tcW w:w="2252" w:type="dxa"/>
            <w:tcBorders>
              <w:top w:val="single" w:sz="6" w:space="0" w:color="000000"/>
            </w:tcBorders>
          </w:tcPr>
          <w:p>
            <w:pPr>
              <w:pStyle w:val="TableParagraph"/>
              <w:spacing w:line="268" w:lineRule="exact"/>
              <w:rPr>
                <w:sz w:val="24"/>
              </w:rPr>
            </w:pPr>
            <w:r>
              <w:rPr>
                <w:sz w:val="24"/>
              </w:rPr>
              <w:t>2017/18</w:t>
            </w:r>
          </w:p>
        </w:tc>
        <w:tc>
          <w:tcPr>
            <w:tcW w:w="2847" w:type="dxa"/>
            <w:tcBorders>
              <w:top w:val="single" w:sz="6" w:space="0" w:color="000000"/>
            </w:tcBorders>
          </w:tcPr>
          <w:p>
            <w:pPr>
              <w:pStyle w:val="TableParagraph"/>
              <w:spacing w:line="268" w:lineRule="exact"/>
              <w:rPr>
                <w:sz w:val="24"/>
              </w:rPr>
            </w:pPr>
            <w:r>
              <w:rPr>
                <w:sz w:val="24"/>
              </w:rPr>
              <w:t>8 979 026 Mt</w:t>
            </w:r>
          </w:p>
        </w:tc>
        <w:tc>
          <w:tcPr>
            <w:tcW w:w="2809" w:type="dxa"/>
            <w:tcBorders>
              <w:top w:val="single" w:sz="6" w:space="0" w:color="000000"/>
            </w:tcBorders>
          </w:tcPr>
          <w:p>
            <w:pPr>
              <w:pStyle w:val="TableParagraph"/>
              <w:spacing w:line="268" w:lineRule="exact"/>
              <w:rPr>
                <w:sz w:val="24"/>
              </w:rPr>
            </w:pPr>
            <w:r>
              <w:rPr>
                <w:sz w:val="24"/>
              </w:rPr>
              <w:t>0</w:t>
            </w:r>
          </w:p>
        </w:tc>
      </w:tr>
      <w:tr>
        <w:trPr>
          <w:trHeight w:val="290" w:hRule="atLeast"/>
        </w:trPr>
        <w:tc>
          <w:tcPr>
            <w:tcW w:w="2252" w:type="dxa"/>
          </w:tcPr>
          <w:p>
            <w:pPr>
              <w:pStyle w:val="TableParagraph"/>
              <w:rPr>
                <w:sz w:val="24"/>
              </w:rPr>
            </w:pPr>
            <w:r>
              <w:rPr>
                <w:sz w:val="24"/>
              </w:rPr>
              <w:t>2018/19</w:t>
            </w:r>
          </w:p>
        </w:tc>
        <w:tc>
          <w:tcPr>
            <w:tcW w:w="2847" w:type="dxa"/>
          </w:tcPr>
          <w:p>
            <w:pPr>
              <w:pStyle w:val="TableParagraph"/>
              <w:rPr>
                <w:sz w:val="24"/>
              </w:rPr>
            </w:pPr>
            <w:r>
              <w:rPr>
                <w:sz w:val="24"/>
              </w:rPr>
              <w:t>9 100 464 Mt</w:t>
            </w:r>
          </w:p>
        </w:tc>
        <w:tc>
          <w:tcPr>
            <w:tcW w:w="2809" w:type="dxa"/>
          </w:tcPr>
          <w:p>
            <w:pPr>
              <w:pStyle w:val="TableParagraph"/>
              <w:rPr>
                <w:sz w:val="24"/>
              </w:rPr>
            </w:pPr>
            <w:r>
              <w:rPr>
                <w:sz w:val="24"/>
              </w:rPr>
              <w:t>984 901</w:t>
            </w:r>
          </w:p>
        </w:tc>
      </w:tr>
      <w:tr>
        <w:trPr>
          <w:trHeight w:val="290" w:hRule="atLeast"/>
        </w:trPr>
        <w:tc>
          <w:tcPr>
            <w:tcW w:w="2252" w:type="dxa"/>
          </w:tcPr>
          <w:p>
            <w:pPr>
              <w:pStyle w:val="TableParagraph"/>
              <w:rPr>
                <w:sz w:val="24"/>
              </w:rPr>
            </w:pPr>
            <w:r>
              <w:rPr>
                <w:sz w:val="24"/>
              </w:rPr>
              <w:t>2019/20</w:t>
            </w:r>
          </w:p>
        </w:tc>
        <w:tc>
          <w:tcPr>
            <w:tcW w:w="2847" w:type="dxa"/>
          </w:tcPr>
          <w:p>
            <w:pPr>
              <w:pStyle w:val="TableParagraph"/>
              <w:rPr>
                <w:sz w:val="24"/>
              </w:rPr>
            </w:pPr>
            <w:r>
              <w:rPr>
                <w:sz w:val="24"/>
              </w:rPr>
              <w:t>9 397 272 Mt</w:t>
            </w:r>
          </w:p>
        </w:tc>
        <w:tc>
          <w:tcPr>
            <w:tcW w:w="2809" w:type="dxa"/>
          </w:tcPr>
          <w:p>
            <w:pPr>
              <w:pStyle w:val="TableParagraph"/>
              <w:rPr>
                <w:sz w:val="24"/>
              </w:rPr>
            </w:pPr>
            <w:r>
              <w:rPr>
                <w:sz w:val="24"/>
              </w:rPr>
              <w:t>1 770 486 Mt</w:t>
            </w:r>
          </w:p>
        </w:tc>
      </w:tr>
      <w:tr>
        <w:trPr>
          <w:trHeight w:val="290" w:hRule="atLeast"/>
        </w:trPr>
        <w:tc>
          <w:tcPr>
            <w:tcW w:w="2252" w:type="dxa"/>
          </w:tcPr>
          <w:p>
            <w:pPr>
              <w:pStyle w:val="TableParagraph"/>
              <w:rPr>
                <w:sz w:val="24"/>
              </w:rPr>
            </w:pPr>
            <w:r>
              <w:rPr>
                <w:sz w:val="24"/>
              </w:rPr>
              <w:t>2020/21</w:t>
            </w:r>
          </w:p>
        </w:tc>
        <w:tc>
          <w:tcPr>
            <w:tcW w:w="2847" w:type="dxa"/>
          </w:tcPr>
          <w:p>
            <w:pPr>
              <w:pStyle w:val="TableParagraph"/>
              <w:rPr>
                <w:sz w:val="24"/>
              </w:rPr>
            </w:pPr>
            <w:r>
              <w:rPr>
                <w:sz w:val="24"/>
              </w:rPr>
              <w:t>8 347 956 Mt</w:t>
            </w:r>
          </w:p>
        </w:tc>
        <w:tc>
          <w:tcPr>
            <w:tcW w:w="2809" w:type="dxa"/>
          </w:tcPr>
          <w:p>
            <w:pPr>
              <w:pStyle w:val="TableParagraph"/>
              <w:rPr>
                <w:sz w:val="24"/>
              </w:rPr>
            </w:pPr>
            <w:r>
              <w:rPr>
                <w:sz w:val="24"/>
              </w:rPr>
              <w:t>2 918 683 Mt</w:t>
            </w:r>
          </w:p>
        </w:tc>
      </w:tr>
    </w:tbl>
    <w:p>
      <w:pPr>
        <w:pStyle w:val="BodyText"/>
        <w:rPr>
          <w:sz w:val="23"/>
        </w:rPr>
      </w:pPr>
    </w:p>
    <w:p>
      <w:pPr>
        <w:pStyle w:val="BodyText"/>
        <w:ind w:left="1233" w:right="101" w:hanging="992"/>
        <w:jc w:val="both"/>
      </w:pPr>
      <w:r>
        <w:rPr/>
        <w:t>(2)  (a)  The Bulk Ore Terminal at Port of Port Elizabeth will cease to operate  at the end of the 2026/27 financial year. The Decommissioning application process to the Department of Environment, Forestry and Fisheries</w:t>
      </w:r>
      <w:r>
        <w:rPr>
          <w:spacing w:val="13"/>
        </w:rPr>
        <w:t> </w:t>
      </w:r>
      <w:r>
        <w:rPr/>
        <w:t>for</w:t>
      </w:r>
      <w:r>
        <w:rPr>
          <w:spacing w:val="13"/>
        </w:rPr>
        <w:t> </w:t>
      </w:r>
      <w:r>
        <w:rPr/>
        <w:t>a</w:t>
      </w:r>
      <w:r>
        <w:rPr>
          <w:spacing w:val="12"/>
        </w:rPr>
        <w:t> </w:t>
      </w:r>
      <w:r>
        <w:rPr/>
        <w:t>Record</w:t>
      </w:r>
      <w:r>
        <w:rPr>
          <w:spacing w:val="12"/>
        </w:rPr>
        <w:t> </w:t>
      </w:r>
      <w:r>
        <w:rPr/>
        <w:t>of</w:t>
      </w:r>
      <w:r>
        <w:rPr>
          <w:spacing w:val="13"/>
        </w:rPr>
        <w:t> </w:t>
      </w:r>
      <w:r>
        <w:rPr/>
        <w:t>Decision</w:t>
      </w:r>
      <w:r>
        <w:rPr>
          <w:spacing w:val="14"/>
        </w:rPr>
        <w:t> </w:t>
      </w:r>
      <w:r>
        <w:rPr/>
        <w:t>will</w:t>
      </w:r>
      <w:r>
        <w:rPr>
          <w:spacing w:val="11"/>
        </w:rPr>
        <w:t> </w:t>
      </w:r>
      <w:r>
        <w:rPr/>
        <w:t>commence</w:t>
      </w:r>
      <w:r>
        <w:rPr>
          <w:spacing w:val="14"/>
        </w:rPr>
        <w:t> </w:t>
      </w:r>
      <w:r>
        <w:rPr/>
        <w:t>in</w:t>
      </w:r>
      <w:r>
        <w:rPr>
          <w:spacing w:val="14"/>
        </w:rPr>
        <w:t> </w:t>
      </w:r>
      <w:r>
        <w:rPr/>
        <w:t>the</w:t>
      </w:r>
      <w:r>
        <w:rPr>
          <w:spacing w:val="14"/>
        </w:rPr>
        <w:t> </w:t>
      </w:r>
      <w:r>
        <w:rPr/>
        <w:t>financial</w:t>
      </w:r>
      <w:r>
        <w:rPr>
          <w:spacing w:val="13"/>
        </w:rPr>
        <w:t> </w:t>
      </w:r>
      <w:r>
        <w:rPr/>
        <w:t>year</w:t>
      </w:r>
    </w:p>
    <w:p>
      <w:pPr>
        <w:spacing w:after="0"/>
        <w:jc w:val="both"/>
        <w:sectPr>
          <w:footerReference w:type="default" r:id="rId5"/>
          <w:type w:val="continuous"/>
          <w:pgSz w:w="12240" w:h="15840"/>
          <w:pgMar w:footer="754" w:top="1500" w:bottom="940" w:left="1700" w:right="1700"/>
          <w:pgNumType w:start="1"/>
        </w:sectPr>
      </w:pPr>
    </w:p>
    <w:p>
      <w:pPr>
        <w:pStyle w:val="BodyText"/>
        <w:spacing w:before="73"/>
        <w:ind w:left="1233" w:right="104"/>
        <w:jc w:val="both"/>
      </w:pPr>
      <w:r>
        <w:rPr/>
        <w:t>2024/25. The Decommissioning will start in 2027/28 thereafter a remediation process will take place. The entire process takes place within a period of 4 years.</w:t>
      </w:r>
    </w:p>
    <w:p>
      <w:pPr>
        <w:pStyle w:val="BodyText"/>
        <w:spacing w:before="3"/>
        <w:rPr>
          <w:sz w:val="23"/>
        </w:rPr>
      </w:pPr>
    </w:p>
    <w:p>
      <w:pPr>
        <w:pStyle w:val="BodyText"/>
        <w:spacing w:before="1"/>
        <w:ind w:left="1233" w:right="101" w:hanging="567"/>
        <w:jc w:val="both"/>
      </w:pPr>
      <w:r>
        <w:rPr/>
        <w:t>(b) The Ngqura Manganese Ore Terminal will be  commissioned  by  January 2026 in a phased manner, until the Port of PE Ore Terminal is phased out in March</w:t>
      </w:r>
      <w:r>
        <w:rPr>
          <w:spacing w:val="-6"/>
        </w:rPr>
        <w:t> </w:t>
      </w:r>
      <w:r>
        <w:rPr/>
        <w:t>2027.</w:t>
      </w:r>
    </w:p>
    <w:sectPr>
      <w:pgSz w:w="12240" w:h="15840"/>
      <w:pgMar w:header="0" w:footer="754" w:top="920" w:bottom="94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3.099976pt;margin-top:743.322632pt;width:12pt;height:15.3pt;mso-position-horizontal-relative:page;mso-position-vertical-relative:page;z-index:-251796480"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08" w:hanging="708"/>
        <w:jc w:val="left"/>
      </w:pPr>
      <w:rPr>
        <w:rFonts w:hint="default" w:ascii="Tahoma" w:hAnsi="Tahoma" w:eastAsia="Tahoma" w:cs="Tahoma"/>
        <w:spacing w:val="-2"/>
        <w:w w:val="100"/>
        <w:sz w:val="24"/>
        <w:szCs w:val="24"/>
        <w:lang w:val="en-US" w:eastAsia="en-US" w:bidi="en-US"/>
      </w:rPr>
    </w:lvl>
    <w:lvl w:ilvl="1">
      <w:start w:val="0"/>
      <w:numFmt w:val="bullet"/>
      <w:lvlText w:val="•"/>
      <w:lvlJc w:val="left"/>
      <w:pPr>
        <w:ind w:left="1240" w:hanging="708"/>
      </w:pPr>
      <w:rPr>
        <w:rFonts w:hint="default"/>
        <w:lang w:val="en-US" w:eastAsia="en-US" w:bidi="en-US"/>
      </w:rPr>
    </w:lvl>
    <w:lvl w:ilvl="2">
      <w:start w:val="0"/>
      <w:numFmt w:val="bullet"/>
      <w:lvlText w:val="•"/>
      <w:lvlJc w:val="left"/>
      <w:pPr>
        <w:ind w:left="2084" w:hanging="708"/>
      </w:pPr>
      <w:rPr>
        <w:rFonts w:hint="default"/>
        <w:lang w:val="en-US" w:eastAsia="en-US" w:bidi="en-US"/>
      </w:rPr>
    </w:lvl>
    <w:lvl w:ilvl="3">
      <w:start w:val="0"/>
      <w:numFmt w:val="bullet"/>
      <w:lvlText w:val="•"/>
      <w:lvlJc w:val="left"/>
      <w:pPr>
        <w:ind w:left="2928" w:hanging="708"/>
      </w:pPr>
      <w:rPr>
        <w:rFonts w:hint="default"/>
        <w:lang w:val="en-US" w:eastAsia="en-US" w:bidi="en-US"/>
      </w:rPr>
    </w:lvl>
    <w:lvl w:ilvl="4">
      <w:start w:val="0"/>
      <w:numFmt w:val="bullet"/>
      <w:lvlText w:val="•"/>
      <w:lvlJc w:val="left"/>
      <w:pPr>
        <w:ind w:left="3773" w:hanging="708"/>
      </w:pPr>
      <w:rPr>
        <w:rFonts w:hint="default"/>
        <w:lang w:val="en-US" w:eastAsia="en-US" w:bidi="en-US"/>
      </w:rPr>
    </w:lvl>
    <w:lvl w:ilvl="5">
      <w:start w:val="0"/>
      <w:numFmt w:val="bullet"/>
      <w:lvlText w:val="•"/>
      <w:lvlJc w:val="left"/>
      <w:pPr>
        <w:ind w:left="4617" w:hanging="708"/>
      </w:pPr>
      <w:rPr>
        <w:rFonts w:hint="default"/>
        <w:lang w:val="en-US" w:eastAsia="en-US" w:bidi="en-US"/>
      </w:rPr>
    </w:lvl>
    <w:lvl w:ilvl="6">
      <w:start w:val="0"/>
      <w:numFmt w:val="bullet"/>
      <w:lvlText w:val="•"/>
      <w:lvlJc w:val="left"/>
      <w:pPr>
        <w:ind w:left="5462" w:hanging="708"/>
      </w:pPr>
      <w:rPr>
        <w:rFonts w:hint="default"/>
        <w:lang w:val="en-US" w:eastAsia="en-US" w:bidi="en-US"/>
      </w:rPr>
    </w:lvl>
    <w:lvl w:ilvl="7">
      <w:start w:val="0"/>
      <w:numFmt w:val="bullet"/>
      <w:lvlText w:val="•"/>
      <w:lvlJc w:val="left"/>
      <w:pPr>
        <w:ind w:left="6306" w:hanging="708"/>
      </w:pPr>
      <w:rPr>
        <w:rFonts w:hint="default"/>
        <w:lang w:val="en-US" w:eastAsia="en-US" w:bidi="en-US"/>
      </w:rPr>
    </w:lvl>
    <w:lvl w:ilvl="8">
      <w:start w:val="0"/>
      <w:numFmt w:val="bullet"/>
      <w:lvlText w:val="•"/>
      <w:lvlJc w:val="left"/>
      <w:pPr>
        <w:ind w:left="7151" w:hanging="70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en-US"/>
    </w:rPr>
  </w:style>
  <w:style w:styleId="BodyText" w:type="paragraph">
    <w:name w:val="Body Text"/>
    <w:basedOn w:val="Normal"/>
    <w:uiPriority w:val="1"/>
    <w:qFormat/>
    <w:pPr/>
    <w:rPr>
      <w:rFonts w:ascii="Tahoma" w:hAnsi="Tahoma" w:eastAsia="Tahoma" w:cs="Tahoma"/>
      <w:sz w:val="24"/>
      <w:szCs w:val="24"/>
      <w:lang w:val="en-US" w:eastAsia="en-US" w:bidi="en-US"/>
    </w:rPr>
  </w:style>
  <w:style w:styleId="Heading1" w:type="paragraph">
    <w:name w:val="Heading 1"/>
    <w:basedOn w:val="Normal"/>
    <w:uiPriority w:val="1"/>
    <w:qFormat/>
    <w:pPr>
      <w:ind w:left="100"/>
      <w:outlineLvl w:val="1"/>
    </w:pPr>
    <w:rPr>
      <w:rFonts w:ascii="Tahoma" w:hAnsi="Tahoma" w:eastAsia="Tahoma" w:cs="Tahoma"/>
      <w:b/>
      <w:bCs/>
      <w:sz w:val="24"/>
      <w:szCs w:val="24"/>
      <w:lang w:val="en-US" w:eastAsia="en-US" w:bidi="en-US"/>
    </w:rPr>
  </w:style>
  <w:style w:styleId="ListParagraph" w:type="paragraph">
    <w:name w:val="List Paragraph"/>
    <w:basedOn w:val="Normal"/>
    <w:uiPriority w:val="1"/>
    <w:qFormat/>
    <w:pPr>
      <w:ind w:left="808" w:right="98" w:hanging="708"/>
      <w:jc w:val="both"/>
    </w:pPr>
    <w:rPr>
      <w:rFonts w:ascii="Tahoma" w:hAnsi="Tahoma" w:eastAsia="Tahoma" w:cs="Tahoma"/>
      <w:lang w:val="en-US" w:eastAsia="en-US" w:bidi="en-US"/>
    </w:rPr>
  </w:style>
  <w:style w:styleId="TableParagraph" w:type="paragraph">
    <w:name w:val="Table Paragraph"/>
    <w:basedOn w:val="Normal"/>
    <w:uiPriority w:val="1"/>
    <w:qFormat/>
    <w:pPr>
      <w:spacing w:line="270" w:lineRule="exact"/>
      <w:ind w:left="107"/>
    </w:pPr>
    <w:rPr>
      <w:rFonts w:ascii="Tahoma" w:hAnsi="Tahoma" w:eastAsia="Tahoma" w:cs="Tahom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mandiwanas</dc:creator>
  <dc:title>NATIONAL ASSEMBLY</dc:title>
  <dcterms:created xsi:type="dcterms:W3CDTF">2022-01-12T11:30:02Z</dcterms:created>
  <dcterms:modified xsi:type="dcterms:W3CDTF">2022-01-12T11:30:02Z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Microsoft® Word 2016</vt:lpwstr>
  </property>
  <property fmtid="{D5CDD505-2E9C-101B-9397-08002B2CF9AE}" pid="4" name="LastSaved">
    <vt:filetime>2022-01-12T00:00:00Z</vt:filetime>
  </property>
</Properties>
</file>