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A20692">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4E69D0">
        <w:rPr>
          <w:rFonts w:ascii="Arial" w:hAnsi="Arial" w:cs="Arial"/>
          <w:b/>
          <w:sz w:val="22"/>
          <w:szCs w:val="22"/>
          <w:u w:val="single"/>
        </w:rPr>
        <w:t>241</w:t>
      </w:r>
      <w:r w:rsidR="00B37349">
        <w:rPr>
          <w:rFonts w:ascii="Arial" w:hAnsi="Arial" w:cs="Arial"/>
          <w:b/>
          <w:sz w:val="22"/>
          <w:szCs w:val="22"/>
          <w:u w:val="single"/>
        </w:rPr>
        <w:t>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4E69D0">
        <w:rPr>
          <w:rFonts w:ascii="Arial" w:hAnsi="Arial" w:cs="Arial"/>
          <w:b/>
          <w:sz w:val="22"/>
          <w:szCs w:val="22"/>
          <w:u w:val="single"/>
        </w:rPr>
        <w:t>23</w:t>
      </w:r>
      <w:r w:rsidRPr="00C36A1F">
        <w:rPr>
          <w:rFonts w:ascii="Arial" w:hAnsi="Arial" w:cs="Arial"/>
          <w:b/>
          <w:sz w:val="22"/>
          <w:szCs w:val="22"/>
          <w:u w:val="single"/>
        </w:rPr>
        <w:t>)</w:t>
      </w:r>
      <w:r w:rsidR="00596248">
        <w:rPr>
          <w:rFonts w:ascii="Arial" w:hAnsi="Arial" w:cs="Arial"/>
          <w:b/>
          <w:sz w:val="22"/>
          <w:szCs w:val="22"/>
          <w:u w:val="single"/>
        </w:rPr>
        <w:t xml:space="preserve"> </w:t>
      </w:r>
      <w:r w:rsidR="004E69D0">
        <w:rPr>
          <w:rFonts w:ascii="Arial" w:hAnsi="Arial" w:cs="Arial"/>
          <w:b/>
          <w:sz w:val="22"/>
          <w:szCs w:val="22"/>
          <w:u w:val="single"/>
        </w:rPr>
        <w:t>09 JUNE</w:t>
      </w:r>
      <w:r w:rsidR="00327591">
        <w:rPr>
          <w:rFonts w:ascii="Arial" w:hAnsi="Arial" w:cs="Arial"/>
          <w:b/>
          <w:sz w:val="22"/>
          <w:szCs w:val="22"/>
          <w:u w:val="single"/>
        </w:rPr>
        <w:t xml:space="preserve"> 2023</w:t>
      </w:r>
    </w:p>
    <w:p w:rsidR="00B37349" w:rsidRPr="00543C98" w:rsidRDefault="00B37349" w:rsidP="00B37349">
      <w:pPr>
        <w:spacing w:before="100" w:beforeAutospacing="1" w:after="100" w:afterAutospacing="1"/>
        <w:ind w:left="709" w:hanging="709"/>
        <w:jc w:val="both"/>
        <w:rPr>
          <w:rFonts w:ascii="Arial" w:hAnsi="Arial" w:cs="Arial"/>
          <w:b/>
          <w:bCs/>
          <w:color w:val="000000" w:themeColor="text1"/>
          <w:sz w:val="22"/>
          <w:szCs w:val="22"/>
          <w:lang w:val="en-US"/>
        </w:rPr>
      </w:pPr>
      <w:r w:rsidRPr="00543C98">
        <w:rPr>
          <w:rFonts w:ascii="Arial" w:hAnsi="Arial" w:cs="Arial"/>
          <w:b/>
          <w:bCs/>
          <w:sz w:val="22"/>
          <w:szCs w:val="22"/>
        </w:rPr>
        <w:t>2412.</w:t>
      </w:r>
      <w:r w:rsidRPr="00543C98">
        <w:rPr>
          <w:rFonts w:ascii="Arial" w:hAnsi="Arial" w:cs="Arial"/>
          <w:b/>
          <w:bCs/>
          <w:sz w:val="22"/>
          <w:szCs w:val="22"/>
        </w:rPr>
        <w:tab/>
      </w:r>
      <w:r w:rsidRPr="00543C98">
        <w:rPr>
          <w:rFonts w:ascii="Arial" w:hAnsi="Arial" w:cs="Arial"/>
          <w:b/>
          <w:bCs/>
          <w:color w:val="000000" w:themeColor="text1"/>
          <w:sz w:val="22"/>
          <w:szCs w:val="22"/>
          <w:lang w:val="en-GB"/>
        </w:rPr>
        <w:t>Mrs M R Mohlala</w:t>
      </w:r>
      <w:r w:rsidRPr="00543C98">
        <w:rPr>
          <w:rFonts w:ascii="Arial" w:hAnsi="Arial" w:cs="Arial"/>
          <w:b/>
          <w:bCs/>
          <w:color w:val="000000" w:themeColor="text1"/>
          <w:sz w:val="22"/>
          <w:szCs w:val="22"/>
          <w:lang w:val="en-US"/>
        </w:rPr>
        <w:t xml:space="preserve"> </w:t>
      </w:r>
      <w:r w:rsidRPr="00543C98">
        <w:rPr>
          <w:rFonts w:ascii="Arial" w:hAnsi="Arial" w:cs="Arial"/>
          <w:b/>
          <w:bCs/>
          <w:color w:val="000000" w:themeColor="text1"/>
          <w:sz w:val="22"/>
          <w:szCs w:val="22"/>
          <w:lang w:val="en-GB"/>
        </w:rPr>
        <w:t xml:space="preserve">(EFF) to ask the Minister of </w:t>
      </w:r>
      <w:r w:rsidRPr="00543C98">
        <w:rPr>
          <w:rFonts w:ascii="Arial" w:hAnsi="Arial" w:cs="Arial"/>
          <w:b/>
          <w:bCs/>
          <w:color w:val="000000" w:themeColor="text1"/>
          <w:sz w:val="22"/>
          <w:szCs w:val="22"/>
          <w:lang w:val="en-US"/>
        </w:rPr>
        <w:t>Water and Sanitation</w:t>
      </w:r>
      <w:r w:rsidR="00740D6E" w:rsidRPr="00543C98">
        <w:rPr>
          <w:rFonts w:ascii="Arial" w:hAnsi="Arial" w:cs="Arial"/>
          <w:b/>
          <w:bCs/>
          <w:color w:val="000000" w:themeColor="text1"/>
          <w:sz w:val="22"/>
          <w:szCs w:val="22"/>
          <w:lang w:val="en-US"/>
        </w:rPr>
        <w:fldChar w:fldCharType="begin"/>
      </w:r>
      <w:r w:rsidRPr="00543C98">
        <w:rPr>
          <w:rFonts w:ascii="Arial" w:hAnsi="Arial" w:cs="Arial"/>
          <w:sz w:val="22"/>
          <w:szCs w:val="22"/>
        </w:rPr>
        <w:instrText xml:space="preserve"> XE "</w:instrText>
      </w:r>
      <w:r w:rsidRPr="00543C98">
        <w:rPr>
          <w:rFonts w:ascii="Arial" w:hAnsi="Arial" w:cs="Arial"/>
          <w:b/>
          <w:sz w:val="22"/>
          <w:szCs w:val="22"/>
        </w:rPr>
        <w:instrText>Minister</w:instrText>
      </w:r>
      <w:r w:rsidRPr="00543C98">
        <w:rPr>
          <w:rFonts w:ascii="Arial" w:hAnsi="Arial" w:cs="Arial"/>
          <w:b/>
          <w:bCs/>
          <w:sz w:val="22"/>
          <w:szCs w:val="22"/>
        </w:rPr>
        <w:instrText xml:space="preserve"> of </w:instrText>
      </w:r>
      <w:r w:rsidRPr="00543C98">
        <w:rPr>
          <w:rFonts w:ascii="Arial" w:hAnsi="Arial" w:cs="Arial"/>
          <w:b/>
          <w:sz w:val="22"/>
          <w:szCs w:val="22"/>
        </w:rPr>
        <w:instrText>Water and Sanitation</w:instrText>
      </w:r>
      <w:r w:rsidRPr="00543C98">
        <w:rPr>
          <w:rFonts w:ascii="Arial" w:hAnsi="Arial" w:cs="Arial"/>
          <w:sz w:val="22"/>
          <w:szCs w:val="22"/>
        </w:rPr>
        <w:instrText xml:space="preserve">" </w:instrText>
      </w:r>
      <w:r w:rsidR="00740D6E" w:rsidRPr="00543C98">
        <w:rPr>
          <w:rFonts w:ascii="Arial" w:hAnsi="Arial" w:cs="Arial"/>
          <w:b/>
          <w:bCs/>
          <w:color w:val="000000" w:themeColor="text1"/>
          <w:sz w:val="22"/>
          <w:szCs w:val="22"/>
          <w:lang w:val="en-US"/>
        </w:rPr>
        <w:fldChar w:fldCharType="end"/>
      </w:r>
      <w:r w:rsidRPr="00543C98">
        <w:rPr>
          <w:rFonts w:ascii="Arial" w:hAnsi="Arial" w:cs="Arial"/>
          <w:b/>
          <w:bCs/>
          <w:color w:val="000000" w:themeColor="text1"/>
          <w:sz w:val="22"/>
          <w:szCs w:val="22"/>
          <w:lang w:val="en-US"/>
        </w:rPr>
        <w:t>:</w:t>
      </w:r>
    </w:p>
    <w:p w:rsidR="001A41F1" w:rsidRDefault="00B37349" w:rsidP="00D879BA">
      <w:pPr>
        <w:spacing w:before="100" w:beforeAutospacing="1" w:after="100" w:afterAutospacing="1"/>
        <w:ind w:left="720"/>
        <w:jc w:val="both"/>
        <w:rPr>
          <w:rFonts w:ascii="Arial" w:hAnsi="Arial" w:cs="Arial"/>
          <w:b/>
          <w:bCs/>
          <w:sz w:val="22"/>
          <w:szCs w:val="22"/>
          <w:lang w:val="en-GB"/>
        </w:rPr>
      </w:pPr>
      <w:r w:rsidRPr="00543C98">
        <w:rPr>
          <w:rFonts w:ascii="Arial" w:hAnsi="Arial" w:cs="Arial"/>
          <w:sz w:val="22"/>
          <w:szCs w:val="22"/>
          <w:lang w:val="en-GB"/>
        </w:rPr>
        <w:t>What (a) progress has been made in the realignment of water boards in the Republic, (b) are the key objectives, challenges faced and measures taken to ensure the improved water management, service delivery and growth in the water sector, (c) specific areas and/or regions in the Republic have been most affected by the realignment process and (d) timeline and milestones have been set for the completion?</w:t>
      </w:r>
      <w:r w:rsidRPr="00543C98">
        <w:rPr>
          <w:rFonts w:ascii="Arial" w:hAnsi="Arial" w:cs="Arial"/>
          <w:b/>
          <w:bCs/>
          <w:sz w:val="22"/>
          <w:szCs w:val="22"/>
          <w:lang w:val="en-GB"/>
        </w:rPr>
        <w:tab/>
      </w:r>
      <w:r w:rsidRPr="00543C98">
        <w:rPr>
          <w:rFonts w:ascii="Arial" w:hAnsi="Arial" w:cs="Arial"/>
          <w:b/>
          <w:bCs/>
          <w:sz w:val="22"/>
          <w:szCs w:val="22"/>
          <w:lang w:val="en-GB"/>
        </w:rPr>
        <w:tab/>
      </w:r>
    </w:p>
    <w:p w:rsidR="00B37349" w:rsidRPr="003E5FAE" w:rsidRDefault="00B37349" w:rsidP="003E5FAE">
      <w:pPr>
        <w:spacing w:before="100" w:beforeAutospacing="1" w:after="100" w:afterAutospacing="1"/>
        <w:ind w:left="8640"/>
        <w:jc w:val="both"/>
        <w:rPr>
          <w:rFonts w:ascii="Arial" w:hAnsi="Arial" w:cs="Arial"/>
          <w:bCs/>
          <w:color w:val="000000" w:themeColor="text1"/>
          <w:sz w:val="20"/>
          <w:szCs w:val="20"/>
          <w:lang w:val="en-GB"/>
        </w:rPr>
      </w:pPr>
      <w:r w:rsidRPr="003E5FAE">
        <w:rPr>
          <w:rFonts w:ascii="Arial" w:hAnsi="Arial" w:cs="Arial"/>
          <w:bCs/>
          <w:color w:val="000000" w:themeColor="text1"/>
          <w:sz w:val="20"/>
          <w:szCs w:val="20"/>
          <w:lang w:val="en-GB"/>
        </w:rPr>
        <w:t>NW2753E</w:t>
      </w:r>
    </w:p>
    <w:p w:rsidR="00115128" w:rsidRPr="00543C98" w:rsidRDefault="00404421" w:rsidP="00FE2133">
      <w:pPr>
        <w:tabs>
          <w:tab w:val="left" w:pos="540"/>
          <w:tab w:val="left" w:pos="709"/>
        </w:tabs>
        <w:ind w:left="567" w:hanging="141"/>
        <w:jc w:val="center"/>
        <w:rPr>
          <w:rFonts w:ascii="Arial" w:hAnsi="Arial" w:cs="Arial"/>
          <w:b/>
          <w:sz w:val="22"/>
          <w:szCs w:val="22"/>
        </w:rPr>
      </w:pPr>
      <w:r w:rsidRPr="00543C98">
        <w:rPr>
          <w:rFonts w:ascii="Arial" w:hAnsi="Arial" w:cs="Arial"/>
          <w:bCs/>
          <w:sz w:val="22"/>
          <w:szCs w:val="22"/>
          <w:lang w:val="pt-BR"/>
        </w:rPr>
        <w:t>---00O00---</w:t>
      </w:r>
    </w:p>
    <w:p w:rsidR="00FE2133" w:rsidRPr="009C322F" w:rsidRDefault="00FE2133" w:rsidP="00FE2133">
      <w:pPr>
        <w:pStyle w:val="ListParagraph"/>
        <w:tabs>
          <w:tab w:val="left" w:pos="540"/>
          <w:tab w:val="left" w:pos="709"/>
        </w:tabs>
        <w:jc w:val="both"/>
        <w:rPr>
          <w:rFonts w:ascii="Arial" w:hAnsi="Arial" w:cs="Arial"/>
          <w:bCs/>
          <w:sz w:val="22"/>
          <w:szCs w:val="22"/>
        </w:rPr>
      </w:pPr>
    </w:p>
    <w:p w:rsidR="00FD4788" w:rsidRDefault="00FE2133" w:rsidP="00FE2133">
      <w:pPr>
        <w:tabs>
          <w:tab w:val="left" w:pos="540"/>
          <w:tab w:val="left" w:pos="709"/>
        </w:tabs>
        <w:rPr>
          <w:rFonts w:ascii="Arial" w:hAnsi="Arial" w:cs="Arial"/>
          <w:b/>
          <w:sz w:val="22"/>
          <w:szCs w:val="22"/>
        </w:rPr>
      </w:pPr>
      <w:r>
        <w:rPr>
          <w:rFonts w:ascii="Arial" w:hAnsi="Arial" w:cs="Arial"/>
          <w:b/>
          <w:sz w:val="22"/>
          <w:szCs w:val="22"/>
        </w:rPr>
        <w:tab/>
      </w:r>
      <w:r w:rsidR="003E5EB2">
        <w:rPr>
          <w:rFonts w:ascii="Arial" w:hAnsi="Arial" w:cs="Arial"/>
          <w:b/>
          <w:sz w:val="22"/>
          <w:szCs w:val="22"/>
        </w:rPr>
        <w:tab/>
      </w:r>
    </w:p>
    <w:p w:rsidR="00613EC6" w:rsidRDefault="00613EC6" w:rsidP="00613EC6">
      <w:pPr>
        <w:tabs>
          <w:tab w:val="left" w:pos="540"/>
          <w:tab w:val="left" w:pos="709"/>
        </w:tabs>
        <w:rPr>
          <w:rFonts w:ascii="Arial" w:hAnsi="Arial" w:cs="Arial"/>
          <w:b/>
          <w:sz w:val="22"/>
          <w:szCs w:val="22"/>
        </w:rPr>
      </w:pPr>
      <w:r>
        <w:rPr>
          <w:rFonts w:ascii="Arial" w:hAnsi="Arial" w:cs="Arial"/>
          <w:b/>
          <w:sz w:val="22"/>
          <w:szCs w:val="22"/>
        </w:rPr>
        <w:tab/>
        <w:t xml:space="preserve">MINISTER OF WATER AND SANITATION </w:t>
      </w:r>
    </w:p>
    <w:p w:rsidR="00613EC6" w:rsidRDefault="00613EC6" w:rsidP="00613EC6">
      <w:pPr>
        <w:tabs>
          <w:tab w:val="left" w:pos="540"/>
          <w:tab w:val="left" w:pos="709"/>
        </w:tabs>
        <w:rPr>
          <w:rFonts w:ascii="Arial" w:hAnsi="Arial" w:cs="Arial"/>
          <w:b/>
          <w:sz w:val="22"/>
          <w:szCs w:val="22"/>
        </w:rPr>
      </w:pPr>
    </w:p>
    <w:p w:rsidR="00613EC6" w:rsidRPr="005E1959" w:rsidRDefault="00613EC6" w:rsidP="00992AAB">
      <w:pPr>
        <w:pStyle w:val="ListParagraph"/>
        <w:numPr>
          <w:ilvl w:val="0"/>
          <w:numId w:val="34"/>
        </w:numPr>
        <w:tabs>
          <w:tab w:val="left" w:pos="540"/>
          <w:tab w:val="left" w:pos="709"/>
        </w:tabs>
        <w:jc w:val="both"/>
        <w:rPr>
          <w:rFonts w:ascii="Arial" w:hAnsi="Arial" w:cs="Arial"/>
          <w:bCs/>
          <w:sz w:val="22"/>
          <w:szCs w:val="22"/>
        </w:rPr>
      </w:pPr>
      <w:r w:rsidRPr="005E1959">
        <w:rPr>
          <w:rFonts w:ascii="Arial" w:hAnsi="Arial" w:cs="Arial"/>
          <w:bCs/>
          <w:sz w:val="22"/>
          <w:szCs w:val="22"/>
        </w:rPr>
        <w:t xml:space="preserve">Progress made </w:t>
      </w:r>
      <w:r>
        <w:rPr>
          <w:rFonts w:ascii="Arial" w:hAnsi="Arial" w:cs="Arial"/>
          <w:bCs/>
          <w:sz w:val="22"/>
          <w:szCs w:val="22"/>
        </w:rPr>
        <w:t xml:space="preserve">towards the </w:t>
      </w:r>
      <w:r w:rsidRPr="00543C98">
        <w:rPr>
          <w:rFonts w:ascii="Arial" w:hAnsi="Arial" w:cs="Arial"/>
          <w:sz w:val="22"/>
          <w:szCs w:val="22"/>
          <w:lang w:val="en-GB"/>
        </w:rPr>
        <w:t>realignment of water boards</w:t>
      </w:r>
      <w:r>
        <w:rPr>
          <w:rFonts w:ascii="Arial" w:hAnsi="Arial" w:cs="Arial"/>
          <w:sz w:val="22"/>
          <w:szCs w:val="22"/>
          <w:lang w:val="en-GB"/>
        </w:rPr>
        <w:t xml:space="preserve"> is indicated in </w:t>
      </w:r>
      <w:r w:rsidRPr="005E1959">
        <w:rPr>
          <w:rFonts w:ascii="Arial" w:hAnsi="Arial" w:cs="Arial"/>
          <w:b/>
          <w:bCs/>
          <w:sz w:val="22"/>
          <w:szCs w:val="22"/>
          <w:lang w:val="en-GB"/>
        </w:rPr>
        <w:t>Annexure A</w:t>
      </w:r>
      <w:r>
        <w:rPr>
          <w:rFonts w:ascii="Arial" w:hAnsi="Arial" w:cs="Arial"/>
          <w:sz w:val="22"/>
          <w:szCs w:val="22"/>
          <w:lang w:val="en-GB"/>
        </w:rPr>
        <w:t xml:space="preserve"> below.</w:t>
      </w:r>
    </w:p>
    <w:p w:rsidR="00613EC6" w:rsidRPr="005E1959" w:rsidRDefault="00613EC6" w:rsidP="00992AAB">
      <w:pPr>
        <w:pStyle w:val="ListParagraph"/>
        <w:tabs>
          <w:tab w:val="left" w:pos="540"/>
          <w:tab w:val="left" w:pos="709"/>
        </w:tabs>
        <w:ind w:left="900" w:hanging="360"/>
        <w:rPr>
          <w:rFonts w:ascii="Arial" w:hAnsi="Arial" w:cs="Arial"/>
          <w:bCs/>
          <w:sz w:val="22"/>
          <w:szCs w:val="22"/>
        </w:rPr>
      </w:pPr>
    </w:p>
    <w:p w:rsidR="00962677" w:rsidRPr="00962677" w:rsidRDefault="00962677" w:rsidP="009C205F">
      <w:pPr>
        <w:pStyle w:val="ListParagraph"/>
        <w:numPr>
          <w:ilvl w:val="0"/>
          <w:numId w:val="34"/>
        </w:numPr>
        <w:tabs>
          <w:tab w:val="left" w:pos="540"/>
          <w:tab w:val="left" w:pos="709"/>
        </w:tabs>
        <w:jc w:val="both"/>
        <w:rPr>
          <w:rFonts w:ascii="Arial" w:hAnsi="Arial" w:cs="Arial"/>
          <w:sz w:val="22"/>
          <w:szCs w:val="22"/>
        </w:rPr>
      </w:pPr>
      <w:r w:rsidRPr="00962677">
        <w:rPr>
          <w:rFonts w:ascii="Arial" w:hAnsi="Arial" w:cs="Arial"/>
          <w:sz w:val="22"/>
          <w:szCs w:val="22"/>
        </w:rPr>
        <w:t>The reconfiguration of the Water Boards was intended to improve financial sustainability, extend services to areas that are not currently serviced and address institutional confusion caused by having multiple Water Boards serving the same area.</w:t>
      </w:r>
    </w:p>
    <w:p w:rsidR="00962677" w:rsidRPr="00962677" w:rsidRDefault="00962677" w:rsidP="00962677">
      <w:pPr>
        <w:pStyle w:val="NoSpacing"/>
        <w:tabs>
          <w:tab w:val="left" w:pos="1134"/>
        </w:tabs>
        <w:jc w:val="both"/>
        <w:rPr>
          <w:rFonts w:ascii="Arial" w:hAnsi="Arial" w:cs="Arial"/>
          <w:sz w:val="22"/>
          <w:szCs w:val="22"/>
        </w:rPr>
      </w:pPr>
    </w:p>
    <w:p w:rsidR="00962677" w:rsidRPr="00962677" w:rsidRDefault="00962677" w:rsidP="00962677">
      <w:pPr>
        <w:pStyle w:val="NoSpacing"/>
        <w:tabs>
          <w:tab w:val="left" w:pos="567"/>
          <w:tab w:val="left" w:pos="709"/>
          <w:tab w:val="left" w:pos="851"/>
        </w:tabs>
        <w:jc w:val="both"/>
        <w:rPr>
          <w:rFonts w:ascii="Arial" w:hAnsi="Arial" w:cs="Arial"/>
          <w:sz w:val="22"/>
          <w:szCs w:val="22"/>
        </w:rPr>
      </w:pPr>
      <w:r w:rsidRPr="00962677">
        <w:rPr>
          <w:rFonts w:ascii="Arial" w:hAnsi="Arial" w:cs="Arial"/>
          <w:sz w:val="22"/>
          <w:szCs w:val="22"/>
        </w:rPr>
        <w:tab/>
      </w:r>
      <w:r>
        <w:rPr>
          <w:rFonts w:ascii="Arial" w:hAnsi="Arial" w:cs="Arial"/>
          <w:sz w:val="22"/>
          <w:szCs w:val="22"/>
        </w:rPr>
        <w:tab/>
        <w:t xml:space="preserve">   </w:t>
      </w:r>
      <w:r w:rsidRPr="00962677">
        <w:rPr>
          <w:rFonts w:ascii="Arial" w:hAnsi="Arial" w:cs="Arial"/>
          <w:sz w:val="22"/>
          <w:szCs w:val="22"/>
        </w:rPr>
        <w:t xml:space="preserve">The Minister initiated the reconfiguration of Water Boards to:  </w:t>
      </w:r>
    </w:p>
    <w:p w:rsidR="00962677" w:rsidRPr="00962677" w:rsidRDefault="00962677" w:rsidP="00962677">
      <w:pPr>
        <w:pStyle w:val="NoSpacing"/>
        <w:numPr>
          <w:ilvl w:val="0"/>
          <w:numId w:val="35"/>
        </w:numPr>
        <w:tabs>
          <w:tab w:val="left" w:pos="1560"/>
        </w:tabs>
        <w:ind w:left="1276" w:hanging="284"/>
        <w:jc w:val="both"/>
        <w:rPr>
          <w:rFonts w:ascii="Arial" w:hAnsi="Arial" w:cs="Arial"/>
          <w:sz w:val="22"/>
          <w:szCs w:val="22"/>
        </w:rPr>
      </w:pPr>
      <w:r w:rsidRPr="00962677">
        <w:rPr>
          <w:rFonts w:ascii="Arial" w:hAnsi="Arial" w:cs="Arial"/>
          <w:sz w:val="22"/>
          <w:szCs w:val="22"/>
        </w:rPr>
        <w:t>Strengthen the capacity and capability of the entities in Provinces (leveraging on existing technical skills)</w:t>
      </w:r>
    </w:p>
    <w:p w:rsidR="00962677" w:rsidRPr="00962677" w:rsidRDefault="00962677" w:rsidP="00962677">
      <w:pPr>
        <w:pStyle w:val="NoSpacing"/>
        <w:numPr>
          <w:ilvl w:val="0"/>
          <w:numId w:val="35"/>
        </w:numPr>
        <w:tabs>
          <w:tab w:val="left" w:pos="1560"/>
        </w:tabs>
        <w:ind w:left="1276" w:hanging="284"/>
        <w:jc w:val="both"/>
        <w:rPr>
          <w:rFonts w:ascii="Arial" w:hAnsi="Arial" w:cs="Arial"/>
          <w:sz w:val="22"/>
          <w:szCs w:val="22"/>
        </w:rPr>
      </w:pPr>
      <w:r w:rsidRPr="00962677">
        <w:rPr>
          <w:rFonts w:ascii="Arial" w:hAnsi="Arial" w:cs="Arial"/>
          <w:sz w:val="22"/>
          <w:szCs w:val="22"/>
        </w:rPr>
        <w:t xml:space="preserve">Improve and enhance institutional efficiencies and rationalise the number of institutions in the water sector to ensure economies of scale, </w:t>
      </w:r>
    </w:p>
    <w:p w:rsidR="00962677" w:rsidRPr="00962677" w:rsidRDefault="00962677" w:rsidP="00962677">
      <w:pPr>
        <w:pStyle w:val="NoSpacing"/>
        <w:numPr>
          <w:ilvl w:val="0"/>
          <w:numId w:val="35"/>
        </w:numPr>
        <w:tabs>
          <w:tab w:val="left" w:pos="1560"/>
        </w:tabs>
        <w:ind w:left="1276" w:hanging="284"/>
        <w:jc w:val="both"/>
        <w:rPr>
          <w:rFonts w:ascii="Arial" w:hAnsi="Arial" w:cs="Arial"/>
          <w:sz w:val="22"/>
          <w:szCs w:val="22"/>
        </w:rPr>
      </w:pPr>
      <w:r w:rsidRPr="00962677">
        <w:rPr>
          <w:rFonts w:ascii="Arial" w:hAnsi="Arial" w:cs="Arial"/>
          <w:sz w:val="22"/>
          <w:szCs w:val="22"/>
        </w:rPr>
        <w:t>Maintain financial viability and enhance the ability to raise capital from the market for infrastructure projects.</w:t>
      </w:r>
    </w:p>
    <w:p w:rsidR="00962677" w:rsidRPr="00962677" w:rsidRDefault="00962677" w:rsidP="00962677">
      <w:pPr>
        <w:pStyle w:val="NoSpacing"/>
        <w:numPr>
          <w:ilvl w:val="0"/>
          <w:numId w:val="35"/>
        </w:numPr>
        <w:tabs>
          <w:tab w:val="left" w:pos="1560"/>
        </w:tabs>
        <w:ind w:left="1276" w:hanging="284"/>
        <w:jc w:val="both"/>
        <w:rPr>
          <w:rFonts w:ascii="Arial" w:hAnsi="Arial" w:cs="Arial"/>
          <w:sz w:val="22"/>
          <w:szCs w:val="22"/>
        </w:rPr>
      </w:pPr>
      <w:r w:rsidRPr="00962677">
        <w:rPr>
          <w:rFonts w:ascii="Arial" w:hAnsi="Arial" w:cs="Arial"/>
          <w:sz w:val="22"/>
          <w:szCs w:val="22"/>
        </w:rPr>
        <w:lastRenderedPageBreak/>
        <w:t>The Department has reviewed the Water Boards in terms of financial sustainability, servicing areas that are not currently serviced and institutional confusion caused by having multiple Water Boards serving the same area.</w:t>
      </w:r>
    </w:p>
    <w:p w:rsidR="00962677" w:rsidRPr="0085199A" w:rsidRDefault="00962677" w:rsidP="00962677">
      <w:pPr>
        <w:pStyle w:val="NoSpacing"/>
        <w:tabs>
          <w:tab w:val="left" w:pos="1134"/>
        </w:tabs>
        <w:jc w:val="both"/>
        <w:rPr>
          <w:rFonts w:ascii="Arial" w:hAnsi="Arial" w:cs="Arial"/>
        </w:rPr>
      </w:pPr>
    </w:p>
    <w:p w:rsidR="00962677" w:rsidRPr="00962677" w:rsidRDefault="00962677" w:rsidP="00962677">
      <w:pPr>
        <w:pStyle w:val="NoSpacing"/>
        <w:tabs>
          <w:tab w:val="left" w:pos="851"/>
        </w:tabs>
        <w:jc w:val="both"/>
        <w:rPr>
          <w:rFonts w:ascii="Arial" w:hAnsi="Arial" w:cs="Arial"/>
          <w:sz w:val="22"/>
          <w:szCs w:val="22"/>
        </w:rPr>
      </w:pPr>
      <w:r>
        <w:rPr>
          <w:rFonts w:ascii="Arial" w:hAnsi="Arial" w:cs="Arial"/>
          <w:sz w:val="22"/>
          <w:szCs w:val="22"/>
        </w:rPr>
        <w:tab/>
      </w:r>
      <w:r w:rsidRPr="00962677">
        <w:rPr>
          <w:rFonts w:ascii="Arial" w:hAnsi="Arial" w:cs="Arial"/>
          <w:sz w:val="22"/>
          <w:szCs w:val="22"/>
        </w:rPr>
        <w:t xml:space="preserve">The Minister initiated the reconfiguration of Water Boards to:  </w:t>
      </w:r>
    </w:p>
    <w:p w:rsidR="00962677" w:rsidRPr="00962677" w:rsidRDefault="00962677" w:rsidP="00962677">
      <w:pPr>
        <w:pStyle w:val="NoSpacing"/>
        <w:numPr>
          <w:ilvl w:val="0"/>
          <w:numId w:val="38"/>
        </w:numPr>
        <w:tabs>
          <w:tab w:val="left" w:pos="1276"/>
        </w:tabs>
        <w:ind w:left="1276"/>
        <w:jc w:val="both"/>
        <w:rPr>
          <w:rFonts w:ascii="Arial" w:hAnsi="Arial" w:cs="Arial"/>
          <w:sz w:val="22"/>
          <w:szCs w:val="22"/>
        </w:rPr>
      </w:pPr>
      <w:r w:rsidRPr="00962677">
        <w:rPr>
          <w:rFonts w:ascii="Arial" w:hAnsi="Arial" w:cs="Arial"/>
          <w:sz w:val="22"/>
          <w:szCs w:val="22"/>
        </w:rPr>
        <w:t>Strengthen the capacity and capability of the entities in Provinces (leveraging on existing technical skills)</w:t>
      </w:r>
    </w:p>
    <w:p w:rsidR="00962677" w:rsidRPr="00962677" w:rsidRDefault="00962677" w:rsidP="00962677">
      <w:pPr>
        <w:pStyle w:val="NoSpacing"/>
        <w:numPr>
          <w:ilvl w:val="0"/>
          <w:numId w:val="38"/>
        </w:numPr>
        <w:tabs>
          <w:tab w:val="left" w:pos="1276"/>
        </w:tabs>
        <w:ind w:left="1276"/>
        <w:jc w:val="both"/>
        <w:rPr>
          <w:rFonts w:ascii="Arial" w:hAnsi="Arial" w:cs="Arial"/>
          <w:sz w:val="22"/>
          <w:szCs w:val="22"/>
        </w:rPr>
      </w:pPr>
      <w:r w:rsidRPr="00962677">
        <w:rPr>
          <w:rFonts w:ascii="Arial" w:hAnsi="Arial" w:cs="Arial"/>
          <w:sz w:val="22"/>
          <w:szCs w:val="22"/>
        </w:rPr>
        <w:t xml:space="preserve">Improve and enhance institutional efficiencies and rationalise the number of institutions in the water sector to ensure economies of scale, </w:t>
      </w:r>
    </w:p>
    <w:p w:rsidR="00962677" w:rsidRPr="00962677" w:rsidRDefault="00962677" w:rsidP="00962677">
      <w:pPr>
        <w:pStyle w:val="NoSpacing"/>
        <w:numPr>
          <w:ilvl w:val="0"/>
          <w:numId w:val="38"/>
        </w:numPr>
        <w:tabs>
          <w:tab w:val="left" w:pos="1276"/>
        </w:tabs>
        <w:ind w:left="1276"/>
        <w:jc w:val="both"/>
        <w:rPr>
          <w:rFonts w:ascii="Arial" w:hAnsi="Arial" w:cs="Arial"/>
          <w:sz w:val="22"/>
          <w:szCs w:val="22"/>
        </w:rPr>
      </w:pPr>
      <w:r w:rsidRPr="00962677">
        <w:rPr>
          <w:rFonts w:ascii="Arial" w:hAnsi="Arial" w:cs="Arial"/>
          <w:sz w:val="22"/>
          <w:szCs w:val="22"/>
        </w:rPr>
        <w:t>Maintain financial viability and enhance the ability to raise capital from the market for infrastructure projects.</w:t>
      </w:r>
    </w:p>
    <w:p w:rsidR="00613EC6" w:rsidRPr="00962677" w:rsidRDefault="00613EC6" w:rsidP="00962677">
      <w:pPr>
        <w:pStyle w:val="NoSpacing"/>
        <w:tabs>
          <w:tab w:val="left" w:pos="1276"/>
        </w:tabs>
        <w:ind w:left="1276" w:hanging="178"/>
        <w:jc w:val="both"/>
        <w:rPr>
          <w:rFonts w:ascii="Arial" w:hAnsi="Arial" w:cs="Arial"/>
          <w:sz w:val="22"/>
          <w:szCs w:val="22"/>
        </w:rPr>
      </w:pPr>
    </w:p>
    <w:p w:rsidR="009C205F" w:rsidRPr="00992AAB" w:rsidRDefault="009C205F" w:rsidP="00992AAB">
      <w:pPr>
        <w:pStyle w:val="ListParagraph"/>
        <w:numPr>
          <w:ilvl w:val="0"/>
          <w:numId w:val="34"/>
        </w:numPr>
        <w:tabs>
          <w:tab w:val="left" w:pos="540"/>
          <w:tab w:val="left" w:pos="709"/>
        </w:tabs>
        <w:jc w:val="both"/>
        <w:rPr>
          <w:rFonts w:ascii="Arial" w:hAnsi="Arial" w:cs="Arial"/>
          <w:b/>
          <w:bCs/>
          <w:sz w:val="22"/>
          <w:szCs w:val="22"/>
          <w:lang w:val="en-GB"/>
        </w:rPr>
      </w:pPr>
      <w:r>
        <w:rPr>
          <w:rFonts w:ascii="Arial" w:hAnsi="Arial" w:cs="Arial"/>
          <w:sz w:val="22"/>
          <w:szCs w:val="22"/>
        </w:rPr>
        <w:t xml:space="preserve">The provinces </w:t>
      </w:r>
      <w:r w:rsidRPr="00543C98">
        <w:rPr>
          <w:rFonts w:ascii="Arial" w:hAnsi="Arial" w:cs="Arial"/>
          <w:sz w:val="22"/>
          <w:szCs w:val="22"/>
          <w:lang w:val="en-GB"/>
        </w:rPr>
        <w:t xml:space="preserve">in the Republic have been most affected by the realignment process </w:t>
      </w:r>
      <w:r>
        <w:rPr>
          <w:rFonts w:ascii="Arial" w:hAnsi="Arial" w:cs="Arial"/>
          <w:sz w:val="22"/>
          <w:szCs w:val="22"/>
          <w:lang w:val="en-GB"/>
        </w:rPr>
        <w:t xml:space="preserve">are indicated in </w:t>
      </w:r>
      <w:r w:rsidRPr="00992AAB">
        <w:rPr>
          <w:rFonts w:ascii="Arial" w:hAnsi="Arial" w:cs="Arial"/>
          <w:b/>
          <w:bCs/>
          <w:sz w:val="22"/>
          <w:szCs w:val="22"/>
          <w:lang w:val="en-GB"/>
        </w:rPr>
        <w:t>Annexure A</w:t>
      </w:r>
      <w:r>
        <w:rPr>
          <w:rFonts w:ascii="Arial" w:hAnsi="Arial" w:cs="Arial"/>
          <w:sz w:val="22"/>
          <w:szCs w:val="22"/>
          <w:lang w:val="en-GB"/>
        </w:rPr>
        <w:t>.</w:t>
      </w:r>
    </w:p>
    <w:p w:rsidR="009C205F" w:rsidRPr="00992AAB" w:rsidRDefault="009C205F" w:rsidP="00992AAB">
      <w:pPr>
        <w:pStyle w:val="ListParagraph"/>
        <w:tabs>
          <w:tab w:val="left" w:pos="993"/>
        </w:tabs>
        <w:ind w:left="900"/>
        <w:jc w:val="both"/>
        <w:rPr>
          <w:rFonts w:ascii="Arial" w:hAnsi="Arial" w:cs="Arial"/>
          <w:b/>
          <w:bCs/>
          <w:sz w:val="22"/>
          <w:szCs w:val="22"/>
          <w:lang w:val="en-GB"/>
        </w:rPr>
      </w:pPr>
    </w:p>
    <w:p w:rsidR="009C205F" w:rsidRDefault="009C205F" w:rsidP="00992AAB">
      <w:pPr>
        <w:pStyle w:val="ListParagraph"/>
        <w:numPr>
          <w:ilvl w:val="0"/>
          <w:numId w:val="34"/>
        </w:numPr>
        <w:tabs>
          <w:tab w:val="left" w:pos="540"/>
          <w:tab w:val="left" w:pos="709"/>
        </w:tabs>
        <w:jc w:val="both"/>
        <w:rPr>
          <w:rFonts w:ascii="Arial" w:hAnsi="Arial" w:cs="Arial"/>
          <w:b/>
          <w:bCs/>
          <w:sz w:val="22"/>
          <w:szCs w:val="22"/>
          <w:lang w:val="en-GB"/>
        </w:rPr>
      </w:pPr>
      <w:r w:rsidRPr="00992AAB">
        <w:rPr>
          <w:rFonts w:ascii="Arial" w:hAnsi="Arial" w:cs="Arial"/>
          <w:sz w:val="22"/>
          <w:szCs w:val="22"/>
        </w:rPr>
        <w:t>Timelines</w:t>
      </w:r>
      <w:r w:rsidRPr="00543C98">
        <w:rPr>
          <w:rFonts w:ascii="Arial" w:hAnsi="Arial" w:cs="Arial"/>
          <w:sz w:val="22"/>
          <w:szCs w:val="22"/>
          <w:lang w:val="en-GB"/>
        </w:rPr>
        <w:t xml:space="preserve"> </w:t>
      </w:r>
      <w:r>
        <w:rPr>
          <w:rFonts w:ascii="Arial" w:hAnsi="Arial" w:cs="Arial"/>
          <w:sz w:val="22"/>
          <w:szCs w:val="22"/>
          <w:lang w:val="en-GB"/>
        </w:rPr>
        <w:t xml:space="preserve">that </w:t>
      </w:r>
      <w:r w:rsidRPr="00543C98">
        <w:rPr>
          <w:rFonts w:ascii="Arial" w:hAnsi="Arial" w:cs="Arial"/>
          <w:sz w:val="22"/>
          <w:szCs w:val="22"/>
          <w:lang w:val="en-GB"/>
        </w:rPr>
        <w:t>have been set for the completion</w:t>
      </w:r>
      <w:r>
        <w:rPr>
          <w:rFonts w:ascii="Arial" w:hAnsi="Arial" w:cs="Arial"/>
          <w:sz w:val="22"/>
          <w:szCs w:val="22"/>
          <w:lang w:val="en-GB"/>
        </w:rPr>
        <w:t xml:space="preserve"> of the reconfiguration processes are indicated in </w:t>
      </w:r>
      <w:r w:rsidRPr="00992AAB">
        <w:rPr>
          <w:rFonts w:ascii="Arial" w:hAnsi="Arial" w:cs="Arial"/>
          <w:b/>
          <w:bCs/>
          <w:sz w:val="22"/>
          <w:szCs w:val="22"/>
          <w:lang w:val="en-GB"/>
        </w:rPr>
        <w:t>Annexure A</w:t>
      </w:r>
      <w:r w:rsidR="001F7B1E">
        <w:rPr>
          <w:rFonts w:ascii="Arial" w:hAnsi="Arial" w:cs="Arial"/>
          <w:sz w:val="22"/>
          <w:szCs w:val="22"/>
          <w:lang w:val="en-GB"/>
        </w:rPr>
        <w:t>.</w:t>
      </w:r>
      <w:r w:rsidRPr="00543C98">
        <w:rPr>
          <w:rFonts w:ascii="Arial" w:hAnsi="Arial" w:cs="Arial"/>
          <w:b/>
          <w:bCs/>
          <w:sz w:val="22"/>
          <w:szCs w:val="22"/>
          <w:lang w:val="en-GB"/>
        </w:rPr>
        <w:tab/>
      </w:r>
    </w:p>
    <w:p w:rsidR="009C205F" w:rsidRPr="00992AAB" w:rsidRDefault="009C205F" w:rsidP="005E1959">
      <w:pPr>
        <w:tabs>
          <w:tab w:val="left" w:pos="540"/>
          <w:tab w:val="left" w:pos="709"/>
        </w:tabs>
        <w:jc w:val="both"/>
        <w:rPr>
          <w:rFonts w:ascii="Arial" w:hAnsi="Arial" w:cs="Arial"/>
          <w:bCs/>
          <w:sz w:val="22"/>
          <w:szCs w:val="22"/>
          <w:lang w:val="en-GB"/>
        </w:rPr>
      </w:pPr>
    </w:p>
    <w:p w:rsidR="009C205F" w:rsidRDefault="009C205F" w:rsidP="005E1959">
      <w:pPr>
        <w:tabs>
          <w:tab w:val="left" w:pos="540"/>
          <w:tab w:val="left" w:pos="709"/>
        </w:tabs>
        <w:jc w:val="both"/>
        <w:rPr>
          <w:rFonts w:ascii="Arial" w:hAnsi="Arial" w:cs="Arial"/>
          <w:bCs/>
          <w:sz w:val="22"/>
          <w:szCs w:val="22"/>
        </w:rPr>
      </w:pPr>
    </w:p>
    <w:p w:rsidR="009C205F" w:rsidRDefault="009C205F" w:rsidP="00992AAB">
      <w:pPr>
        <w:tabs>
          <w:tab w:val="left" w:pos="540"/>
          <w:tab w:val="left" w:pos="1080"/>
        </w:tabs>
        <w:ind w:right="120"/>
        <w:jc w:val="center"/>
        <w:rPr>
          <w:rFonts w:ascii="Arial" w:hAnsi="Arial" w:cs="Arial"/>
          <w:bCs/>
          <w:sz w:val="22"/>
          <w:szCs w:val="22"/>
          <w:lang w:val="pt-BR"/>
        </w:rPr>
      </w:pPr>
      <w:r w:rsidRPr="00990959">
        <w:rPr>
          <w:rFonts w:ascii="Arial" w:hAnsi="Arial" w:cs="Arial"/>
          <w:bCs/>
          <w:sz w:val="22"/>
          <w:szCs w:val="22"/>
          <w:lang w:val="pt-BR"/>
        </w:rPr>
        <w:t>---00O00---</w:t>
      </w:r>
    </w:p>
    <w:p w:rsidR="009C205F" w:rsidRPr="00CD3258" w:rsidRDefault="009C205F" w:rsidP="009C205F">
      <w:pPr>
        <w:tabs>
          <w:tab w:val="left" w:pos="540"/>
          <w:tab w:val="left" w:pos="709"/>
        </w:tabs>
        <w:ind w:right="120"/>
        <w:rPr>
          <w:rFonts w:ascii="Arial" w:hAnsi="Arial" w:cs="Arial"/>
          <w:b/>
          <w:bCs/>
          <w:sz w:val="22"/>
          <w:szCs w:val="22"/>
          <w:lang w:val="pt-BR"/>
        </w:rPr>
      </w:pPr>
    </w:p>
    <w:p w:rsidR="009C205F" w:rsidRDefault="009C205F" w:rsidP="009C205F">
      <w:pPr>
        <w:ind w:left="709"/>
        <w:jc w:val="both"/>
        <w:rPr>
          <w:rFonts w:ascii="Arial" w:hAnsi="Arial" w:cs="Arial"/>
          <w:sz w:val="22"/>
          <w:szCs w:val="22"/>
        </w:rPr>
      </w:pPr>
    </w:p>
    <w:p w:rsidR="00FD4788" w:rsidRDefault="00FD4788" w:rsidP="00FE2133">
      <w:pPr>
        <w:tabs>
          <w:tab w:val="left" w:pos="540"/>
          <w:tab w:val="left" w:pos="709"/>
        </w:tabs>
        <w:rPr>
          <w:rFonts w:ascii="Arial" w:hAnsi="Arial" w:cs="Arial"/>
          <w:b/>
          <w:sz w:val="22"/>
          <w:szCs w:val="22"/>
        </w:rPr>
        <w:sectPr w:rsidR="00FD4788" w:rsidSect="00B31C62">
          <w:footerReference w:type="default" r:id="rId8"/>
          <w:pgSz w:w="12240" w:h="15840"/>
          <w:pgMar w:top="1134" w:right="1041" w:bottom="1440" w:left="1440" w:header="720" w:footer="720" w:gutter="0"/>
          <w:cols w:space="720"/>
          <w:docGrid w:linePitch="360"/>
        </w:sectPr>
      </w:pPr>
    </w:p>
    <w:p w:rsidR="00FD4788" w:rsidRDefault="00066195" w:rsidP="00FE2133">
      <w:pPr>
        <w:tabs>
          <w:tab w:val="left" w:pos="540"/>
          <w:tab w:val="left" w:pos="709"/>
        </w:tabs>
        <w:rPr>
          <w:rFonts w:ascii="Arial" w:hAnsi="Arial" w:cs="Arial"/>
          <w:b/>
          <w:sz w:val="22"/>
          <w:szCs w:val="22"/>
        </w:rPr>
      </w:pPr>
      <w:r>
        <w:rPr>
          <w:rFonts w:ascii="Arial" w:hAnsi="Arial" w:cs="Arial"/>
          <w:b/>
          <w:sz w:val="22"/>
          <w:szCs w:val="22"/>
        </w:rPr>
        <w:t>ANNEXURE A</w:t>
      </w:r>
    </w:p>
    <w:p w:rsidR="00FD743F" w:rsidRDefault="00FD743F" w:rsidP="00B31C62">
      <w:pPr>
        <w:pStyle w:val="NoSpacing"/>
        <w:tabs>
          <w:tab w:val="left" w:pos="1134"/>
        </w:tabs>
        <w:jc w:val="both"/>
        <w:rPr>
          <w:rFonts w:ascii="Arial" w:hAnsi="Arial" w:cs="Arial"/>
          <w:sz w:val="22"/>
          <w:szCs w:val="22"/>
        </w:rPr>
      </w:pPr>
    </w:p>
    <w:tbl>
      <w:tblPr>
        <w:tblStyle w:val="TableGrid"/>
        <w:tblW w:w="13041" w:type="dxa"/>
        <w:tblInd w:w="-5" w:type="dxa"/>
        <w:tblLook w:val="04A0"/>
      </w:tblPr>
      <w:tblGrid>
        <w:gridCol w:w="8364"/>
        <w:gridCol w:w="2693"/>
        <w:gridCol w:w="1984"/>
      </w:tblGrid>
      <w:tr w:rsidR="00066195" w:rsidRPr="0085199A" w:rsidTr="00066195">
        <w:trPr>
          <w:tblHeader/>
        </w:trPr>
        <w:tc>
          <w:tcPr>
            <w:tcW w:w="8364" w:type="dxa"/>
            <w:shd w:val="clear" w:color="auto" w:fill="EAF1DD" w:themeFill="accent3" w:themeFillTint="33"/>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 xml:space="preserve">(a) Progress </w:t>
            </w:r>
            <w:r>
              <w:rPr>
                <w:rFonts w:ascii="Arial" w:hAnsi="Arial" w:cs="Arial"/>
                <w:b/>
                <w:bCs/>
              </w:rPr>
              <w:t xml:space="preserve"> </w:t>
            </w:r>
            <w:r w:rsidRPr="0085199A">
              <w:rPr>
                <w:rFonts w:ascii="Arial" w:hAnsi="Arial" w:cs="Arial"/>
                <w:b/>
                <w:bCs/>
              </w:rPr>
              <w:t>made with realignment of Water Boards</w:t>
            </w:r>
          </w:p>
        </w:tc>
        <w:tc>
          <w:tcPr>
            <w:tcW w:w="2693" w:type="dxa"/>
            <w:shd w:val="clear" w:color="auto" w:fill="EAF1DD" w:themeFill="accent3" w:themeFillTint="33"/>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 xml:space="preserve">(c) Affected areas and/or regions </w:t>
            </w:r>
          </w:p>
        </w:tc>
        <w:tc>
          <w:tcPr>
            <w:tcW w:w="1984" w:type="dxa"/>
            <w:shd w:val="clear" w:color="auto" w:fill="EAF1DD" w:themeFill="accent3" w:themeFillTint="33"/>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(d) Timeline and milestones</w:t>
            </w:r>
          </w:p>
        </w:tc>
      </w:tr>
      <w:tr w:rsidR="009C4EEA" w:rsidRPr="0085199A" w:rsidTr="00066195">
        <w:tc>
          <w:tcPr>
            <w:tcW w:w="8364" w:type="dxa"/>
            <w:shd w:val="clear" w:color="auto" w:fill="auto"/>
          </w:tcPr>
          <w:p w:rsidR="009C4EEA" w:rsidRPr="0085199A" w:rsidRDefault="009C4EEA" w:rsidP="00CF2454">
            <w:pPr>
              <w:pStyle w:val="NoSpacing"/>
              <w:tabs>
                <w:tab w:val="left" w:pos="1134"/>
              </w:tabs>
              <w:jc w:val="both"/>
              <w:rPr>
                <w:rFonts w:ascii="Arial" w:hAnsi="Arial" w:cs="Arial"/>
                <w:b/>
                <w:bCs/>
              </w:rPr>
            </w:pPr>
            <w:bookmarkStart w:id="0" w:name="_Hlk139361047"/>
            <w:r w:rsidRPr="0085199A">
              <w:rPr>
                <w:rFonts w:ascii="Arial" w:hAnsi="Arial" w:cs="Arial"/>
                <w:b/>
                <w:bCs/>
              </w:rPr>
              <w:t>Disestablishment of Sedibeng Water</w:t>
            </w:r>
          </w:p>
        </w:tc>
        <w:tc>
          <w:tcPr>
            <w:tcW w:w="2693" w:type="dxa"/>
            <w:vMerge w:val="restart"/>
            <w:shd w:val="clear" w:color="auto" w:fill="auto"/>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Free State, North</w:t>
            </w:r>
            <w:r>
              <w:rPr>
                <w:rFonts w:ascii="Arial" w:hAnsi="Arial" w:cs="Arial"/>
              </w:rPr>
              <w:t xml:space="preserve"> W</w:t>
            </w:r>
            <w:r w:rsidRPr="0085199A">
              <w:rPr>
                <w:rFonts w:ascii="Arial" w:hAnsi="Arial" w:cs="Arial"/>
              </w:rPr>
              <w:t>est and Northern Cape</w:t>
            </w:r>
          </w:p>
        </w:tc>
        <w:tc>
          <w:tcPr>
            <w:tcW w:w="1984" w:type="dxa"/>
            <w:vMerge w:val="restart"/>
            <w:shd w:val="clear" w:color="auto" w:fill="auto"/>
          </w:tcPr>
          <w:p w:rsidR="009C4EEA" w:rsidRPr="0085199A" w:rsidRDefault="009C4EEA" w:rsidP="00CF2454">
            <w:pPr>
              <w:pStyle w:val="NoSpacing"/>
              <w:tabs>
                <w:tab w:val="left" w:pos="1134"/>
              </w:tabs>
              <w:jc w:val="both"/>
              <w:rPr>
                <w:rFonts w:ascii="Arial" w:hAnsi="Arial" w:cs="Arial"/>
              </w:rPr>
            </w:pPr>
            <w:r>
              <w:rPr>
                <w:rFonts w:ascii="Arial" w:hAnsi="Arial" w:cs="Arial"/>
              </w:rPr>
              <w:t xml:space="preserve">February 2022 to </w:t>
            </w:r>
            <w:r w:rsidRPr="0085199A">
              <w:rPr>
                <w:rFonts w:ascii="Arial" w:hAnsi="Arial" w:cs="Arial"/>
              </w:rPr>
              <w:t>1 August 2022</w:t>
            </w:r>
          </w:p>
        </w:tc>
      </w:tr>
      <w:bookmarkEnd w:id="0"/>
      <w:tr w:rsidR="009C4EEA" w:rsidRPr="0085199A" w:rsidTr="00066195">
        <w:tc>
          <w:tcPr>
            <w:tcW w:w="8364" w:type="dxa"/>
            <w:shd w:val="clear" w:color="auto" w:fill="auto"/>
          </w:tcPr>
          <w:p w:rsidR="009C4EEA" w:rsidRPr="0085199A" w:rsidRDefault="009C4EEA" w:rsidP="00CF2454">
            <w:pPr>
              <w:pStyle w:val="NoSpacing"/>
              <w:tabs>
                <w:tab w:val="left" w:pos="1134"/>
              </w:tabs>
              <w:jc w:val="both"/>
              <w:rPr>
                <w:rFonts w:ascii="Arial" w:hAnsi="Arial" w:cs="Arial"/>
                <w:b/>
                <w:bCs/>
              </w:rPr>
            </w:pPr>
            <w:r w:rsidRPr="0085199A">
              <w:rPr>
                <w:rFonts w:ascii="Arial" w:hAnsi="Arial" w:cs="Arial"/>
              </w:rPr>
              <w:t>Sedibeng Water was disestablished</w:t>
            </w:r>
            <w:r>
              <w:rPr>
                <w:rFonts w:ascii="Arial" w:hAnsi="Arial" w:cs="Arial"/>
              </w:rPr>
              <w:t xml:space="preserve"> in July 2022. The</w:t>
            </w:r>
            <w:r w:rsidRPr="0085199A">
              <w:rPr>
                <w:rFonts w:ascii="Arial" w:hAnsi="Arial" w:cs="Arial"/>
              </w:rPr>
              <w:t xml:space="preserve"> assets and liabilities in the North West were transfer</w:t>
            </w:r>
            <w:r>
              <w:rPr>
                <w:rFonts w:ascii="Arial" w:hAnsi="Arial" w:cs="Arial"/>
              </w:rPr>
              <w:t>red</w:t>
            </w:r>
            <w:r w:rsidRPr="0085199A">
              <w:rPr>
                <w:rFonts w:ascii="Arial" w:hAnsi="Arial" w:cs="Arial"/>
              </w:rPr>
              <w:t xml:space="preserve"> to </w:t>
            </w:r>
            <w:proofErr w:type="spellStart"/>
            <w:r w:rsidRPr="0085199A">
              <w:rPr>
                <w:rFonts w:ascii="Arial" w:hAnsi="Arial" w:cs="Arial"/>
              </w:rPr>
              <w:t>Magalies</w:t>
            </w:r>
            <w:proofErr w:type="spellEnd"/>
            <w:r w:rsidRPr="0085199A">
              <w:rPr>
                <w:rFonts w:ascii="Arial" w:hAnsi="Arial" w:cs="Arial"/>
              </w:rPr>
              <w:t xml:space="preserve"> Water and the Free State and Northern Cape assets and liabilities were transferred to Bloem Water as of 1 August 2022.</w:t>
            </w:r>
          </w:p>
        </w:tc>
        <w:tc>
          <w:tcPr>
            <w:tcW w:w="2693" w:type="dxa"/>
            <w:vMerge/>
            <w:shd w:val="clear" w:color="auto" w:fill="auto"/>
          </w:tcPr>
          <w:p w:rsidR="009C4EEA" w:rsidRPr="0085199A" w:rsidRDefault="009C4EEA" w:rsidP="00CF2454">
            <w:pPr>
              <w:pStyle w:val="NoSpacing"/>
              <w:tabs>
                <w:tab w:val="left" w:pos="1134"/>
              </w:tabs>
              <w:jc w:val="both"/>
              <w:rPr>
                <w:rFonts w:ascii="Arial" w:hAnsi="Arial" w:cs="Arial"/>
              </w:rPr>
            </w:pPr>
          </w:p>
        </w:tc>
        <w:tc>
          <w:tcPr>
            <w:tcW w:w="1984" w:type="dxa"/>
            <w:vMerge/>
            <w:shd w:val="clear" w:color="auto" w:fill="auto"/>
          </w:tcPr>
          <w:p w:rsidR="009C4EEA" w:rsidRPr="0085199A" w:rsidRDefault="009C4EEA" w:rsidP="00CF2454">
            <w:pPr>
              <w:pStyle w:val="NoSpacing"/>
              <w:tabs>
                <w:tab w:val="left" w:pos="1134"/>
              </w:tabs>
              <w:jc w:val="both"/>
              <w:rPr>
                <w:rFonts w:ascii="Arial" w:hAnsi="Arial" w:cs="Arial"/>
              </w:rPr>
            </w:pPr>
          </w:p>
        </w:tc>
      </w:tr>
      <w:tr w:rsidR="009C4EEA" w:rsidRPr="0085199A" w:rsidTr="00066195">
        <w:tc>
          <w:tcPr>
            <w:tcW w:w="8364" w:type="dxa"/>
            <w:shd w:val="clear" w:color="auto" w:fill="auto"/>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 xml:space="preserve">Sedibeng Water </w:t>
            </w:r>
            <w:r>
              <w:rPr>
                <w:rFonts w:ascii="Arial" w:hAnsi="Arial" w:cs="Arial"/>
              </w:rPr>
              <w:t xml:space="preserve">was delisted </w:t>
            </w:r>
            <w:r w:rsidRPr="0085199A">
              <w:rPr>
                <w:rFonts w:ascii="Arial" w:hAnsi="Arial" w:cs="Arial"/>
              </w:rPr>
              <w:t>as a schedule 3B of the Public Finance Management Act, 1999 (Act No 1 of 1999) (PFMA)</w:t>
            </w:r>
            <w:r>
              <w:rPr>
                <w:rFonts w:ascii="Arial" w:hAnsi="Arial" w:cs="Arial"/>
              </w:rPr>
              <w:t>.</w:t>
            </w:r>
          </w:p>
        </w:tc>
        <w:tc>
          <w:tcPr>
            <w:tcW w:w="2693" w:type="dxa"/>
            <w:vMerge/>
            <w:shd w:val="clear" w:color="auto" w:fill="auto"/>
          </w:tcPr>
          <w:p w:rsidR="009C4EEA" w:rsidRPr="0085199A" w:rsidRDefault="009C4EEA" w:rsidP="00CF2454">
            <w:pPr>
              <w:pStyle w:val="NoSpacing"/>
              <w:tabs>
                <w:tab w:val="left" w:pos="1134"/>
              </w:tabs>
              <w:jc w:val="both"/>
              <w:rPr>
                <w:rFonts w:ascii="Arial" w:hAnsi="Arial" w:cs="Arial"/>
              </w:rPr>
            </w:pPr>
          </w:p>
        </w:tc>
        <w:tc>
          <w:tcPr>
            <w:tcW w:w="1984" w:type="dxa"/>
            <w:shd w:val="clear" w:color="auto" w:fill="auto"/>
          </w:tcPr>
          <w:p w:rsidR="009C4EEA" w:rsidRPr="0085199A" w:rsidRDefault="009C4EEA" w:rsidP="00CF2454">
            <w:pPr>
              <w:pStyle w:val="NoSpacing"/>
              <w:tabs>
                <w:tab w:val="left" w:pos="1134"/>
              </w:tabs>
              <w:jc w:val="both"/>
              <w:rPr>
                <w:rFonts w:ascii="Arial" w:hAnsi="Arial" w:cs="Arial"/>
              </w:rPr>
            </w:pPr>
            <w:r>
              <w:rPr>
                <w:rFonts w:ascii="Arial" w:hAnsi="Arial" w:cs="Arial"/>
              </w:rPr>
              <w:t>28 Mach 2023</w:t>
            </w:r>
          </w:p>
        </w:tc>
      </w:tr>
      <w:tr w:rsidR="00066195" w:rsidRPr="0085199A" w:rsidTr="00066195">
        <w:tc>
          <w:tcPr>
            <w:tcW w:w="8364" w:type="dxa"/>
            <w:shd w:val="clear" w:color="auto" w:fill="auto"/>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Reconfiguration of Bloem Water</w:t>
            </w:r>
          </w:p>
        </w:tc>
        <w:tc>
          <w:tcPr>
            <w:tcW w:w="2693" w:type="dxa"/>
            <w:vMerge w:val="restart"/>
            <w:shd w:val="clear" w:color="auto" w:fill="auto"/>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Free State and Northern Cape</w:t>
            </w:r>
          </w:p>
        </w:tc>
        <w:tc>
          <w:tcPr>
            <w:tcW w:w="1984" w:type="dxa"/>
            <w:vMerge w:val="restart"/>
            <w:shd w:val="clear" w:color="auto" w:fill="auto"/>
          </w:tcPr>
          <w:p w:rsidR="00066195" w:rsidRPr="0085199A" w:rsidRDefault="00324BFD" w:rsidP="00CF2454">
            <w:pPr>
              <w:pStyle w:val="NoSpacing"/>
              <w:tabs>
                <w:tab w:val="left" w:pos="1134"/>
              </w:tabs>
              <w:jc w:val="both"/>
              <w:rPr>
                <w:rFonts w:ascii="Arial" w:hAnsi="Arial" w:cs="Arial"/>
              </w:rPr>
            </w:pPr>
            <w:r>
              <w:rPr>
                <w:rFonts w:ascii="Arial" w:hAnsi="Arial" w:cs="Arial"/>
              </w:rPr>
              <w:t xml:space="preserve">1 August 2022 to </w:t>
            </w:r>
            <w:r w:rsidR="00066195" w:rsidRPr="0085199A">
              <w:rPr>
                <w:rFonts w:ascii="Arial" w:hAnsi="Arial" w:cs="Arial"/>
              </w:rPr>
              <w:t>July 2023</w:t>
            </w:r>
          </w:p>
        </w:tc>
      </w:tr>
      <w:tr w:rsidR="00066195" w:rsidRPr="0085199A" w:rsidTr="00066195">
        <w:tc>
          <w:tcPr>
            <w:tcW w:w="8364" w:type="dxa"/>
            <w:shd w:val="clear" w:color="auto" w:fill="auto"/>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Bloem Water services the entire Free State and Northern Cape and ha</w:t>
            </w:r>
            <w:r>
              <w:rPr>
                <w:rFonts w:ascii="Arial" w:hAnsi="Arial" w:cs="Arial"/>
              </w:rPr>
              <w:t>s</w:t>
            </w:r>
            <w:r w:rsidRPr="0085199A">
              <w:rPr>
                <w:rFonts w:ascii="Arial" w:hAnsi="Arial" w:cs="Arial"/>
              </w:rPr>
              <w:t xml:space="preserve"> taken over the staff, assets and liabilities from Sedibeng with effect from 01 Aug 2022. </w:t>
            </w:r>
          </w:p>
        </w:tc>
        <w:tc>
          <w:tcPr>
            <w:tcW w:w="2693"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c>
          <w:tcPr>
            <w:tcW w:w="1984"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r>
      <w:tr w:rsidR="00066195" w:rsidRPr="0085199A" w:rsidTr="00066195">
        <w:tc>
          <w:tcPr>
            <w:tcW w:w="8364" w:type="dxa"/>
            <w:shd w:val="clear" w:color="auto" w:fill="auto"/>
          </w:tcPr>
          <w:p w:rsidR="00066195" w:rsidRPr="0085199A" w:rsidRDefault="00066195" w:rsidP="00CF2454">
            <w:pPr>
              <w:pStyle w:val="NoSpacing"/>
              <w:tabs>
                <w:tab w:val="left" w:pos="1134"/>
              </w:tabs>
              <w:jc w:val="both"/>
              <w:rPr>
                <w:rFonts w:ascii="Arial" w:hAnsi="Arial" w:cs="Arial"/>
              </w:rPr>
            </w:pPr>
            <w:r>
              <w:rPr>
                <w:rFonts w:ascii="Arial" w:hAnsi="Arial" w:cs="Arial"/>
                <w:lang w:val="en-ZA"/>
              </w:rPr>
              <w:t xml:space="preserve">The </w:t>
            </w:r>
            <w:r w:rsidRPr="0085199A">
              <w:rPr>
                <w:rFonts w:ascii="Arial" w:hAnsi="Arial" w:cs="Arial"/>
                <w:lang w:val="en-ZA"/>
              </w:rPr>
              <w:t xml:space="preserve">Gazette Notice for comments to be published for thirty (30) days outlining the intention to change the name of Bloem Water to Vaal Central Water Board was published </w:t>
            </w:r>
          </w:p>
        </w:tc>
        <w:tc>
          <w:tcPr>
            <w:tcW w:w="2693"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c>
          <w:tcPr>
            <w:tcW w:w="1984"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r>
      <w:tr w:rsidR="00066195" w:rsidRPr="0085199A" w:rsidTr="00066195">
        <w:tc>
          <w:tcPr>
            <w:tcW w:w="8364" w:type="dxa"/>
            <w:shd w:val="clear" w:color="auto" w:fill="auto"/>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lang w:val="en-ZA"/>
              </w:rPr>
              <w:t xml:space="preserve">Final Gazette to change the name of Bloem Water to Vaal Central Water Board to be published </w:t>
            </w:r>
          </w:p>
        </w:tc>
        <w:tc>
          <w:tcPr>
            <w:tcW w:w="2693"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c>
          <w:tcPr>
            <w:tcW w:w="1984" w:type="dxa"/>
            <w:vMerge/>
            <w:shd w:val="clear" w:color="auto" w:fill="auto"/>
          </w:tcPr>
          <w:p w:rsidR="00066195" w:rsidRPr="0085199A" w:rsidRDefault="00066195" w:rsidP="00CF2454">
            <w:pPr>
              <w:pStyle w:val="NoSpacing"/>
              <w:tabs>
                <w:tab w:val="left" w:pos="1134"/>
              </w:tabs>
              <w:jc w:val="both"/>
              <w:rPr>
                <w:rFonts w:ascii="Arial" w:hAnsi="Arial" w:cs="Arial"/>
                <w:b/>
                <w:bCs/>
              </w:rPr>
            </w:pPr>
          </w:p>
        </w:tc>
      </w:tr>
      <w:tr w:rsidR="009C4EEA" w:rsidRPr="0085199A" w:rsidTr="00066195">
        <w:tc>
          <w:tcPr>
            <w:tcW w:w="8364" w:type="dxa"/>
          </w:tcPr>
          <w:p w:rsidR="009C4EEA" w:rsidRPr="0085199A" w:rsidRDefault="009C4EEA" w:rsidP="00CF2454">
            <w:pPr>
              <w:pStyle w:val="NoSpacing"/>
              <w:tabs>
                <w:tab w:val="left" w:pos="1134"/>
              </w:tabs>
              <w:jc w:val="both"/>
              <w:rPr>
                <w:rFonts w:ascii="Arial" w:hAnsi="Arial" w:cs="Arial"/>
                <w:b/>
                <w:bCs/>
              </w:rPr>
            </w:pPr>
            <w:r w:rsidRPr="0085199A">
              <w:rPr>
                <w:rFonts w:ascii="Arial" w:hAnsi="Arial" w:cs="Arial"/>
                <w:b/>
                <w:bCs/>
              </w:rPr>
              <w:t>Reconfiguration of Umgeni &amp; Mhlathuze</w:t>
            </w:r>
          </w:p>
        </w:tc>
        <w:tc>
          <w:tcPr>
            <w:tcW w:w="2693" w:type="dxa"/>
            <w:vMerge w:val="restart"/>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Kwa-Zulu Natal</w:t>
            </w:r>
          </w:p>
        </w:tc>
        <w:tc>
          <w:tcPr>
            <w:tcW w:w="1984" w:type="dxa"/>
            <w:vMerge w:val="restart"/>
          </w:tcPr>
          <w:p w:rsidR="009C4EEA" w:rsidRPr="0085199A" w:rsidRDefault="009C4EEA" w:rsidP="00CF2454">
            <w:pPr>
              <w:pStyle w:val="NoSpacing"/>
              <w:tabs>
                <w:tab w:val="left" w:pos="1134"/>
              </w:tabs>
              <w:jc w:val="both"/>
              <w:rPr>
                <w:rFonts w:ascii="Arial" w:hAnsi="Arial" w:cs="Arial"/>
              </w:rPr>
            </w:pPr>
            <w:r w:rsidRPr="00324BFD">
              <w:rPr>
                <w:rFonts w:ascii="Arial" w:hAnsi="Arial" w:cs="Arial"/>
              </w:rPr>
              <w:t>July 2022</w:t>
            </w:r>
            <w:r>
              <w:rPr>
                <w:rFonts w:ascii="Arial" w:hAnsi="Arial" w:cs="Arial"/>
              </w:rPr>
              <w:t xml:space="preserve"> to </w:t>
            </w:r>
            <w:r w:rsidRPr="0085199A">
              <w:rPr>
                <w:rFonts w:ascii="Arial" w:hAnsi="Arial" w:cs="Arial"/>
              </w:rPr>
              <w:t xml:space="preserve">01 July 2023 </w:t>
            </w:r>
          </w:p>
        </w:tc>
      </w:tr>
      <w:tr w:rsidR="009C4EEA" w:rsidRPr="0085199A" w:rsidTr="00066195">
        <w:tc>
          <w:tcPr>
            <w:tcW w:w="8364" w:type="dxa"/>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The Minister consulted with the KwaZulu-Natal Provinc</w:t>
            </w:r>
            <w:r>
              <w:rPr>
                <w:rFonts w:ascii="Arial" w:hAnsi="Arial" w:cs="Arial"/>
              </w:rPr>
              <w:t>ial Government</w:t>
            </w:r>
            <w:r w:rsidRPr="0085199A">
              <w:rPr>
                <w:rFonts w:ascii="Arial" w:hAnsi="Arial" w:cs="Arial"/>
              </w:rPr>
              <w:t xml:space="preserve"> in</w:t>
            </w:r>
            <w:r>
              <w:rPr>
                <w:rFonts w:ascii="Arial" w:hAnsi="Arial" w:cs="Arial"/>
              </w:rPr>
              <w:t xml:space="preserve"> </w:t>
            </w:r>
            <w:r w:rsidRPr="0085199A">
              <w:rPr>
                <w:rFonts w:ascii="Arial" w:hAnsi="Arial" w:cs="Arial"/>
              </w:rPr>
              <w:t>terms of Section 28 of the Water Services Act, 1997 (Act No. 108 of 1997).</w:t>
            </w:r>
          </w:p>
        </w:tc>
        <w:tc>
          <w:tcPr>
            <w:tcW w:w="2693" w:type="dxa"/>
            <w:vMerge/>
          </w:tcPr>
          <w:p w:rsidR="009C4EEA" w:rsidRPr="0085199A" w:rsidRDefault="009C4EEA" w:rsidP="00CF2454">
            <w:pPr>
              <w:pStyle w:val="NoSpacing"/>
              <w:tabs>
                <w:tab w:val="left" w:pos="1134"/>
              </w:tabs>
              <w:jc w:val="both"/>
              <w:rPr>
                <w:rFonts w:ascii="Arial" w:hAnsi="Arial" w:cs="Arial"/>
              </w:rPr>
            </w:pPr>
          </w:p>
        </w:tc>
        <w:tc>
          <w:tcPr>
            <w:tcW w:w="1984" w:type="dxa"/>
            <w:vMerge/>
          </w:tcPr>
          <w:p w:rsidR="009C4EEA" w:rsidRPr="0085199A" w:rsidRDefault="009C4EEA" w:rsidP="00CF2454">
            <w:pPr>
              <w:pStyle w:val="NoSpacing"/>
              <w:tabs>
                <w:tab w:val="left" w:pos="1134"/>
              </w:tabs>
              <w:jc w:val="both"/>
              <w:rPr>
                <w:rFonts w:ascii="Arial" w:hAnsi="Arial" w:cs="Arial"/>
              </w:rPr>
            </w:pPr>
          </w:p>
        </w:tc>
      </w:tr>
      <w:tr w:rsidR="009C4EEA" w:rsidRPr="0085199A" w:rsidTr="00066195">
        <w:tc>
          <w:tcPr>
            <w:tcW w:w="8364" w:type="dxa"/>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 xml:space="preserve">Minister published the Gazette Notice for thirty (30) days to change the name Umgeni Water to </w:t>
            </w:r>
            <w:proofErr w:type="spellStart"/>
            <w:r w:rsidRPr="0085199A">
              <w:rPr>
                <w:rFonts w:ascii="Arial" w:hAnsi="Arial" w:cs="Arial"/>
              </w:rPr>
              <w:t>uMngeni</w:t>
            </w:r>
            <w:proofErr w:type="spellEnd"/>
            <w:r w:rsidRPr="0085199A">
              <w:rPr>
                <w:rFonts w:ascii="Arial" w:hAnsi="Arial" w:cs="Arial"/>
              </w:rPr>
              <w:t>-uThukela Water with effect from 01 July 2023.</w:t>
            </w:r>
          </w:p>
        </w:tc>
        <w:tc>
          <w:tcPr>
            <w:tcW w:w="2693" w:type="dxa"/>
            <w:vMerge/>
          </w:tcPr>
          <w:p w:rsidR="009C4EEA" w:rsidRPr="0085199A" w:rsidRDefault="009C4EEA" w:rsidP="00CF2454">
            <w:pPr>
              <w:pStyle w:val="NoSpacing"/>
              <w:tabs>
                <w:tab w:val="left" w:pos="1134"/>
              </w:tabs>
              <w:jc w:val="both"/>
              <w:rPr>
                <w:rFonts w:ascii="Arial" w:hAnsi="Arial" w:cs="Arial"/>
              </w:rPr>
            </w:pPr>
          </w:p>
        </w:tc>
        <w:tc>
          <w:tcPr>
            <w:tcW w:w="1984" w:type="dxa"/>
          </w:tcPr>
          <w:p w:rsidR="009C4EEA" w:rsidRPr="0085199A" w:rsidRDefault="009C4EEA" w:rsidP="00CF2454">
            <w:pPr>
              <w:pStyle w:val="NoSpacing"/>
              <w:tabs>
                <w:tab w:val="left" w:pos="1134"/>
              </w:tabs>
              <w:jc w:val="both"/>
              <w:rPr>
                <w:rFonts w:ascii="Arial" w:hAnsi="Arial" w:cs="Arial"/>
              </w:rPr>
            </w:pPr>
            <w:r>
              <w:rPr>
                <w:rFonts w:ascii="Arial" w:hAnsi="Arial" w:cs="Arial"/>
              </w:rPr>
              <w:t>19 June 2023</w:t>
            </w:r>
          </w:p>
        </w:tc>
      </w:tr>
      <w:tr w:rsidR="009C4EEA" w:rsidRPr="0085199A" w:rsidTr="00066195">
        <w:tc>
          <w:tcPr>
            <w:tcW w:w="8364" w:type="dxa"/>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 xml:space="preserve">Minister published a final gazette notice extending the boundary of Umgeni Water to include Mhlathuze Water to form a single Water Board in the KwaZulu-Natal Province, disestablish Mhlathuze Water, the transfer of staff, assets and liabilities to </w:t>
            </w:r>
            <w:proofErr w:type="spellStart"/>
            <w:r w:rsidRPr="0085199A">
              <w:rPr>
                <w:rFonts w:ascii="Arial" w:hAnsi="Arial" w:cs="Arial"/>
              </w:rPr>
              <w:t>uMngeni</w:t>
            </w:r>
            <w:proofErr w:type="spellEnd"/>
            <w:r w:rsidRPr="0085199A">
              <w:rPr>
                <w:rFonts w:ascii="Arial" w:hAnsi="Arial" w:cs="Arial"/>
              </w:rPr>
              <w:t>-uThukela Water with effect from 01 July 2023</w:t>
            </w:r>
          </w:p>
        </w:tc>
        <w:tc>
          <w:tcPr>
            <w:tcW w:w="2693" w:type="dxa"/>
            <w:vMerge/>
          </w:tcPr>
          <w:p w:rsidR="009C4EEA" w:rsidRPr="0085199A" w:rsidRDefault="009C4EEA" w:rsidP="00CF2454">
            <w:pPr>
              <w:pStyle w:val="NoSpacing"/>
              <w:tabs>
                <w:tab w:val="left" w:pos="1134"/>
              </w:tabs>
              <w:jc w:val="both"/>
              <w:rPr>
                <w:rFonts w:ascii="Arial" w:hAnsi="Arial" w:cs="Arial"/>
              </w:rPr>
            </w:pPr>
          </w:p>
        </w:tc>
        <w:tc>
          <w:tcPr>
            <w:tcW w:w="1984" w:type="dxa"/>
          </w:tcPr>
          <w:p w:rsidR="009C4EEA" w:rsidRPr="0085199A" w:rsidRDefault="009C4EEA" w:rsidP="00CF2454">
            <w:pPr>
              <w:pStyle w:val="NoSpacing"/>
              <w:tabs>
                <w:tab w:val="left" w:pos="1134"/>
              </w:tabs>
              <w:jc w:val="both"/>
              <w:rPr>
                <w:rFonts w:ascii="Arial" w:hAnsi="Arial" w:cs="Arial"/>
              </w:rPr>
            </w:pPr>
            <w:r>
              <w:rPr>
                <w:rFonts w:ascii="Arial" w:hAnsi="Arial" w:cs="Arial"/>
              </w:rPr>
              <w:t>19 June 2023</w:t>
            </w:r>
          </w:p>
        </w:tc>
      </w:tr>
      <w:tr w:rsidR="009C4EEA" w:rsidRPr="0085199A" w:rsidTr="00066195">
        <w:tc>
          <w:tcPr>
            <w:tcW w:w="8364" w:type="dxa"/>
          </w:tcPr>
          <w:p w:rsidR="009C4EEA" w:rsidRPr="0085199A" w:rsidRDefault="009C4EEA" w:rsidP="00CF2454">
            <w:pPr>
              <w:pStyle w:val="NoSpacing"/>
              <w:tabs>
                <w:tab w:val="left" w:pos="1134"/>
              </w:tabs>
              <w:jc w:val="both"/>
              <w:rPr>
                <w:rFonts w:ascii="Arial" w:hAnsi="Arial" w:cs="Arial"/>
              </w:rPr>
            </w:pPr>
            <w:r w:rsidRPr="0085199A">
              <w:rPr>
                <w:rFonts w:ascii="Arial" w:hAnsi="Arial" w:cs="Arial"/>
              </w:rPr>
              <w:t>Advert calling for nominations for a new Board Members for the single Water Board in KwaZulu-Natal (</w:t>
            </w:r>
            <w:proofErr w:type="spellStart"/>
            <w:r w:rsidRPr="0085199A">
              <w:rPr>
                <w:rFonts w:ascii="Arial" w:hAnsi="Arial" w:cs="Arial"/>
              </w:rPr>
              <w:t>uMngeni</w:t>
            </w:r>
            <w:proofErr w:type="spellEnd"/>
            <w:r w:rsidRPr="0085199A">
              <w:rPr>
                <w:rFonts w:ascii="Arial" w:hAnsi="Arial" w:cs="Arial"/>
              </w:rPr>
              <w:t>-uThukela Water) published</w:t>
            </w:r>
            <w:r>
              <w:rPr>
                <w:rFonts w:ascii="Arial" w:hAnsi="Arial" w:cs="Arial"/>
              </w:rPr>
              <w:t xml:space="preserve"> </w:t>
            </w:r>
          </w:p>
        </w:tc>
        <w:tc>
          <w:tcPr>
            <w:tcW w:w="2693" w:type="dxa"/>
            <w:vMerge/>
          </w:tcPr>
          <w:p w:rsidR="009C4EEA" w:rsidRPr="0085199A" w:rsidRDefault="009C4EEA" w:rsidP="00CF2454">
            <w:pPr>
              <w:pStyle w:val="NoSpacing"/>
              <w:tabs>
                <w:tab w:val="left" w:pos="1134"/>
              </w:tabs>
              <w:jc w:val="both"/>
              <w:rPr>
                <w:rFonts w:ascii="Arial" w:hAnsi="Arial" w:cs="Arial"/>
              </w:rPr>
            </w:pPr>
          </w:p>
        </w:tc>
        <w:tc>
          <w:tcPr>
            <w:tcW w:w="1984" w:type="dxa"/>
          </w:tcPr>
          <w:p w:rsidR="009C4EEA" w:rsidRPr="0085199A" w:rsidRDefault="009C4EEA" w:rsidP="00CF2454">
            <w:pPr>
              <w:pStyle w:val="NoSpacing"/>
              <w:tabs>
                <w:tab w:val="left" w:pos="1134"/>
              </w:tabs>
              <w:jc w:val="both"/>
              <w:rPr>
                <w:rFonts w:ascii="Arial" w:hAnsi="Arial" w:cs="Arial"/>
              </w:rPr>
            </w:pPr>
            <w:r>
              <w:rPr>
                <w:rFonts w:ascii="Arial" w:hAnsi="Arial" w:cs="Arial"/>
              </w:rPr>
              <w:t>25 June 2023</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Rand Water boundary to be extended to cover Mpumalanga and Gauteng Province</w:t>
            </w:r>
          </w:p>
        </w:tc>
        <w:tc>
          <w:tcPr>
            <w:tcW w:w="2693" w:type="dxa"/>
            <w:vMerge w:val="restart"/>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Gauteng and Mpumalanga</w:t>
            </w:r>
          </w:p>
        </w:tc>
        <w:tc>
          <w:tcPr>
            <w:tcW w:w="1984" w:type="dxa"/>
            <w:vMerge w:val="restart"/>
          </w:tcPr>
          <w:p w:rsidR="00066195" w:rsidRPr="0085199A" w:rsidRDefault="00DC00F3" w:rsidP="00CF2454">
            <w:pPr>
              <w:pStyle w:val="NoSpacing"/>
              <w:tabs>
                <w:tab w:val="left" w:pos="1134"/>
              </w:tabs>
              <w:jc w:val="both"/>
              <w:rPr>
                <w:rFonts w:ascii="Arial" w:hAnsi="Arial" w:cs="Arial"/>
              </w:rPr>
            </w:pPr>
            <w:r>
              <w:rPr>
                <w:rFonts w:ascii="Arial" w:hAnsi="Arial" w:cs="Arial"/>
              </w:rPr>
              <w:t xml:space="preserve">October </w:t>
            </w:r>
            <w:r w:rsidR="00324BFD">
              <w:rPr>
                <w:rFonts w:ascii="Arial" w:hAnsi="Arial" w:cs="Arial"/>
              </w:rPr>
              <w:t xml:space="preserve">2022 to </w:t>
            </w:r>
            <w:r w:rsidR="00066195" w:rsidRPr="0085199A">
              <w:rPr>
                <w:rFonts w:ascii="Arial" w:hAnsi="Arial" w:cs="Arial"/>
              </w:rPr>
              <w:t>March 2024</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The Minister published a Gazette Notice on 28 November 2022 in terms of Section 28(1) of the WSA for sixty (60) days outlining his intentions to extend the service area of Rand Water to Provide Bulk Water Services to the entire Mpumalanga Province.</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rPr>
            </w:pPr>
            <w:r w:rsidRPr="0085199A">
              <w:rPr>
                <w:rFonts w:ascii="Arial" w:hAnsi="Arial" w:cs="Arial"/>
                <w:lang w:val="en-ZA"/>
              </w:rPr>
              <w:t xml:space="preserve">Final due </w:t>
            </w:r>
            <w:r>
              <w:rPr>
                <w:rFonts w:ascii="Arial" w:hAnsi="Arial" w:cs="Arial"/>
                <w:lang w:val="en-ZA"/>
              </w:rPr>
              <w:t>d</w:t>
            </w:r>
            <w:r w:rsidRPr="0085199A">
              <w:rPr>
                <w:rFonts w:ascii="Arial" w:hAnsi="Arial" w:cs="Arial"/>
                <w:lang w:val="en-ZA"/>
              </w:rPr>
              <w:t>iligence is due on October 2023</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b/>
                <w:bCs/>
                <w:lang w:val="en-ZA"/>
              </w:rPr>
              <w:t>Lepelle boundary will be extended to cover the entire Limpopo Province</w:t>
            </w:r>
            <w:r w:rsidRPr="0085199A">
              <w:rPr>
                <w:rFonts w:ascii="Arial" w:hAnsi="Arial" w:cs="Arial"/>
                <w:lang w:val="en-ZA"/>
              </w:rPr>
              <w:t>.</w:t>
            </w:r>
          </w:p>
        </w:tc>
        <w:tc>
          <w:tcPr>
            <w:tcW w:w="2693" w:type="dxa"/>
            <w:vMerge w:val="restart"/>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Limpopo</w:t>
            </w:r>
          </w:p>
        </w:tc>
        <w:tc>
          <w:tcPr>
            <w:tcW w:w="1984" w:type="dxa"/>
            <w:vMerge w:val="restart"/>
          </w:tcPr>
          <w:p w:rsidR="00066195" w:rsidRPr="0085199A" w:rsidRDefault="00DC00F3" w:rsidP="00CF2454">
            <w:pPr>
              <w:pStyle w:val="NoSpacing"/>
              <w:tabs>
                <w:tab w:val="left" w:pos="1134"/>
              </w:tabs>
              <w:jc w:val="both"/>
              <w:rPr>
                <w:rFonts w:ascii="Arial" w:hAnsi="Arial" w:cs="Arial"/>
              </w:rPr>
            </w:pPr>
            <w:r>
              <w:rPr>
                <w:rFonts w:ascii="Arial" w:hAnsi="Arial" w:cs="Arial"/>
                <w:lang w:val="en-ZA"/>
              </w:rPr>
              <w:t xml:space="preserve">October 2022 to </w:t>
            </w:r>
            <w:r w:rsidR="00066195" w:rsidRPr="0085199A">
              <w:rPr>
                <w:rFonts w:ascii="Arial" w:hAnsi="Arial" w:cs="Arial"/>
                <w:lang w:val="en-ZA"/>
              </w:rPr>
              <w:t>January 2024</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lang w:val="en-ZA"/>
              </w:rPr>
              <w:t>High level desktop due diligence analysis is due by end of September 2023</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lang w:val="en-ZA"/>
              </w:rPr>
              <w:t>Gazette notice to be published on the extension to cover Limpopo Province.</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b/>
                <w:bCs/>
                <w:lang w:val="en-ZA"/>
              </w:rPr>
            </w:pPr>
            <w:r w:rsidRPr="0085199A">
              <w:rPr>
                <w:rFonts w:ascii="Arial" w:hAnsi="Arial" w:cs="Arial"/>
                <w:b/>
                <w:bCs/>
                <w:lang w:val="en-ZA"/>
              </w:rPr>
              <w:t xml:space="preserve">Transfer of Rand Water’s asset in Rustenburg from Rand Water to </w:t>
            </w:r>
            <w:proofErr w:type="spellStart"/>
            <w:r w:rsidRPr="0085199A">
              <w:rPr>
                <w:rFonts w:ascii="Arial" w:hAnsi="Arial" w:cs="Arial"/>
                <w:b/>
                <w:bCs/>
                <w:lang w:val="en-ZA"/>
              </w:rPr>
              <w:t>Magalies</w:t>
            </w:r>
            <w:proofErr w:type="spellEnd"/>
            <w:r w:rsidRPr="0085199A">
              <w:rPr>
                <w:rFonts w:ascii="Arial" w:hAnsi="Arial" w:cs="Arial"/>
                <w:b/>
                <w:bCs/>
                <w:lang w:val="en-ZA"/>
              </w:rPr>
              <w:t xml:space="preserve"> Water and transfer of </w:t>
            </w:r>
            <w:proofErr w:type="spellStart"/>
            <w:r w:rsidRPr="0085199A">
              <w:rPr>
                <w:rFonts w:ascii="Arial" w:hAnsi="Arial" w:cs="Arial"/>
                <w:b/>
                <w:bCs/>
                <w:lang w:val="en-ZA"/>
              </w:rPr>
              <w:t>Magalies</w:t>
            </w:r>
            <w:proofErr w:type="spellEnd"/>
            <w:r w:rsidRPr="0085199A">
              <w:rPr>
                <w:rFonts w:ascii="Arial" w:hAnsi="Arial" w:cs="Arial"/>
                <w:b/>
                <w:bCs/>
                <w:lang w:val="en-ZA"/>
              </w:rPr>
              <w:t xml:space="preserve"> Water assets to Rand Water</w:t>
            </w:r>
          </w:p>
        </w:tc>
        <w:tc>
          <w:tcPr>
            <w:tcW w:w="2693" w:type="dxa"/>
            <w:vMerge w:val="restart"/>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 xml:space="preserve">Gauteng and North West </w:t>
            </w:r>
          </w:p>
        </w:tc>
        <w:tc>
          <w:tcPr>
            <w:tcW w:w="1984" w:type="dxa"/>
            <w:vMerge w:val="restart"/>
          </w:tcPr>
          <w:p w:rsidR="00066195" w:rsidRPr="0085199A" w:rsidRDefault="00066195" w:rsidP="00CF2454">
            <w:pPr>
              <w:pStyle w:val="NoSpacing"/>
              <w:tabs>
                <w:tab w:val="left" w:pos="1134"/>
              </w:tabs>
              <w:jc w:val="both"/>
              <w:rPr>
                <w:rFonts w:ascii="Arial" w:hAnsi="Arial" w:cs="Arial"/>
              </w:rPr>
            </w:pPr>
          </w:p>
          <w:p w:rsidR="00066195" w:rsidRPr="0085199A" w:rsidRDefault="00DC00F3" w:rsidP="00CF2454">
            <w:pPr>
              <w:pStyle w:val="NoSpacing"/>
              <w:tabs>
                <w:tab w:val="left" w:pos="1134"/>
              </w:tabs>
              <w:jc w:val="both"/>
              <w:rPr>
                <w:rFonts w:ascii="Arial" w:hAnsi="Arial" w:cs="Arial"/>
              </w:rPr>
            </w:pPr>
            <w:r>
              <w:rPr>
                <w:rFonts w:ascii="Arial" w:hAnsi="Arial" w:cs="Arial"/>
              </w:rPr>
              <w:t>July 202</w:t>
            </w:r>
            <w:r w:rsidR="00992AAB">
              <w:rPr>
                <w:rFonts w:ascii="Arial" w:hAnsi="Arial" w:cs="Arial"/>
              </w:rPr>
              <w:t>2</w:t>
            </w:r>
            <w:r>
              <w:rPr>
                <w:rFonts w:ascii="Arial" w:hAnsi="Arial" w:cs="Arial"/>
              </w:rPr>
              <w:t xml:space="preserve"> to </w:t>
            </w:r>
            <w:r w:rsidR="00066195" w:rsidRPr="0085199A">
              <w:rPr>
                <w:rFonts w:ascii="Arial" w:hAnsi="Arial" w:cs="Arial"/>
              </w:rPr>
              <w:t>December 2023</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lang w:val="en-ZA"/>
              </w:rPr>
              <w:t>Final due Diligence is due on September 2023</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b/>
                <w:bCs/>
                <w:lang w:val="en-ZA"/>
              </w:rPr>
            </w:pPr>
            <w:proofErr w:type="spellStart"/>
            <w:r w:rsidRPr="0085199A">
              <w:rPr>
                <w:rFonts w:ascii="Arial" w:hAnsi="Arial" w:cs="Arial"/>
                <w:b/>
                <w:bCs/>
                <w:lang w:val="en-ZA"/>
              </w:rPr>
              <w:t>Amatola</w:t>
            </w:r>
            <w:proofErr w:type="spellEnd"/>
            <w:r w:rsidRPr="0085199A">
              <w:rPr>
                <w:rFonts w:ascii="Arial" w:hAnsi="Arial" w:cs="Arial"/>
                <w:b/>
                <w:bCs/>
                <w:lang w:val="en-ZA"/>
              </w:rPr>
              <w:t xml:space="preserve"> Water Board will be extended to cover the</w:t>
            </w:r>
            <w:r w:rsidRPr="0085199A">
              <w:rPr>
                <w:rFonts w:ascii="Arial" w:hAnsi="Arial" w:cs="Arial"/>
              </w:rPr>
              <w:t xml:space="preserve"> </w:t>
            </w:r>
            <w:r w:rsidRPr="0085199A">
              <w:rPr>
                <w:rFonts w:ascii="Arial" w:hAnsi="Arial" w:cs="Arial"/>
                <w:b/>
                <w:bCs/>
                <w:lang w:val="en-ZA"/>
              </w:rPr>
              <w:t>entire Eastern Cape Province.</w:t>
            </w:r>
          </w:p>
        </w:tc>
        <w:tc>
          <w:tcPr>
            <w:tcW w:w="2693" w:type="dxa"/>
            <w:vMerge w:val="restart"/>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Eastern Cape</w:t>
            </w:r>
          </w:p>
        </w:tc>
        <w:tc>
          <w:tcPr>
            <w:tcW w:w="1984" w:type="dxa"/>
            <w:vMerge w:val="restart"/>
          </w:tcPr>
          <w:p w:rsidR="00066195" w:rsidRPr="0085199A" w:rsidRDefault="00DC00F3" w:rsidP="00CF2454">
            <w:pPr>
              <w:pStyle w:val="NoSpacing"/>
              <w:tabs>
                <w:tab w:val="left" w:pos="1134"/>
              </w:tabs>
              <w:jc w:val="both"/>
              <w:rPr>
                <w:rFonts w:ascii="Arial" w:hAnsi="Arial" w:cs="Arial"/>
              </w:rPr>
            </w:pPr>
            <w:r>
              <w:rPr>
                <w:rFonts w:ascii="Arial" w:hAnsi="Arial" w:cs="Arial"/>
              </w:rPr>
              <w:t xml:space="preserve">October 2022 to </w:t>
            </w:r>
            <w:r w:rsidR="00066195" w:rsidRPr="0085199A">
              <w:rPr>
                <w:rFonts w:ascii="Arial" w:hAnsi="Arial" w:cs="Arial"/>
              </w:rPr>
              <w:t>December 2023</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lang w:val="en-ZA"/>
              </w:rPr>
            </w:pPr>
            <w:r w:rsidRPr="0085199A">
              <w:rPr>
                <w:rFonts w:ascii="Arial" w:hAnsi="Arial" w:cs="Arial"/>
                <w:lang w:val="en-ZA"/>
              </w:rPr>
              <w:t xml:space="preserve">The Minister published a Gazette Notice on 14 November 2022 in terms of Section 28(1) of the WSA for sixty (60) days outlining intentions to extend the service area of </w:t>
            </w:r>
            <w:proofErr w:type="spellStart"/>
            <w:r w:rsidRPr="0085199A">
              <w:rPr>
                <w:rFonts w:ascii="Arial" w:hAnsi="Arial" w:cs="Arial"/>
                <w:lang w:val="en-ZA"/>
              </w:rPr>
              <w:t>Amatola</w:t>
            </w:r>
            <w:proofErr w:type="spellEnd"/>
            <w:r w:rsidRPr="0085199A">
              <w:rPr>
                <w:rFonts w:ascii="Arial" w:hAnsi="Arial" w:cs="Arial"/>
                <w:lang w:val="en-ZA"/>
              </w:rPr>
              <w:t xml:space="preserve"> Water to cover the entire Eastern Cape Province.</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High level desktop due diligence analysis is due by end of September 2023</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b/>
                <w:bCs/>
              </w:rPr>
            </w:pPr>
            <w:r w:rsidRPr="0085199A">
              <w:rPr>
                <w:rFonts w:ascii="Arial" w:hAnsi="Arial" w:cs="Arial"/>
                <w:b/>
                <w:bCs/>
              </w:rPr>
              <w:t>Overberg Water Board will be extended to cover the entire Western Cape Province</w:t>
            </w:r>
          </w:p>
        </w:tc>
        <w:tc>
          <w:tcPr>
            <w:tcW w:w="2693" w:type="dxa"/>
            <w:vMerge w:val="restart"/>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Western Cape</w:t>
            </w:r>
          </w:p>
        </w:tc>
        <w:tc>
          <w:tcPr>
            <w:tcW w:w="1984" w:type="dxa"/>
            <w:vMerge w:val="restart"/>
          </w:tcPr>
          <w:p w:rsidR="00066195" w:rsidRPr="0085199A" w:rsidRDefault="00992AAB" w:rsidP="00CF2454">
            <w:pPr>
              <w:pStyle w:val="NoSpacing"/>
              <w:tabs>
                <w:tab w:val="left" w:pos="1134"/>
              </w:tabs>
              <w:jc w:val="both"/>
              <w:rPr>
                <w:rFonts w:ascii="Arial" w:hAnsi="Arial" w:cs="Arial"/>
              </w:rPr>
            </w:pPr>
            <w:r>
              <w:rPr>
                <w:rFonts w:ascii="Arial" w:hAnsi="Arial" w:cs="Arial"/>
              </w:rPr>
              <w:t xml:space="preserve">November 2022 to </w:t>
            </w:r>
            <w:r w:rsidR="00066195" w:rsidRPr="0085199A">
              <w:rPr>
                <w:rFonts w:ascii="Arial" w:hAnsi="Arial" w:cs="Arial"/>
              </w:rPr>
              <w:t>December 2023</w:t>
            </w: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The Minister published a Gazette Notice on 3 November 2022 in terms of Section 28(1) of the WSA for sixty (60) days outlining intentions to extend the service area of Overberg Water to cover the entire Western Cape Province.</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r w:rsidR="00066195" w:rsidRPr="0085199A" w:rsidTr="00066195">
        <w:tc>
          <w:tcPr>
            <w:tcW w:w="8364" w:type="dxa"/>
          </w:tcPr>
          <w:p w:rsidR="00066195" w:rsidRPr="0085199A" w:rsidRDefault="00066195" w:rsidP="00CF2454">
            <w:pPr>
              <w:pStyle w:val="NoSpacing"/>
              <w:tabs>
                <w:tab w:val="left" w:pos="1134"/>
              </w:tabs>
              <w:jc w:val="both"/>
              <w:rPr>
                <w:rFonts w:ascii="Arial" w:hAnsi="Arial" w:cs="Arial"/>
              </w:rPr>
            </w:pPr>
            <w:r w:rsidRPr="0085199A">
              <w:rPr>
                <w:rFonts w:ascii="Arial" w:hAnsi="Arial" w:cs="Arial"/>
              </w:rPr>
              <w:t>High level desktop due diligence analysis is due by end of September 2023</w:t>
            </w:r>
          </w:p>
        </w:tc>
        <w:tc>
          <w:tcPr>
            <w:tcW w:w="2693" w:type="dxa"/>
            <w:vMerge/>
          </w:tcPr>
          <w:p w:rsidR="00066195" w:rsidRPr="0085199A" w:rsidRDefault="00066195" w:rsidP="00CF2454">
            <w:pPr>
              <w:pStyle w:val="NoSpacing"/>
              <w:tabs>
                <w:tab w:val="left" w:pos="1134"/>
              </w:tabs>
              <w:jc w:val="both"/>
              <w:rPr>
                <w:rFonts w:ascii="Arial" w:hAnsi="Arial" w:cs="Arial"/>
              </w:rPr>
            </w:pPr>
          </w:p>
        </w:tc>
        <w:tc>
          <w:tcPr>
            <w:tcW w:w="1984" w:type="dxa"/>
            <w:vMerge/>
          </w:tcPr>
          <w:p w:rsidR="00066195" w:rsidRPr="0085199A" w:rsidRDefault="00066195" w:rsidP="00CF2454">
            <w:pPr>
              <w:pStyle w:val="NoSpacing"/>
              <w:tabs>
                <w:tab w:val="left" w:pos="1134"/>
              </w:tabs>
              <w:jc w:val="both"/>
              <w:rPr>
                <w:rFonts w:ascii="Arial" w:hAnsi="Arial" w:cs="Arial"/>
              </w:rPr>
            </w:pPr>
          </w:p>
        </w:tc>
      </w:tr>
    </w:tbl>
    <w:p w:rsidR="00FD4788" w:rsidRDefault="00FD4788" w:rsidP="004D17DB">
      <w:pPr>
        <w:tabs>
          <w:tab w:val="left" w:pos="540"/>
          <w:tab w:val="left" w:pos="1080"/>
        </w:tabs>
        <w:rPr>
          <w:rFonts w:ascii="Arial" w:hAnsi="Arial" w:cs="Arial"/>
          <w:bCs/>
          <w:sz w:val="22"/>
          <w:szCs w:val="22"/>
          <w:lang w:val="pt-BR"/>
        </w:rPr>
      </w:pPr>
    </w:p>
    <w:p w:rsidR="004D17DB" w:rsidRPr="004D17DB" w:rsidRDefault="004D17DB" w:rsidP="004D17DB">
      <w:pPr>
        <w:rPr>
          <w:rFonts w:ascii="Arial" w:hAnsi="Arial" w:cs="Arial"/>
          <w:sz w:val="22"/>
          <w:szCs w:val="22"/>
          <w:lang w:val="pt-BR"/>
        </w:rPr>
      </w:pPr>
    </w:p>
    <w:p w:rsidR="004D17DB" w:rsidRPr="004D17DB" w:rsidRDefault="004D17DB" w:rsidP="004D17DB">
      <w:pPr>
        <w:rPr>
          <w:rFonts w:ascii="Arial" w:hAnsi="Arial" w:cs="Arial"/>
          <w:sz w:val="22"/>
          <w:szCs w:val="22"/>
          <w:lang w:val="pt-BR"/>
        </w:rPr>
      </w:pPr>
    </w:p>
    <w:p w:rsidR="004D17DB" w:rsidRPr="004D17DB" w:rsidRDefault="004D17DB" w:rsidP="004D17DB">
      <w:pPr>
        <w:tabs>
          <w:tab w:val="left" w:pos="2110"/>
        </w:tabs>
        <w:rPr>
          <w:rFonts w:ascii="Arial" w:hAnsi="Arial" w:cs="Arial"/>
          <w:sz w:val="22"/>
          <w:szCs w:val="22"/>
          <w:lang w:val="pt-BR"/>
        </w:rPr>
        <w:sectPr w:rsidR="004D17DB" w:rsidRPr="004D17DB" w:rsidSect="00FD4788">
          <w:pgSz w:w="15840" w:h="12240" w:orient="landscape"/>
          <w:pgMar w:top="1440" w:right="1134" w:bottom="1043" w:left="1440" w:header="720" w:footer="720" w:gutter="0"/>
          <w:cols w:space="720"/>
          <w:docGrid w:linePitch="360"/>
        </w:sectPr>
      </w:pPr>
    </w:p>
    <w:p w:rsidR="00361A62" w:rsidRPr="009D42F1" w:rsidRDefault="00361A62" w:rsidP="009C205F">
      <w:pPr>
        <w:jc w:val="both"/>
        <w:rPr>
          <w:rFonts w:ascii="Arial" w:hAnsi="Arial" w:cs="Arial"/>
          <w:b/>
          <w:sz w:val="22"/>
          <w:szCs w:val="22"/>
        </w:rPr>
      </w:pPr>
    </w:p>
    <w:sectPr w:rsidR="00361A62" w:rsidRPr="009D42F1" w:rsidSect="00B31C62">
      <w:pgSz w:w="12240" w:h="15840"/>
      <w:pgMar w:top="1134"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C7" w:rsidRDefault="007264C7" w:rsidP="00B425C7">
      <w:r>
        <w:separator/>
      </w:r>
    </w:p>
  </w:endnote>
  <w:endnote w:type="continuationSeparator" w:id="0">
    <w:p w:rsidR="007264C7" w:rsidRDefault="007264C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4E69D0">
      <w:rPr>
        <w:rFonts w:ascii="Arial" w:hAnsi="Arial" w:cs="Arial"/>
        <w:sz w:val="16"/>
        <w:szCs w:val="16"/>
      </w:rPr>
      <w:t>24</w:t>
    </w:r>
    <w:r w:rsidR="00B37349">
      <w:rPr>
        <w:rFonts w:ascii="Arial" w:hAnsi="Arial" w:cs="Arial"/>
        <w:sz w:val="16"/>
        <w:szCs w:val="16"/>
      </w:rPr>
      <w:t>12</w:t>
    </w:r>
    <w:r w:rsidR="0086147D">
      <w:rPr>
        <w:rFonts w:ascii="Arial" w:hAnsi="Arial" w:cs="Arial"/>
        <w:sz w:val="16"/>
        <w:szCs w:val="16"/>
      </w:rPr>
      <w:tab/>
    </w:r>
    <w:r w:rsidR="00F95114">
      <w:rPr>
        <w:rFonts w:ascii="Arial" w:hAnsi="Arial" w:cs="Arial"/>
        <w:sz w:val="16"/>
        <w:szCs w:val="16"/>
      </w:rPr>
      <w:t>NW</w:t>
    </w:r>
    <w:r w:rsidR="007A6BF1">
      <w:rPr>
        <w:rFonts w:ascii="Arial" w:hAnsi="Arial" w:cs="Arial"/>
        <w:sz w:val="16"/>
        <w:szCs w:val="16"/>
      </w:rPr>
      <w:t>2</w:t>
    </w:r>
    <w:r w:rsidR="004E69D0">
      <w:rPr>
        <w:rFonts w:ascii="Arial" w:hAnsi="Arial" w:cs="Arial"/>
        <w:sz w:val="16"/>
        <w:szCs w:val="16"/>
      </w:rPr>
      <w:t>7</w:t>
    </w:r>
    <w:r w:rsidR="00B37349">
      <w:rPr>
        <w:rFonts w:ascii="Arial" w:hAnsi="Arial" w:cs="Arial"/>
        <w:sz w:val="16"/>
        <w:szCs w:val="16"/>
      </w:rPr>
      <w:t>53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C7" w:rsidRDefault="007264C7" w:rsidP="00B425C7">
      <w:r>
        <w:separator/>
      </w:r>
    </w:p>
  </w:footnote>
  <w:footnote w:type="continuationSeparator" w:id="0">
    <w:p w:rsidR="007264C7" w:rsidRDefault="007264C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0FD7917"/>
    <w:multiLevelType w:val="hybridMultilevel"/>
    <w:tmpl w:val="9698E316"/>
    <w:lvl w:ilvl="0" w:tplc="726039CE">
      <w:start w:val="1"/>
      <w:numFmt w:val="bullet"/>
      <w:lvlText w:val="•"/>
      <w:lvlJc w:val="left"/>
      <w:pPr>
        <w:tabs>
          <w:tab w:val="num" w:pos="720"/>
        </w:tabs>
        <w:ind w:left="720" w:hanging="360"/>
      </w:pPr>
      <w:rPr>
        <w:rFonts w:ascii="Arial" w:hAnsi="Arial" w:hint="default"/>
      </w:rPr>
    </w:lvl>
    <w:lvl w:ilvl="1" w:tplc="2272D284">
      <w:start w:val="1"/>
      <w:numFmt w:val="bullet"/>
      <w:lvlText w:val="•"/>
      <w:lvlJc w:val="left"/>
      <w:pPr>
        <w:tabs>
          <w:tab w:val="num" w:pos="1440"/>
        </w:tabs>
        <w:ind w:left="1440" w:hanging="360"/>
      </w:pPr>
      <w:rPr>
        <w:rFonts w:ascii="Arial" w:hAnsi="Arial" w:hint="default"/>
      </w:rPr>
    </w:lvl>
    <w:lvl w:ilvl="2" w:tplc="B5563436" w:tentative="1">
      <w:start w:val="1"/>
      <w:numFmt w:val="bullet"/>
      <w:lvlText w:val="•"/>
      <w:lvlJc w:val="left"/>
      <w:pPr>
        <w:tabs>
          <w:tab w:val="num" w:pos="2160"/>
        </w:tabs>
        <w:ind w:left="2160" w:hanging="360"/>
      </w:pPr>
      <w:rPr>
        <w:rFonts w:ascii="Arial" w:hAnsi="Arial" w:hint="default"/>
      </w:rPr>
    </w:lvl>
    <w:lvl w:ilvl="3" w:tplc="6AC69A20" w:tentative="1">
      <w:start w:val="1"/>
      <w:numFmt w:val="bullet"/>
      <w:lvlText w:val="•"/>
      <w:lvlJc w:val="left"/>
      <w:pPr>
        <w:tabs>
          <w:tab w:val="num" w:pos="2880"/>
        </w:tabs>
        <w:ind w:left="2880" w:hanging="360"/>
      </w:pPr>
      <w:rPr>
        <w:rFonts w:ascii="Arial" w:hAnsi="Arial" w:hint="default"/>
      </w:rPr>
    </w:lvl>
    <w:lvl w:ilvl="4" w:tplc="6CB61FC2" w:tentative="1">
      <w:start w:val="1"/>
      <w:numFmt w:val="bullet"/>
      <w:lvlText w:val="•"/>
      <w:lvlJc w:val="left"/>
      <w:pPr>
        <w:tabs>
          <w:tab w:val="num" w:pos="3600"/>
        </w:tabs>
        <w:ind w:left="3600" w:hanging="360"/>
      </w:pPr>
      <w:rPr>
        <w:rFonts w:ascii="Arial" w:hAnsi="Arial" w:hint="default"/>
      </w:rPr>
    </w:lvl>
    <w:lvl w:ilvl="5" w:tplc="A9E42ACE" w:tentative="1">
      <w:start w:val="1"/>
      <w:numFmt w:val="bullet"/>
      <w:lvlText w:val="•"/>
      <w:lvlJc w:val="left"/>
      <w:pPr>
        <w:tabs>
          <w:tab w:val="num" w:pos="4320"/>
        </w:tabs>
        <w:ind w:left="4320" w:hanging="360"/>
      </w:pPr>
      <w:rPr>
        <w:rFonts w:ascii="Arial" w:hAnsi="Arial" w:hint="default"/>
      </w:rPr>
    </w:lvl>
    <w:lvl w:ilvl="6" w:tplc="ABD6D25A" w:tentative="1">
      <w:start w:val="1"/>
      <w:numFmt w:val="bullet"/>
      <w:lvlText w:val="•"/>
      <w:lvlJc w:val="left"/>
      <w:pPr>
        <w:tabs>
          <w:tab w:val="num" w:pos="5040"/>
        </w:tabs>
        <w:ind w:left="5040" w:hanging="360"/>
      </w:pPr>
      <w:rPr>
        <w:rFonts w:ascii="Arial" w:hAnsi="Arial" w:hint="default"/>
      </w:rPr>
    </w:lvl>
    <w:lvl w:ilvl="7" w:tplc="57303502" w:tentative="1">
      <w:start w:val="1"/>
      <w:numFmt w:val="bullet"/>
      <w:lvlText w:val="•"/>
      <w:lvlJc w:val="left"/>
      <w:pPr>
        <w:tabs>
          <w:tab w:val="num" w:pos="5760"/>
        </w:tabs>
        <w:ind w:left="5760" w:hanging="360"/>
      </w:pPr>
      <w:rPr>
        <w:rFonts w:ascii="Arial" w:hAnsi="Arial" w:hint="default"/>
      </w:rPr>
    </w:lvl>
    <w:lvl w:ilvl="8" w:tplc="04046914" w:tentative="1">
      <w:start w:val="1"/>
      <w:numFmt w:val="bullet"/>
      <w:lvlText w:val="•"/>
      <w:lvlJc w:val="left"/>
      <w:pPr>
        <w:tabs>
          <w:tab w:val="num" w:pos="6480"/>
        </w:tabs>
        <w:ind w:left="6480" w:hanging="360"/>
      </w:pPr>
      <w:rPr>
        <w:rFonts w:ascii="Arial" w:hAnsi="Arial" w:hint="default"/>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3F2213"/>
    <w:multiLevelType w:val="hybridMultilevel"/>
    <w:tmpl w:val="FE4076DA"/>
    <w:lvl w:ilvl="0" w:tplc="F5EC108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D83195"/>
    <w:multiLevelType w:val="hybridMultilevel"/>
    <w:tmpl w:val="CDF6CC6E"/>
    <w:lvl w:ilvl="0" w:tplc="3CC84946">
      <w:start w:val="1"/>
      <w:numFmt w:val="bullet"/>
      <w:lvlText w:val="•"/>
      <w:lvlJc w:val="left"/>
      <w:pPr>
        <w:tabs>
          <w:tab w:val="num" w:pos="720"/>
        </w:tabs>
        <w:ind w:left="720" w:hanging="360"/>
      </w:pPr>
      <w:rPr>
        <w:rFonts w:ascii="Arial" w:hAnsi="Arial" w:hint="default"/>
      </w:rPr>
    </w:lvl>
    <w:lvl w:ilvl="1" w:tplc="7534EB16" w:tentative="1">
      <w:start w:val="1"/>
      <w:numFmt w:val="bullet"/>
      <w:lvlText w:val="•"/>
      <w:lvlJc w:val="left"/>
      <w:pPr>
        <w:tabs>
          <w:tab w:val="num" w:pos="1440"/>
        </w:tabs>
        <w:ind w:left="1440" w:hanging="360"/>
      </w:pPr>
      <w:rPr>
        <w:rFonts w:ascii="Arial" w:hAnsi="Arial" w:hint="default"/>
      </w:rPr>
    </w:lvl>
    <w:lvl w:ilvl="2" w:tplc="6122C668" w:tentative="1">
      <w:start w:val="1"/>
      <w:numFmt w:val="bullet"/>
      <w:lvlText w:val="•"/>
      <w:lvlJc w:val="left"/>
      <w:pPr>
        <w:tabs>
          <w:tab w:val="num" w:pos="2160"/>
        </w:tabs>
        <w:ind w:left="2160" w:hanging="360"/>
      </w:pPr>
      <w:rPr>
        <w:rFonts w:ascii="Arial" w:hAnsi="Arial" w:hint="default"/>
      </w:rPr>
    </w:lvl>
    <w:lvl w:ilvl="3" w:tplc="15EA2F98" w:tentative="1">
      <w:start w:val="1"/>
      <w:numFmt w:val="bullet"/>
      <w:lvlText w:val="•"/>
      <w:lvlJc w:val="left"/>
      <w:pPr>
        <w:tabs>
          <w:tab w:val="num" w:pos="2880"/>
        </w:tabs>
        <w:ind w:left="2880" w:hanging="360"/>
      </w:pPr>
      <w:rPr>
        <w:rFonts w:ascii="Arial" w:hAnsi="Arial" w:hint="default"/>
      </w:rPr>
    </w:lvl>
    <w:lvl w:ilvl="4" w:tplc="68EA6FFA" w:tentative="1">
      <w:start w:val="1"/>
      <w:numFmt w:val="bullet"/>
      <w:lvlText w:val="•"/>
      <w:lvlJc w:val="left"/>
      <w:pPr>
        <w:tabs>
          <w:tab w:val="num" w:pos="3600"/>
        </w:tabs>
        <w:ind w:left="3600" w:hanging="360"/>
      </w:pPr>
      <w:rPr>
        <w:rFonts w:ascii="Arial" w:hAnsi="Arial" w:hint="default"/>
      </w:rPr>
    </w:lvl>
    <w:lvl w:ilvl="5" w:tplc="3B2203A4" w:tentative="1">
      <w:start w:val="1"/>
      <w:numFmt w:val="bullet"/>
      <w:lvlText w:val="•"/>
      <w:lvlJc w:val="left"/>
      <w:pPr>
        <w:tabs>
          <w:tab w:val="num" w:pos="4320"/>
        </w:tabs>
        <w:ind w:left="4320" w:hanging="360"/>
      </w:pPr>
      <w:rPr>
        <w:rFonts w:ascii="Arial" w:hAnsi="Arial" w:hint="default"/>
      </w:rPr>
    </w:lvl>
    <w:lvl w:ilvl="6" w:tplc="0DFA7940" w:tentative="1">
      <w:start w:val="1"/>
      <w:numFmt w:val="bullet"/>
      <w:lvlText w:val="•"/>
      <w:lvlJc w:val="left"/>
      <w:pPr>
        <w:tabs>
          <w:tab w:val="num" w:pos="5040"/>
        </w:tabs>
        <w:ind w:left="5040" w:hanging="360"/>
      </w:pPr>
      <w:rPr>
        <w:rFonts w:ascii="Arial" w:hAnsi="Arial" w:hint="default"/>
      </w:rPr>
    </w:lvl>
    <w:lvl w:ilvl="7" w:tplc="E756780C" w:tentative="1">
      <w:start w:val="1"/>
      <w:numFmt w:val="bullet"/>
      <w:lvlText w:val="•"/>
      <w:lvlJc w:val="left"/>
      <w:pPr>
        <w:tabs>
          <w:tab w:val="num" w:pos="5760"/>
        </w:tabs>
        <w:ind w:left="5760" w:hanging="360"/>
      </w:pPr>
      <w:rPr>
        <w:rFonts w:ascii="Arial" w:hAnsi="Arial" w:hint="default"/>
      </w:rPr>
    </w:lvl>
    <w:lvl w:ilvl="8" w:tplc="D6F63BDA" w:tentative="1">
      <w:start w:val="1"/>
      <w:numFmt w:val="bullet"/>
      <w:lvlText w:val="•"/>
      <w:lvlJc w:val="left"/>
      <w:pPr>
        <w:tabs>
          <w:tab w:val="num" w:pos="6480"/>
        </w:tabs>
        <w:ind w:left="6480" w:hanging="360"/>
      </w:pPr>
      <w:rPr>
        <w:rFonts w:ascii="Arial" w:hAnsi="Arial" w:hint="default"/>
      </w:rPr>
    </w:lvl>
  </w:abstractNum>
  <w:abstractNum w:abstractNumId="12">
    <w:nsid w:val="2FCF5EAE"/>
    <w:multiLevelType w:val="hybridMultilevel"/>
    <w:tmpl w:val="10504922"/>
    <w:lvl w:ilvl="0" w:tplc="1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4974E2E"/>
    <w:multiLevelType w:val="hybridMultilevel"/>
    <w:tmpl w:val="FF529310"/>
    <w:lvl w:ilvl="0" w:tplc="5484AD2A">
      <w:start w:val="1"/>
      <w:numFmt w:val="bullet"/>
      <w:lvlText w:val="•"/>
      <w:lvlJc w:val="left"/>
      <w:pPr>
        <w:tabs>
          <w:tab w:val="num" w:pos="720"/>
        </w:tabs>
        <w:ind w:left="720" w:hanging="360"/>
      </w:pPr>
      <w:rPr>
        <w:rFonts w:ascii="Arial" w:hAnsi="Arial" w:hint="default"/>
      </w:rPr>
    </w:lvl>
    <w:lvl w:ilvl="1" w:tplc="B06EDC52" w:tentative="1">
      <w:start w:val="1"/>
      <w:numFmt w:val="bullet"/>
      <w:lvlText w:val="•"/>
      <w:lvlJc w:val="left"/>
      <w:pPr>
        <w:tabs>
          <w:tab w:val="num" w:pos="1440"/>
        </w:tabs>
        <w:ind w:left="1440" w:hanging="360"/>
      </w:pPr>
      <w:rPr>
        <w:rFonts w:ascii="Arial" w:hAnsi="Arial" w:hint="default"/>
      </w:rPr>
    </w:lvl>
    <w:lvl w:ilvl="2" w:tplc="CCB029F6">
      <w:start w:val="1"/>
      <w:numFmt w:val="bullet"/>
      <w:lvlText w:val="•"/>
      <w:lvlJc w:val="left"/>
      <w:pPr>
        <w:tabs>
          <w:tab w:val="num" w:pos="2160"/>
        </w:tabs>
        <w:ind w:left="2160" w:hanging="360"/>
      </w:pPr>
      <w:rPr>
        <w:rFonts w:ascii="Arial" w:hAnsi="Arial" w:hint="default"/>
      </w:rPr>
    </w:lvl>
    <w:lvl w:ilvl="3" w:tplc="38685578" w:tentative="1">
      <w:start w:val="1"/>
      <w:numFmt w:val="bullet"/>
      <w:lvlText w:val="•"/>
      <w:lvlJc w:val="left"/>
      <w:pPr>
        <w:tabs>
          <w:tab w:val="num" w:pos="2880"/>
        </w:tabs>
        <w:ind w:left="2880" w:hanging="360"/>
      </w:pPr>
      <w:rPr>
        <w:rFonts w:ascii="Arial" w:hAnsi="Arial" w:hint="default"/>
      </w:rPr>
    </w:lvl>
    <w:lvl w:ilvl="4" w:tplc="654A5356" w:tentative="1">
      <w:start w:val="1"/>
      <w:numFmt w:val="bullet"/>
      <w:lvlText w:val="•"/>
      <w:lvlJc w:val="left"/>
      <w:pPr>
        <w:tabs>
          <w:tab w:val="num" w:pos="3600"/>
        </w:tabs>
        <w:ind w:left="3600" w:hanging="360"/>
      </w:pPr>
      <w:rPr>
        <w:rFonts w:ascii="Arial" w:hAnsi="Arial" w:hint="default"/>
      </w:rPr>
    </w:lvl>
    <w:lvl w:ilvl="5" w:tplc="5AD62196" w:tentative="1">
      <w:start w:val="1"/>
      <w:numFmt w:val="bullet"/>
      <w:lvlText w:val="•"/>
      <w:lvlJc w:val="left"/>
      <w:pPr>
        <w:tabs>
          <w:tab w:val="num" w:pos="4320"/>
        </w:tabs>
        <w:ind w:left="4320" w:hanging="360"/>
      </w:pPr>
      <w:rPr>
        <w:rFonts w:ascii="Arial" w:hAnsi="Arial" w:hint="default"/>
      </w:rPr>
    </w:lvl>
    <w:lvl w:ilvl="6" w:tplc="D376F546" w:tentative="1">
      <w:start w:val="1"/>
      <w:numFmt w:val="bullet"/>
      <w:lvlText w:val="•"/>
      <w:lvlJc w:val="left"/>
      <w:pPr>
        <w:tabs>
          <w:tab w:val="num" w:pos="5040"/>
        </w:tabs>
        <w:ind w:left="5040" w:hanging="360"/>
      </w:pPr>
      <w:rPr>
        <w:rFonts w:ascii="Arial" w:hAnsi="Arial" w:hint="default"/>
      </w:rPr>
    </w:lvl>
    <w:lvl w:ilvl="7" w:tplc="38741318" w:tentative="1">
      <w:start w:val="1"/>
      <w:numFmt w:val="bullet"/>
      <w:lvlText w:val="•"/>
      <w:lvlJc w:val="left"/>
      <w:pPr>
        <w:tabs>
          <w:tab w:val="num" w:pos="5760"/>
        </w:tabs>
        <w:ind w:left="5760" w:hanging="360"/>
      </w:pPr>
      <w:rPr>
        <w:rFonts w:ascii="Arial" w:hAnsi="Arial" w:hint="default"/>
      </w:rPr>
    </w:lvl>
    <w:lvl w:ilvl="8" w:tplc="F2FEA8F0" w:tentative="1">
      <w:start w:val="1"/>
      <w:numFmt w:val="bullet"/>
      <w:lvlText w:val="•"/>
      <w:lvlJc w:val="left"/>
      <w:pPr>
        <w:tabs>
          <w:tab w:val="num" w:pos="6480"/>
        </w:tabs>
        <w:ind w:left="6480" w:hanging="360"/>
      </w:pPr>
      <w:rPr>
        <w:rFonts w:ascii="Arial" w:hAnsi="Arial" w:hint="default"/>
      </w:rPr>
    </w:lvl>
  </w:abstractNum>
  <w:abstractNum w:abstractNumId="14">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3C63682E"/>
    <w:multiLevelType w:val="hybridMultilevel"/>
    <w:tmpl w:val="8CBEDB9C"/>
    <w:lvl w:ilvl="0" w:tplc="8AFA2CDE">
      <w:start w:val="1"/>
      <w:numFmt w:val="bullet"/>
      <w:lvlText w:val="•"/>
      <w:lvlJc w:val="left"/>
      <w:pPr>
        <w:tabs>
          <w:tab w:val="num" w:pos="720"/>
        </w:tabs>
        <w:ind w:left="720" w:hanging="360"/>
      </w:pPr>
      <w:rPr>
        <w:rFonts w:ascii="Arial" w:hAnsi="Arial" w:hint="default"/>
      </w:rPr>
    </w:lvl>
    <w:lvl w:ilvl="1" w:tplc="8884BBEE">
      <w:numFmt w:val="bullet"/>
      <w:lvlText w:val="–"/>
      <w:lvlJc w:val="left"/>
      <w:pPr>
        <w:ind w:left="1440" w:hanging="360"/>
      </w:pPr>
      <w:rPr>
        <w:rFonts w:ascii="Arial" w:hAnsi="Arial" w:hint="default"/>
      </w:rPr>
    </w:lvl>
    <w:lvl w:ilvl="2" w:tplc="3A66CFFA" w:tentative="1">
      <w:start w:val="1"/>
      <w:numFmt w:val="bullet"/>
      <w:lvlText w:val="•"/>
      <w:lvlJc w:val="left"/>
      <w:pPr>
        <w:tabs>
          <w:tab w:val="num" w:pos="2160"/>
        </w:tabs>
        <w:ind w:left="2160" w:hanging="360"/>
      </w:pPr>
      <w:rPr>
        <w:rFonts w:ascii="Arial" w:hAnsi="Arial" w:hint="default"/>
      </w:rPr>
    </w:lvl>
    <w:lvl w:ilvl="3" w:tplc="59CC4E86" w:tentative="1">
      <w:start w:val="1"/>
      <w:numFmt w:val="bullet"/>
      <w:lvlText w:val="•"/>
      <w:lvlJc w:val="left"/>
      <w:pPr>
        <w:tabs>
          <w:tab w:val="num" w:pos="2880"/>
        </w:tabs>
        <w:ind w:left="2880" w:hanging="360"/>
      </w:pPr>
      <w:rPr>
        <w:rFonts w:ascii="Arial" w:hAnsi="Arial" w:hint="default"/>
      </w:rPr>
    </w:lvl>
    <w:lvl w:ilvl="4" w:tplc="F54872C2" w:tentative="1">
      <w:start w:val="1"/>
      <w:numFmt w:val="bullet"/>
      <w:lvlText w:val="•"/>
      <w:lvlJc w:val="left"/>
      <w:pPr>
        <w:tabs>
          <w:tab w:val="num" w:pos="3600"/>
        </w:tabs>
        <w:ind w:left="3600" w:hanging="360"/>
      </w:pPr>
      <w:rPr>
        <w:rFonts w:ascii="Arial" w:hAnsi="Arial" w:hint="default"/>
      </w:rPr>
    </w:lvl>
    <w:lvl w:ilvl="5" w:tplc="DE3E8FCA" w:tentative="1">
      <w:start w:val="1"/>
      <w:numFmt w:val="bullet"/>
      <w:lvlText w:val="•"/>
      <w:lvlJc w:val="left"/>
      <w:pPr>
        <w:tabs>
          <w:tab w:val="num" w:pos="4320"/>
        </w:tabs>
        <w:ind w:left="4320" w:hanging="360"/>
      </w:pPr>
      <w:rPr>
        <w:rFonts w:ascii="Arial" w:hAnsi="Arial" w:hint="default"/>
      </w:rPr>
    </w:lvl>
    <w:lvl w:ilvl="6" w:tplc="C76AB922" w:tentative="1">
      <w:start w:val="1"/>
      <w:numFmt w:val="bullet"/>
      <w:lvlText w:val="•"/>
      <w:lvlJc w:val="left"/>
      <w:pPr>
        <w:tabs>
          <w:tab w:val="num" w:pos="5040"/>
        </w:tabs>
        <w:ind w:left="5040" w:hanging="360"/>
      </w:pPr>
      <w:rPr>
        <w:rFonts w:ascii="Arial" w:hAnsi="Arial" w:hint="default"/>
      </w:rPr>
    </w:lvl>
    <w:lvl w:ilvl="7" w:tplc="04A81928" w:tentative="1">
      <w:start w:val="1"/>
      <w:numFmt w:val="bullet"/>
      <w:lvlText w:val="•"/>
      <w:lvlJc w:val="left"/>
      <w:pPr>
        <w:tabs>
          <w:tab w:val="num" w:pos="5760"/>
        </w:tabs>
        <w:ind w:left="5760" w:hanging="360"/>
      </w:pPr>
      <w:rPr>
        <w:rFonts w:ascii="Arial" w:hAnsi="Arial" w:hint="default"/>
      </w:rPr>
    </w:lvl>
    <w:lvl w:ilvl="8" w:tplc="65CA76BE" w:tentative="1">
      <w:start w:val="1"/>
      <w:numFmt w:val="bullet"/>
      <w:lvlText w:val="•"/>
      <w:lvlJc w:val="left"/>
      <w:pPr>
        <w:tabs>
          <w:tab w:val="num" w:pos="6480"/>
        </w:tabs>
        <w:ind w:left="6480" w:hanging="360"/>
      </w:pPr>
      <w:rPr>
        <w:rFonts w:ascii="Arial" w:hAnsi="Arial" w:hint="default"/>
      </w:rPr>
    </w:lvl>
  </w:abstractNum>
  <w:abstractNum w:abstractNumId="17">
    <w:nsid w:val="42F62155"/>
    <w:multiLevelType w:val="hybridMultilevel"/>
    <w:tmpl w:val="056C6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66F6408"/>
    <w:multiLevelType w:val="hybridMultilevel"/>
    <w:tmpl w:val="A20416A8"/>
    <w:lvl w:ilvl="0" w:tplc="A1C0D97A">
      <w:start w:val="1"/>
      <w:numFmt w:val="lowerLetter"/>
      <w:lvlText w:val="(%1)"/>
      <w:lvlJc w:val="left"/>
      <w:pPr>
        <w:ind w:left="900" w:hanging="360"/>
      </w:pPr>
      <w:rPr>
        <w:rFonts w:hint="default"/>
        <w:b w:val="0"/>
        <w:bCs w:val="0"/>
        <w:lang w:val="en-GB"/>
      </w:rPr>
    </w:lvl>
    <w:lvl w:ilvl="1" w:tplc="55C6F62A">
      <w:start w:val="1"/>
      <w:numFmt w:val="lowerLetter"/>
      <w:lvlText w:val="(%2)"/>
      <w:lvlJc w:val="left"/>
      <w:pPr>
        <w:ind w:left="1644" w:hanging="384"/>
      </w:pPr>
      <w:rPr>
        <w:rFonts w:hint="default"/>
      </w:r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9">
    <w:nsid w:val="48CD289E"/>
    <w:multiLevelType w:val="hybridMultilevel"/>
    <w:tmpl w:val="A63AAF7C"/>
    <w:lvl w:ilvl="0" w:tplc="AF8AC1F8">
      <w:start w:val="1"/>
      <w:numFmt w:val="lowerLetter"/>
      <w:lvlText w:val="(%1)"/>
      <w:lvlJc w:val="left"/>
      <w:pPr>
        <w:ind w:left="753" w:hanging="360"/>
      </w:pPr>
      <w:rPr>
        <w:rFonts w:hint="default"/>
        <w:b w:val="0"/>
        <w:bCs/>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0">
    <w:nsid w:val="4CCE3E12"/>
    <w:multiLevelType w:val="hybridMultilevel"/>
    <w:tmpl w:val="6CE61320"/>
    <w:lvl w:ilvl="0" w:tplc="FCE2008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1532707"/>
    <w:multiLevelType w:val="hybridMultilevel"/>
    <w:tmpl w:val="FD7640C0"/>
    <w:lvl w:ilvl="0" w:tplc="20000001">
      <w:start w:val="1"/>
      <w:numFmt w:val="bullet"/>
      <w:lvlText w:val=""/>
      <w:lvlJc w:val="left"/>
      <w:pPr>
        <w:ind w:left="1854" w:hanging="360"/>
      </w:pPr>
      <w:rPr>
        <w:rFonts w:ascii="Symbol" w:hAnsi="Symbol"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7023148"/>
    <w:multiLevelType w:val="hybridMultilevel"/>
    <w:tmpl w:val="918E8A6E"/>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8B43565"/>
    <w:multiLevelType w:val="hybridMultilevel"/>
    <w:tmpl w:val="36A85AE0"/>
    <w:lvl w:ilvl="0" w:tplc="9BCE9B0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59D173DF"/>
    <w:multiLevelType w:val="hybridMultilevel"/>
    <w:tmpl w:val="311C5F94"/>
    <w:lvl w:ilvl="0" w:tplc="2000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30">
    <w:nsid w:val="6E3C3676"/>
    <w:multiLevelType w:val="hybridMultilevel"/>
    <w:tmpl w:val="088C4A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FEE40A0"/>
    <w:multiLevelType w:val="hybridMultilevel"/>
    <w:tmpl w:val="DBE0B69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3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3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36">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
  </w:num>
  <w:num w:numId="3">
    <w:abstractNumId w:val="5"/>
  </w:num>
  <w:num w:numId="4">
    <w:abstractNumId w:val="3"/>
  </w:num>
  <w:num w:numId="5">
    <w:abstractNumId w:val="15"/>
  </w:num>
  <w:num w:numId="6">
    <w:abstractNumId w:val="32"/>
  </w:num>
  <w:num w:numId="7">
    <w:abstractNumId w:val="21"/>
  </w:num>
  <w:num w:numId="8">
    <w:abstractNumId w:val="35"/>
  </w:num>
  <w:num w:numId="9">
    <w:abstractNumId w:val="8"/>
  </w:num>
  <w:num w:numId="10">
    <w:abstractNumId w:val="24"/>
  </w:num>
  <w:num w:numId="11">
    <w:abstractNumId w:val="29"/>
  </w:num>
  <w:num w:numId="12">
    <w:abstractNumId w:val="4"/>
  </w:num>
  <w:num w:numId="13">
    <w:abstractNumId w:val="34"/>
  </w:num>
  <w:num w:numId="14">
    <w:abstractNumId w:val="9"/>
  </w:num>
  <w:num w:numId="15">
    <w:abstractNumId w:val="33"/>
  </w:num>
  <w:num w:numId="16">
    <w:abstractNumId w:val="10"/>
  </w:num>
  <w:num w:numId="17">
    <w:abstractNumId w:val="36"/>
  </w:num>
  <w:num w:numId="18">
    <w:abstractNumId w:val="0"/>
  </w:num>
  <w:num w:numId="19">
    <w:abstractNumId w:val="23"/>
  </w:num>
  <w:num w:numId="20">
    <w:abstractNumId w:val="26"/>
  </w:num>
  <w:num w:numId="21">
    <w:abstractNumId w:val="14"/>
  </w:num>
  <w:num w:numId="22">
    <w:abstractNumId w:val="7"/>
  </w:num>
  <w:num w:numId="23">
    <w:abstractNumId w:val="19"/>
  </w:num>
  <w:num w:numId="24">
    <w:abstractNumId w:val="13"/>
  </w:num>
  <w:num w:numId="25">
    <w:abstractNumId w:val="1"/>
  </w:num>
  <w:num w:numId="26">
    <w:abstractNumId w:val="16"/>
  </w:num>
  <w:num w:numId="27">
    <w:abstractNumId w:val="31"/>
  </w:num>
  <w:num w:numId="28">
    <w:abstractNumId w:val="27"/>
  </w:num>
  <w:num w:numId="29">
    <w:abstractNumId w:val="11"/>
  </w:num>
  <w:num w:numId="30">
    <w:abstractNumId w:val="25"/>
  </w:num>
  <w:num w:numId="31">
    <w:abstractNumId w:val="12"/>
  </w:num>
  <w:num w:numId="32">
    <w:abstractNumId w:val="28"/>
  </w:num>
  <w:num w:numId="33">
    <w:abstractNumId w:val="20"/>
  </w:num>
  <w:num w:numId="34">
    <w:abstractNumId w:val="18"/>
  </w:num>
  <w:num w:numId="35">
    <w:abstractNumId w:val="17"/>
  </w:num>
  <w:num w:numId="36">
    <w:abstractNumId w:val="6"/>
  </w:num>
  <w:num w:numId="37">
    <w:abstractNumId w:val="2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6BD3"/>
    <w:rsid w:val="00030DFB"/>
    <w:rsid w:val="00032DED"/>
    <w:rsid w:val="00034387"/>
    <w:rsid w:val="00036748"/>
    <w:rsid w:val="0004074C"/>
    <w:rsid w:val="00042171"/>
    <w:rsid w:val="000446F4"/>
    <w:rsid w:val="00045AAF"/>
    <w:rsid w:val="00046C25"/>
    <w:rsid w:val="00053F99"/>
    <w:rsid w:val="00066195"/>
    <w:rsid w:val="00074524"/>
    <w:rsid w:val="00080B93"/>
    <w:rsid w:val="000831BB"/>
    <w:rsid w:val="000C0BAE"/>
    <w:rsid w:val="000C5E0E"/>
    <w:rsid w:val="000D4C42"/>
    <w:rsid w:val="000D59F6"/>
    <w:rsid w:val="000E6B42"/>
    <w:rsid w:val="000F7D67"/>
    <w:rsid w:val="001001A2"/>
    <w:rsid w:val="00113A76"/>
    <w:rsid w:val="00115128"/>
    <w:rsid w:val="00115A00"/>
    <w:rsid w:val="00122733"/>
    <w:rsid w:val="00122EE2"/>
    <w:rsid w:val="0013458D"/>
    <w:rsid w:val="001502EB"/>
    <w:rsid w:val="0015305A"/>
    <w:rsid w:val="00154DB8"/>
    <w:rsid w:val="00157F05"/>
    <w:rsid w:val="00163C13"/>
    <w:rsid w:val="0016543A"/>
    <w:rsid w:val="00170409"/>
    <w:rsid w:val="00170B2F"/>
    <w:rsid w:val="00174C8D"/>
    <w:rsid w:val="0017675E"/>
    <w:rsid w:val="001776D8"/>
    <w:rsid w:val="001812CC"/>
    <w:rsid w:val="00181796"/>
    <w:rsid w:val="001823A8"/>
    <w:rsid w:val="00183C80"/>
    <w:rsid w:val="001848B8"/>
    <w:rsid w:val="00186CF9"/>
    <w:rsid w:val="001907A1"/>
    <w:rsid w:val="00191C33"/>
    <w:rsid w:val="00193BE3"/>
    <w:rsid w:val="001A41F1"/>
    <w:rsid w:val="001B131A"/>
    <w:rsid w:val="001B35A3"/>
    <w:rsid w:val="001B7A43"/>
    <w:rsid w:val="001D558B"/>
    <w:rsid w:val="001E51B8"/>
    <w:rsid w:val="001F0F38"/>
    <w:rsid w:val="001F5603"/>
    <w:rsid w:val="001F5C4A"/>
    <w:rsid w:val="001F7B1E"/>
    <w:rsid w:val="00212365"/>
    <w:rsid w:val="002150F3"/>
    <w:rsid w:val="002165A5"/>
    <w:rsid w:val="00220C7A"/>
    <w:rsid w:val="00230C75"/>
    <w:rsid w:val="00240A0F"/>
    <w:rsid w:val="002411EA"/>
    <w:rsid w:val="002415D5"/>
    <w:rsid w:val="0025254A"/>
    <w:rsid w:val="00252C1E"/>
    <w:rsid w:val="002671F9"/>
    <w:rsid w:val="0027716B"/>
    <w:rsid w:val="002812CF"/>
    <w:rsid w:val="00293F7A"/>
    <w:rsid w:val="002A1DAE"/>
    <w:rsid w:val="002A33D7"/>
    <w:rsid w:val="002A376F"/>
    <w:rsid w:val="002A49D6"/>
    <w:rsid w:val="002D007F"/>
    <w:rsid w:val="002D1360"/>
    <w:rsid w:val="002D1FE5"/>
    <w:rsid w:val="002E0E61"/>
    <w:rsid w:val="002E28C0"/>
    <w:rsid w:val="002E6E62"/>
    <w:rsid w:val="002F5876"/>
    <w:rsid w:val="003076B5"/>
    <w:rsid w:val="00320428"/>
    <w:rsid w:val="00321013"/>
    <w:rsid w:val="00324BFD"/>
    <w:rsid w:val="003269DF"/>
    <w:rsid w:val="00327591"/>
    <w:rsid w:val="00331137"/>
    <w:rsid w:val="00336EC3"/>
    <w:rsid w:val="00345193"/>
    <w:rsid w:val="00345F66"/>
    <w:rsid w:val="00361A62"/>
    <w:rsid w:val="00363FB5"/>
    <w:rsid w:val="00380022"/>
    <w:rsid w:val="003810FA"/>
    <w:rsid w:val="00382868"/>
    <w:rsid w:val="00387042"/>
    <w:rsid w:val="00396F00"/>
    <w:rsid w:val="003A2BBE"/>
    <w:rsid w:val="003A6E94"/>
    <w:rsid w:val="003B4A32"/>
    <w:rsid w:val="003C0532"/>
    <w:rsid w:val="003C072E"/>
    <w:rsid w:val="003C78B7"/>
    <w:rsid w:val="003D06A6"/>
    <w:rsid w:val="003D0A7E"/>
    <w:rsid w:val="003D15D2"/>
    <w:rsid w:val="003D3F52"/>
    <w:rsid w:val="003D5644"/>
    <w:rsid w:val="003D5BF1"/>
    <w:rsid w:val="003E5EB2"/>
    <w:rsid w:val="003E5FAE"/>
    <w:rsid w:val="003F0E23"/>
    <w:rsid w:val="00404421"/>
    <w:rsid w:val="00423CB6"/>
    <w:rsid w:val="00426F76"/>
    <w:rsid w:val="00434408"/>
    <w:rsid w:val="00441A82"/>
    <w:rsid w:val="00447E16"/>
    <w:rsid w:val="00450E3D"/>
    <w:rsid w:val="00456715"/>
    <w:rsid w:val="004626E0"/>
    <w:rsid w:val="00462BF8"/>
    <w:rsid w:val="00466EAD"/>
    <w:rsid w:val="00472669"/>
    <w:rsid w:val="00474C67"/>
    <w:rsid w:val="00481D62"/>
    <w:rsid w:val="00496665"/>
    <w:rsid w:val="00497D07"/>
    <w:rsid w:val="004C103B"/>
    <w:rsid w:val="004C37CC"/>
    <w:rsid w:val="004C7D44"/>
    <w:rsid w:val="004D17DB"/>
    <w:rsid w:val="004D4B20"/>
    <w:rsid w:val="004E69D0"/>
    <w:rsid w:val="004F49A4"/>
    <w:rsid w:val="004F737C"/>
    <w:rsid w:val="004F76A3"/>
    <w:rsid w:val="005040B1"/>
    <w:rsid w:val="0051142D"/>
    <w:rsid w:val="0052145A"/>
    <w:rsid w:val="00521AE7"/>
    <w:rsid w:val="005233A0"/>
    <w:rsid w:val="005256FF"/>
    <w:rsid w:val="005372AE"/>
    <w:rsid w:val="00540970"/>
    <w:rsid w:val="0054140E"/>
    <w:rsid w:val="00543C98"/>
    <w:rsid w:val="00543F1D"/>
    <w:rsid w:val="00546361"/>
    <w:rsid w:val="00562243"/>
    <w:rsid w:val="0056431D"/>
    <w:rsid w:val="00572F73"/>
    <w:rsid w:val="00577F75"/>
    <w:rsid w:val="00582455"/>
    <w:rsid w:val="00590C4B"/>
    <w:rsid w:val="00592D94"/>
    <w:rsid w:val="00596248"/>
    <w:rsid w:val="00596954"/>
    <w:rsid w:val="005A1507"/>
    <w:rsid w:val="005B2BBC"/>
    <w:rsid w:val="005C36E2"/>
    <w:rsid w:val="005C538B"/>
    <w:rsid w:val="005C5C98"/>
    <w:rsid w:val="005D1720"/>
    <w:rsid w:val="005D2DE2"/>
    <w:rsid w:val="005E110E"/>
    <w:rsid w:val="005E1959"/>
    <w:rsid w:val="005F0147"/>
    <w:rsid w:val="00601E6E"/>
    <w:rsid w:val="00602DEC"/>
    <w:rsid w:val="006039D7"/>
    <w:rsid w:val="00613EC6"/>
    <w:rsid w:val="0061417F"/>
    <w:rsid w:val="00615D49"/>
    <w:rsid w:val="00617BE4"/>
    <w:rsid w:val="00620D7D"/>
    <w:rsid w:val="00623A59"/>
    <w:rsid w:val="00625A78"/>
    <w:rsid w:val="00632230"/>
    <w:rsid w:val="006329F7"/>
    <w:rsid w:val="0064231A"/>
    <w:rsid w:val="00643E84"/>
    <w:rsid w:val="00651E08"/>
    <w:rsid w:val="00654995"/>
    <w:rsid w:val="00655ACE"/>
    <w:rsid w:val="00660B42"/>
    <w:rsid w:val="00663F2F"/>
    <w:rsid w:val="00682921"/>
    <w:rsid w:val="00692E8A"/>
    <w:rsid w:val="006930CF"/>
    <w:rsid w:val="006B2E42"/>
    <w:rsid w:val="006B6430"/>
    <w:rsid w:val="006B6D6B"/>
    <w:rsid w:val="006C04E8"/>
    <w:rsid w:val="006C6246"/>
    <w:rsid w:val="006D12FA"/>
    <w:rsid w:val="006D2BE4"/>
    <w:rsid w:val="006D467A"/>
    <w:rsid w:val="006D51E2"/>
    <w:rsid w:val="006E1511"/>
    <w:rsid w:val="006E5263"/>
    <w:rsid w:val="006E63DA"/>
    <w:rsid w:val="006F2C6E"/>
    <w:rsid w:val="006F52FF"/>
    <w:rsid w:val="0070388C"/>
    <w:rsid w:val="00705119"/>
    <w:rsid w:val="0071106A"/>
    <w:rsid w:val="00714546"/>
    <w:rsid w:val="0072246A"/>
    <w:rsid w:val="007245BB"/>
    <w:rsid w:val="007264C7"/>
    <w:rsid w:val="00730FF0"/>
    <w:rsid w:val="0073119E"/>
    <w:rsid w:val="00733C52"/>
    <w:rsid w:val="00735557"/>
    <w:rsid w:val="00740D6E"/>
    <w:rsid w:val="00751456"/>
    <w:rsid w:val="0075396C"/>
    <w:rsid w:val="007542EA"/>
    <w:rsid w:val="007736B5"/>
    <w:rsid w:val="00791BF3"/>
    <w:rsid w:val="00796199"/>
    <w:rsid w:val="00797BC3"/>
    <w:rsid w:val="007A6BF1"/>
    <w:rsid w:val="007B5F00"/>
    <w:rsid w:val="007C3899"/>
    <w:rsid w:val="007D0F67"/>
    <w:rsid w:val="007D3043"/>
    <w:rsid w:val="007D41B5"/>
    <w:rsid w:val="007E12DD"/>
    <w:rsid w:val="007E49F2"/>
    <w:rsid w:val="007F20BA"/>
    <w:rsid w:val="007F2D2D"/>
    <w:rsid w:val="007F3A49"/>
    <w:rsid w:val="00800190"/>
    <w:rsid w:val="00810A34"/>
    <w:rsid w:val="008113F4"/>
    <w:rsid w:val="00811C25"/>
    <w:rsid w:val="00814E66"/>
    <w:rsid w:val="008179CA"/>
    <w:rsid w:val="00827C48"/>
    <w:rsid w:val="00831CF8"/>
    <w:rsid w:val="00831D27"/>
    <w:rsid w:val="00835C12"/>
    <w:rsid w:val="00843FAB"/>
    <w:rsid w:val="0085199A"/>
    <w:rsid w:val="00853A3E"/>
    <w:rsid w:val="0086147D"/>
    <w:rsid w:val="00864BA4"/>
    <w:rsid w:val="00870FDE"/>
    <w:rsid w:val="008732AD"/>
    <w:rsid w:val="008738AA"/>
    <w:rsid w:val="008740F6"/>
    <w:rsid w:val="008A5684"/>
    <w:rsid w:val="008B1363"/>
    <w:rsid w:val="008B1FA4"/>
    <w:rsid w:val="008B2C23"/>
    <w:rsid w:val="008B3F7D"/>
    <w:rsid w:val="008B7E0B"/>
    <w:rsid w:val="008C5C6B"/>
    <w:rsid w:val="008D06B0"/>
    <w:rsid w:val="008D2471"/>
    <w:rsid w:val="008D2590"/>
    <w:rsid w:val="008D7EBE"/>
    <w:rsid w:val="008E3EF2"/>
    <w:rsid w:val="008F6257"/>
    <w:rsid w:val="00901568"/>
    <w:rsid w:val="0090157C"/>
    <w:rsid w:val="009031A0"/>
    <w:rsid w:val="009058AD"/>
    <w:rsid w:val="0091082D"/>
    <w:rsid w:val="0091505B"/>
    <w:rsid w:val="00915C3A"/>
    <w:rsid w:val="00927005"/>
    <w:rsid w:val="00962677"/>
    <w:rsid w:val="00963A60"/>
    <w:rsid w:val="0096781F"/>
    <w:rsid w:val="009678A0"/>
    <w:rsid w:val="00970119"/>
    <w:rsid w:val="0097260B"/>
    <w:rsid w:val="00981BAD"/>
    <w:rsid w:val="00983286"/>
    <w:rsid w:val="00990959"/>
    <w:rsid w:val="00992435"/>
    <w:rsid w:val="00992AAB"/>
    <w:rsid w:val="009A0B81"/>
    <w:rsid w:val="009A16B4"/>
    <w:rsid w:val="009A3590"/>
    <w:rsid w:val="009A5088"/>
    <w:rsid w:val="009B2AB0"/>
    <w:rsid w:val="009C205F"/>
    <w:rsid w:val="009C322F"/>
    <w:rsid w:val="009C4EEA"/>
    <w:rsid w:val="009D11D6"/>
    <w:rsid w:val="009D42F1"/>
    <w:rsid w:val="009D5D08"/>
    <w:rsid w:val="009E03DB"/>
    <w:rsid w:val="009E2324"/>
    <w:rsid w:val="009E358F"/>
    <w:rsid w:val="009E61D3"/>
    <w:rsid w:val="009E7073"/>
    <w:rsid w:val="009F135B"/>
    <w:rsid w:val="009F465B"/>
    <w:rsid w:val="00A01F17"/>
    <w:rsid w:val="00A02FCD"/>
    <w:rsid w:val="00A032A2"/>
    <w:rsid w:val="00A03B16"/>
    <w:rsid w:val="00A070C8"/>
    <w:rsid w:val="00A15780"/>
    <w:rsid w:val="00A15F5A"/>
    <w:rsid w:val="00A20692"/>
    <w:rsid w:val="00A2416C"/>
    <w:rsid w:val="00A32C57"/>
    <w:rsid w:val="00A36581"/>
    <w:rsid w:val="00A3690A"/>
    <w:rsid w:val="00A45511"/>
    <w:rsid w:val="00A461E7"/>
    <w:rsid w:val="00A53BA2"/>
    <w:rsid w:val="00A5476E"/>
    <w:rsid w:val="00A70A7E"/>
    <w:rsid w:val="00A727AC"/>
    <w:rsid w:val="00A73ED2"/>
    <w:rsid w:val="00A74451"/>
    <w:rsid w:val="00A75EB5"/>
    <w:rsid w:val="00A81705"/>
    <w:rsid w:val="00A8211F"/>
    <w:rsid w:val="00A919C4"/>
    <w:rsid w:val="00A91DBE"/>
    <w:rsid w:val="00A9651F"/>
    <w:rsid w:val="00A97256"/>
    <w:rsid w:val="00AA319F"/>
    <w:rsid w:val="00AA5921"/>
    <w:rsid w:val="00AB3093"/>
    <w:rsid w:val="00AB4801"/>
    <w:rsid w:val="00AB4B29"/>
    <w:rsid w:val="00AB6BE7"/>
    <w:rsid w:val="00AC5FBC"/>
    <w:rsid w:val="00AC7FA4"/>
    <w:rsid w:val="00AD0A5A"/>
    <w:rsid w:val="00AD68DA"/>
    <w:rsid w:val="00AE4F3B"/>
    <w:rsid w:val="00AE5FB2"/>
    <w:rsid w:val="00AF0746"/>
    <w:rsid w:val="00B10033"/>
    <w:rsid w:val="00B10FEE"/>
    <w:rsid w:val="00B11ECD"/>
    <w:rsid w:val="00B21B5B"/>
    <w:rsid w:val="00B24AAE"/>
    <w:rsid w:val="00B30B1F"/>
    <w:rsid w:val="00B31C62"/>
    <w:rsid w:val="00B37349"/>
    <w:rsid w:val="00B425C7"/>
    <w:rsid w:val="00B45EDD"/>
    <w:rsid w:val="00B52304"/>
    <w:rsid w:val="00B558FF"/>
    <w:rsid w:val="00B61DEA"/>
    <w:rsid w:val="00B75B50"/>
    <w:rsid w:val="00B80014"/>
    <w:rsid w:val="00B83D2C"/>
    <w:rsid w:val="00B84896"/>
    <w:rsid w:val="00B84ACE"/>
    <w:rsid w:val="00B85760"/>
    <w:rsid w:val="00B93867"/>
    <w:rsid w:val="00BA1193"/>
    <w:rsid w:val="00BA3CEF"/>
    <w:rsid w:val="00BA60C5"/>
    <w:rsid w:val="00BA7441"/>
    <w:rsid w:val="00BC4EBC"/>
    <w:rsid w:val="00BE4F5E"/>
    <w:rsid w:val="00BE50FF"/>
    <w:rsid w:val="00BF4CCF"/>
    <w:rsid w:val="00C10852"/>
    <w:rsid w:val="00C10D1D"/>
    <w:rsid w:val="00C2448D"/>
    <w:rsid w:val="00C36A1F"/>
    <w:rsid w:val="00C45B63"/>
    <w:rsid w:val="00C6195D"/>
    <w:rsid w:val="00C629AB"/>
    <w:rsid w:val="00C62F78"/>
    <w:rsid w:val="00C645F9"/>
    <w:rsid w:val="00C657F7"/>
    <w:rsid w:val="00C66E23"/>
    <w:rsid w:val="00C71DBB"/>
    <w:rsid w:val="00C73E91"/>
    <w:rsid w:val="00C751C9"/>
    <w:rsid w:val="00C77EEE"/>
    <w:rsid w:val="00C83068"/>
    <w:rsid w:val="00C84A70"/>
    <w:rsid w:val="00C85AC0"/>
    <w:rsid w:val="00C91683"/>
    <w:rsid w:val="00C92FD5"/>
    <w:rsid w:val="00CA717F"/>
    <w:rsid w:val="00CB23A0"/>
    <w:rsid w:val="00CB48F6"/>
    <w:rsid w:val="00CC485E"/>
    <w:rsid w:val="00CC73DC"/>
    <w:rsid w:val="00CD1540"/>
    <w:rsid w:val="00CD3258"/>
    <w:rsid w:val="00CE397E"/>
    <w:rsid w:val="00D03FF3"/>
    <w:rsid w:val="00D04890"/>
    <w:rsid w:val="00D156FA"/>
    <w:rsid w:val="00D176EC"/>
    <w:rsid w:val="00D17AA7"/>
    <w:rsid w:val="00D308DF"/>
    <w:rsid w:val="00D4312A"/>
    <w:rsid w:val="00D4451E"/>
    <w:rsid w:val="00D45E21"/>
    <w:rsid w:val="00D4621C"/>
    <w:rsid w:val="00D52276"/>
    <w:rsid w:val="00D54604"/>
    <w:rsid w:val="00D561BB"/>
    <w:rsid w:val="00D7018D"/>
    <w:rsid w:val="00D76374"/>
    <w:rsid w:val="00D76864"/>
    <w:rsid w:val="00D82EF1"/>
    <w:rsid w:val="00D832BB"/>
    <w:rsid w:val="00D86238"/>
    <w:rsid w:val="00D86FA6"/>
    <w:rsid w:val="00D879BA"/>
    <w:rsid w:val="00D9521B"/>
    <w:rsid w:val="00DA0702"/>
    <w:rsid w:val="00DA34DA"/>
    <w:rsid w:val="00DB6146"/>
    <w:rsid w:val="00DC00F3"/>
    <w:rsid w:val="00DC1C19"/>
    <w:rsid w:val="00DC4C92"/>
    <w:rsid w:val="00DC5111"/>
    <w:rsid w:val="00DD088B"/>
    <w:rsid w:val="00DE5A13"/>
    <w:rsid w:val="00DF24E8"/>
    <w:rsid w:val="00DF44C4"/>
    <w:rsid w:val="00DF769D"/>
    <w:rsid w:val="00E01100"/>
    <w:rsid w:val="00E01B91"/>
    <w:rsid w:val="00E02119"/>
    <w:rsid w:val="00E11C5F"/>
    <w:rsid w:val="00E20AFF"/>
    <w:rsid w:val="00E22831"/>
    <w:rsid w:val="00E27D04"/>
    <w:rsid w:val="00E34BD8"/>
    <w:rsid w:val="00E41F7A"/>
    <w:rsid w:val="00E44929"/>
    <w:rsid w:val="00E510DA"/>
    <w:rsid w:val="00E6082E"/>
    <w:rsid w:val="00E67003"/>
    <w:rsid w:val="00E6754E"/>
    <w:rsid w:val="00E75EA1"/>
    <w:rsid w:val="00E80568"/>
    <w:rsid w:val="00E91E51"/>
    <w:rsid w:val="00E928E5"/>
    <w:rsid w:val="00EA562C"/>
    <w:rsid w:val="00EC0CDF"/>
    <w:rsid w:val="00EC1646"/>
    <w:rsid w:val="00ED2813"/>
    <w:rsid w:val="00ED2FCB"/>
    <w:rsid w:val="00EE1640"/>
    <w:rsid w:val="00EE2A70"/>
    <w:rsid w:val="00EE6969"/>
    <w:rsid w:val="00EF4985"/>
    <w:rsid w:val="00F02DFD"/>
    <w:rsid w:val="00F11FDB"/>
    <w:rsid w:val="00F22E3F"/>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5114"/>
    <w:rsid w:val="00F96274"/>
    <w:rsid w:val="00F9688B"/>
    <w:rsid w:val="00FA4F1A"/>
    <w:rsid w:val="00FA7206"/>
    <w:rsid w:val="00FB7997"/>
    <w:rsid w:val="00FD4788"/>
    <w:rsid w:val="00FD743F"/>
    <w:rsid w:val="00FE0375"/>
    <w:rsid w:val="00FE2133"/>
    <w:rsid w:val="00FE2F10"/>
    <w:rsid w:val="00FE7136"/>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 w:type="paragraph" w:styleId="BodyText">
    <w:name w:val="Body Text"/>
    <w:basedOn w:val="Normal"/>
    <w:link w:val="BodyTextChar"/>
    <w:uiPriority w:val="1"/>
    <w:qFormat/>
    <w:rsid w:val="009E2324"/>
    <w:pPr>
      <w:widowControl w:val="0"/>
      <w:autoSpaceDE w:val="0"/>
      <w:autoSpaceDN w:val="0"/>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9E2324"/>
    <w:rPr>
      <w:rFonts w:ascii="Arial MT" w:eastAsia="Arial MT" w:hAnsi="Arial MT" w:cs="Arial MT"/>
      <w:sz w:val="20"/>
      <w:szCs w:val="20"/>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45598578">
      <w:bodyDiv w:val="1"/>
      <w:marLeft w:val="0"/>
      <w:marRight w:val="0"/>
      <w:marTop w:val="0"/>
      <w:marBottom w:val="0"/>
      <w:divBdr>
        <w:top w:val="none" w:sz="0" w:space="0" w:color="auto"/>
        <w:left w:val="none" w:sz="0" w:space="0" w:color="auto"/>
        <w:bottom w:val="none" w:sz="0" w:space="0" w:color="auto"/>
        <w:right w:val="none" w:sz="0" w:space="0" w:color="auto"/>
      </w:divBdr>
      <w:divsChild>
        <w:div w:id="371880427">
          <w:marLeft w:val="706"/>
          <w:marRight w:val="0"/>
          <w:marTop w:val="60"/>
          <w:marBottom w:val="60"/>
          <w:divBdr>
            <w:top w:val="none" w:sz="0" w:space="0" w:color="auto"/>
            <w:left w:val="none" w:sz="0" w:space="0" w:color="auto"/>
            <w:bottom w:val="none" w:sz="0" w:space="0" w:color="auto"/>
            <w:right w:val="none" w:sz="0" w:space="0" w:color="auto"/>
          </w:divBdr>
        </w:div>
        <w:div w:id="115685326">
          <w:marLeft w:val="706"/>
          <w:marRight w:val="0"/>
          <w:marTop w:val="60"/>
          <w:marBottom w:val="60"/>
          <w:divBdr>
            <w:top w:val="none" w:sz="0" w:space="0" w:color="auto"/>
            <w:left w:val="none" w:sz="0" w:space="0" w:color="auto"/>
            <w:bottom w:val="none" w:sz="0" w:space="0" w:color="auto"/>
            <w:right w:val="none" w:sz="0" w:space="0" w:color="auto"/>
          </w:divBdr>
        </w:div>
        <w:div w:id="101726015">
          <w:marLeft w:val="1123"/>
          <w:marRight w:val="0"/>
          <w:marTop w:val="60"/>
          <w:marBottom w:val="60"/>
          <w:divBdr>
            <w:top w:val="none" w:sz="0" w:space="0" w:color="auto"/>
            <w:left w:val="none" w:sz="0" w:space="0" w:color="auto"/>
            <w:bottom w:val="none" w:sz="0" w:space="0" w:color="auto"/>
            <w:right w:val="none" w:sz="0" w:space="0" w:color="auto"/>
          </w:divBdr>
        </w:div>
        <w:div w:id="2030136011">
          <w:marLeft w:val="1123"/>
          <w:marRight w:val="0"/>
          <w:marTop w:val="60"/>
          <w:marBottom w:val="60"/>
          <w:divBdr>
            <w:top w:val="none" w:sz="0" w:space="0" w:color="auto"/>
            <w:left w:val="none" w:sz="0" w:space="0" w:color="auto"/>
            <w:bottom w:val="none" w:sz="0" w:space="0" w:color="auto"/>
            <w:right w:val="none" w:sz="0" w:space="0" w:color="auto"/>
          </w:divBdr>
        </w:div>
        <w:div w:id="1131703868">
          <w:marLeft w:val="1123"/>
          <w:marRight w:val="0"/>
          <w:marTop w:val="60"/>
          <w:marBottom w:val="60"/>
          <w:divBdr>
            <w:top w:val="none" w:sz="0" w:space="0" w:color="auto"/>
            <w:left w:val="none" w:sz="0" w:space="0" w:color="auto"/>
            <w:bottom w:val="none" w:sz="0" w:space="0" w:color="auto"/>
            <w:right w:val="none" w:sz="0" w:space="0" w:color="auto"/>
          </w:divBdr>
        </w:div>
        <w:div w:id="1354303423">
          <w:marLeft w:val="1123"/>
          <w:marRight w:val="0"/>
          <w:marTop w:val="60"/>
          <w:marBottom w:val="60"/>
          <w:divBdr>
            <w:top w:val="none" w:sz="0" w:space="0" w:color="auto"/>
            <w:left w:val="none" w:sz="0" w:space="0" w:color="auto"/>
            <w:bottom w:val="none" w:sz="0" w:space="0" w:color="auto"/>
            <w:right w:val="none" w:sz="0" w:space="0" w:color="auto"/>
          </w:divBdr>
        </w:div>
        <w:div w:id="1193957483">
          <w:marLeft w:val="706"/>
          <w:marRight w:val="0"/>
          <w:marTop w:val="60"/>
          <w:marBottom w:val="60"/>
          <w:divBdr>
            <w:top w:val="none" w:sz="0" w:space="0" w:color="auto"/>
            <w:left w:val="none" w:sz="0" w:space="0" w:color="auto"/>
            <w:bottom w:val="none" w:sz="0" w:space="0" w:color="auto"/>
            <w:right w:val="none" w:sz="0" w:space="0" w:color="auto"/>
          </w:divBdr>
        </w:div>
      </w:divsChild>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1594854">
      <w:bodyDiv w:val="1"/>
      <w:marLeft w:val="0"/>
      <w:marRight w:val="0"/>
      <w:marTop w:val="0"/>
      <w:marBottom w:val="0"/>
      <w:divBdr>
        <w:top w:val="none" w:sz="0" w:space="0" w:color="auto"/>
        <w:left w:val="none" w:sz="0" w:space="0" w:color="auto"/>
        <w:bottom w:val="none" w:sz="0" w:space="0" w:color="auto"/>
        <w:right w:val="none" w:sz="0" w:space="0" w:color="auto"/>
      </w:divBdr>
      <w:divsChild>
        <w:div w:id="697437681">
          <w:marLeft w:val="706"/>
          <w:marRight w:val="0"/>
          <w:marTop w:val="60"/>
          <w:marBottom w:val="60"/>
          <w:divBdr>
            <w:top w:val="none" w:sz="0" w:space="0" w:color="auto"/>
            <w:left w:val="none" w:sz="0" w:space="0" w:color="auto"/>
            <w:bottom w:val="none" w:sz="0" w:space="0" w:color="auto"/>
            <w:right w:val="none" w:sz="0" w:space="0" w:color="auto"/>
          </w:divBdr>
        </w:div>
        <w:div w:id="919290746">
          <w:marLeft w:val="706"/>
          <w:marRight w:val="0"/>
          <w:marTop w:val="60"/>
          <w:marBottom w:val="60"/>
          <w:divBdr>
            <w:top w:val="none" w:sz="0" w:space="0" w:color="auto"/>
            <w:left w:val="none" w:sz="0" w:space="0" w:color="auto"/>
            <w:bottom w:val="none" w:sz="0" w:space="0" w:color="auto"/>
            <w:right w:val="none" w:sz="0" w:space="0" w:color="auto"/>
          </w:divBdr>
        </w:div>
        <w:div w:id="602688556">
          <w:marLeft w:val="1123"/>
          <w:marRight w:val="0"/>
          <w:marTop w:val="60"/>
          <w:marBottom w:val="60"/>
          <w:divBdr>
            <w:top w:val="none" w:sz="0" w:space="0" w:color="auto"/>
            <w:left w:val="none" w:sz="0" w:space="0" w:color="auto"/>
            <w:bottom w:val="none" w:sz="0" w:space="0" w:color="auto"/>
            <w:right w:val="none" w:sz="0" w:space="0" w:color="auto"/>
          </w:divBdr>
        </w:div>
        <w:div w:id="1490175634">
          <w:marLeft w:val="1123"/>
          <w:marRight w:val="0"/>
          <w:marTop w:val="60"/>
          <w:marBottom w:val="60"/>
          <w:divBdr>
            <w:top w:val="none" w:sz="0" w:space="0" w:color="auto"/>
            <w:left w:val="none" w:sz="0" w:space="0" w:color="auto"/>
            <w:bottom w:val="none" w:sz="0" w:space="0" w:color="auto"/>
            <w:right w:val="none" w:sz="0" w:space="0" w:color="auto"/>
          </w:divBdr>
        </w:div>
        <w:div w:id="2080782553">
          <w:marLeft w:val="1123"/>
          <w:marRight w:val="0"/>
          <w:marTop w:val="60"/>
          <w:marBottom w:val="60"/>
          <w:divBdr>
            <w:top w:val="none" w:sz="0" w:space="0" w:color="auto"/>
            <w:left w:val="none" w:sz="0" w:space="0" w:color="auto"/>
            <w:bottom w:val="none" w:sz="0" w:space="0" w:color="auto"/>
            <w:right w:val="none" w:sz="0" w:space="0" w:color="auto"/>
          </w:divBdr>
        </w:div>
        <w:div w:id="1322925235">
          <w:marLeft w:val="1123"/>
          <w:marRight w:val="0"/>
          <w:marTop w:val="60"/>
          <w:marBottom w:val="60"/>
          <w:divBdr>
            <w:top w:val="none" w:sz="0" w:space="0" w:color="auto"/>
            <w:left w:val="none" w:sz="0" w:space="0" w:color="auto"/>
            <w:bottom w:val="none" w:sz="0" w:space="0" w:color="auto"/>
            <w:right w:val="none" w:sz="0" w:space="0" w:color="auto"/>
          </w:divBdr>
        </w:div>
        <w:div w:id="28653996">
          <w:marLeft w:val="706"/>
          <w:marRight w:val="0"/>
          <w:marTop w:val="60"/>
          <w:marBottom w:val="60"/>
          <w:divBdr>
            <w:top w:val="none" w:sz="0" w:space="0" w:color="auto"/>
            <w:left w:val="none" w:sz="0" w:space="0" w:color="auto"/>
            <w:bottom w:val="none" w:sz="0" w:space="0" w:color="auto"/>
            <w:right w:val="none" w:sz="0" w:space="0" w:color="auto"/>
          </w:divBdr>
        </w:div>
      </w:divsChild>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445932041">
      <w:bodyDiv w:val="1"/>
      <w:marLeft w:val="0"/>
      <w:marRight w:val="0"/>
      <w:marTop w:val="0"/>
      <w:marBottom w:val="0"/>
      <w:divBdr>
        <w:top w:val="none" w:sz="0" w:space="0" w:color="auto"/>
        <w:left w:val="none" w:sz="0" w:space="0" w:color="auto"/>
        <w:bottom w:val="none" w:sz="0" w:space="0" w:color="auto"/>
        <w:right w:val="none" w:sz="0" w:space="0" w:color="auto"/>
      </w:divBdr>
      <w:divsChild>
        <w:div w:id="1013000032">
          <w:marLeft w:val="374"/>
          <w:marRight w:val="0"/>
          <w:marTop w:val="86"/>
          <w:marBottom w:val="0"/>
          <w:divBdr>
            <w:top w:val="none" w:sz="0" w:space="0" w:color="auto"/>
            <w:left w:val="none" w:sz="0" w:space="0" w:color="auto"/>
            <w:bottom w:val="none" w:sz="0" w:space="0" w:color="auto"/>
            <w:right w:val="none" w:sz="0" w:space="0" w:color="auto"/>
          </w:divBdr>
        </w:div>
      </w:divsChild>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981620893">
      <w:bodyDiv w:val="1"/>
      <w:marLeft w:val="0"/>
      <w:marRight w:val="0"/>
      <w:marTop w:val="0"/>
      <w:marBottom w:val="0"/>
      <w:divBdr>
        <w:top w:val="none" w:sz="0" w:space="0" w:color="auto"/>
        <w:left w:val="none" w:sz="0" w:space="0" w:color="auto"/>
        <w:bottom w:val="none" w:sz="0" w:space="0" w:color="auto"/>
        <w:right w:val="none" w:sz="0" w:space="0" w:color="auto"/>
      </w:divBdr>
      <w:divsChild>
        <w:div w:id="1275018436">
          <w:marLeft w:val="706"/>
          <w:marRight w:val="0"/>
          <w:marTop w:val="68"/>
          <w:marBottom w:val="68"/>
          <w:divBdr>
            <w:top w:val="none" w:sz="0" w:space="0" w:color="auto"/>
            <w:left w:val="none" w:sz="0" w:space="0" w:color="auto"/>
            <w:bottom w:val="none" w:sz="0" w:space="0" w:color="auto"/>
            <w:right w:val="none" w:sz="0" w:space="0" w:color="auto"/>
          </w:divBdr>
        </w:div>
      </w:divsChild>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94246586">
      <w:bodyDiv w:val="1"/>
      <w:marLeft w:val="0"/>
      <w:marRight w:val="0"/>
      <w:marTop w:val="0"/>
      <w:marBottom w:val="0"/>
      <w:divBdr>
        <w:top w:val="none" w:sz="0" w:space="0" w:color="auto"/>
        <w:left w:val="none" w:sz="0" w:space="0" w:color="auto"/>
        <w:bottom w:val="none" w:sz="0" w:space="0" w:color="auto"/>
        <w:right w:val="none" w:sz="0" w:space="0" w:color="auto"/>
      </w:divBdr>
      <w:divsChild>
        <w:div w:id="355280604">
          <w:marLeft w:val="720"/>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2023-07-21T08:13:00Z</dcterms:created>
  <dcterms:modified xsi:type="dcterms:W3CDTF">2023-07-21T08:13:00Z</dcterms:modified>
</cp:coreProperties>
</file>