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4E" w:rsidRPr="00057F1C" w:rsidRDefault="007E334E" w:rsidP="007E334E">
      <w:pPr>
        <w:spacing w:line="276" w:lineRule="auto"/>
        <w:ind w:left="-142" w:right="328"/>
        <w:jc w:val="center"/>
      </w:pPr>
      <w:r w:rsidRPr="00057F1C">
        <w:rPr>
          <w:noProof/>
          <w:lang w:val="en-ZA" w:eastAsia="en-ZA"/>
        </w:rPr>
        <w:drawing>
          <wp:inline distT="0" distB="0" distL="0" distR="0">
            <wp:extent cx="1438275" cy="120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550" cy="1209698"/>
                    </a:xfrm>
                    <a:prstGeom prst="rect">
                      <a:avLst/>
                    </a:prstGeom>
                    <a:noFill/>
                    <a:ln>
                      <a:noFill/>
                    </a:ln>
                  </pic:spPr>
                </pic:pic>
              </a:graphicData>
            </a:graphic>
          </wp:inline>
        </w:drawing>
      </w:r>
    </w:p>
    <w:p w:rsidR="007E334E" w:rsidRDefault="007E334E" w:rsidP="007E334E">
      <w:pPr>
        <w:spacing w:line="276" w:lineRule="auto"/>
        <w:ind w:left="426" w:right="328" w:firstLine="720"/>
        <w:rPr>
          <w:rFonts w:cs="Arial"/>
          <w:b/>
          <w:sz w:val="14"/>
          <w:szCs w:val="24"/>
        </w:rPr>
      </w:pPr>
    </w:p>
    <w:p w:rsidR="00A77FE8" w:rsidRPr="00E80892" w:rsidRDefault="00A77FE8" w:rsidP="007E334E">
      <w:pPr>
        <w:spacing w:line="276" w:lineRule="auto"/>
        <w:ind w:left="426" w:right="328" w:firstLine="720"/>
        <w:rPr>
          <w:rFonts w:cs="Arial"/>
          <w:b/>
          <w:sz w:val="14"/>
          <w:szCs w:val="24"/>
        </w:rPr>
      </w:pPr>
    </w:p>
    <w:p w:rsidR="00A77FE8" w:rsidRDefault="00A77FE8" w:rsidP="007E334E">
      <w:pPr>
        <w:spacing w:line="276" w:lineRule="auto"/>
        <w:ind w:right="328"/>
        <w:jc w:val="center"/>
        <w:rPr>
          <w:rFonts w:cs="Arial"/>
          <w:b/>
          <w:sz w:val="22"/>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6E42C7" w:rsidRDefault="006E42C7" w:rsidP="006E42C7">
      <w:pPr>
        <w:spacing w:line="276" w:lineRule="auto"/>
        <w:ind w:right="328"/>
        <w:rPr>
          <w:rFonts w:cs="Arial"/>
          <w:b/>
          <w:sz w:val="22"/>
          <w:szCs w:val="24"/>
        </w:rPr>
      </w:pPr>
    </w:p>
    <w:p w:rsidR="007E334E" w:rsidRDefault="007E334E" w:rsidP="0003289B">
      <w:pPr>
        <w:spacing w:line="276" w:lineRule="auto"/>
        <w:ind w:right="328"/>
        <w:jc w:val="center"/>
        <w:rPr>
          <w:rFonts w:cs="Arial"/>
          <w:b/>
          <w:sz w:val="22"/>
          <w:szCs w:val="24"/>
        </w:rPr>
      </w:pPr>
      <w:r w:rsidRPr="00057F1C">
        <w:rPr>
          <w:rFonts w:cs="Arial"/>
          <w:b/>
          <w:sz w:val="22"/>
          <w:szCs w:val="24"/>
        </w:rPr>
        <w:t>NATIONAL ASSEMBLY</w:t>
      </w:r>
    </w:p>
    <w:p w:rsidR="0003289B" w:rsidRDefault="0003289B" w:rsidP="0003289B">
      <w:pPr>
        <w:spacing w:line="276" w:lineRule="auto"/>
        <w:ind w:right="328"/>
        <w:jc w:val="center"/>
        <w:rPr>
          <w:rFonts w:cs="Arial"/>
          <w:b/>
          <w:sz w:val="22"/>
          <w:szCs w:val="24"/>
        </w:rPr>
      </w:pPr>
      <w:r>
        <w:rPr>
          <w:rFonts w:cs="Arial"/>
          <w:b/>
          <w:sz w:val="22"/>
          <w:szCs w:val="24"/>
        </w:rPr>
        <w:t>QUESTION FOR WRITTEN REPLY</w:t>
      </w:r>
    </w:p>
    <w:p w:rsidR="0003289B" w:rsidRDefault="0003289B" w:rsidP="0003289B">
      <w:pPr>
        <w:spacing w:line="276" w:lineRule="auto"/>
        <w:ind w:right="328"/>
        <w:jc w:val="center"/>
        <w:rPr>
          <w:rFonts w:cs="Arial"/>
          <w:b/>
          <w:sz w:val="22"/>
          <w:szCs w:val="24"/>
        </w:rPr>
      </w:pPr>
      <w:r>
        <w:rPr>
          <w:rFonts w:cs="Arial"/>
          <w:b/>
          <w:sz w:val="22"/>
          <w:szCs w:val="24"/>
        </w:rPr>
        <w:t>QUESTION NO. 241</w:t>
      </w:r>
    </w:p>
    <w:p w:rsidR="0003289B" w:rsidRDefault="0003289B" w:rsidP="006E42C7">
      <w:pPr>
        <w:spacing w:line="276" w:lineRule="auto"/>
        <w:ind w:right="328"/>
        <w:rPr>
          <w:rFonts w:cs="Arial"/>
          <w:b/>
          <w:sz w:val="22"/>
          <w:szCs w:val="24"/>
        </w:rPr>
      </w:pPr>
    </w:p>
    <w:p w:rsidR="0003289B" w:rsidRDefault="0003289B" w:rsidP="006E42C7">
      <w:pPr>
        <w:spacing w:line="276" w:lineRule="auto"/>
        <w:ind w:right="328"/>
        <w:rPr>
          <w:rFonts w:cs="Arial"/>
          <w:b/>
          <w:sz w:val="22"/>
          <w:szCs w:val="24"/>
          <w:u w:val="single"/>
        </w:rPr>
      </w:pPr>
    </w:p>
    <w:p w:rsidR="0003289B" w:rsidRPr="0003289B" w:rsidRDefault="0003289B" w:rsidP="006E42C7">
      <w:pPr>
        <w:spacing w:line="276" w:lineRule="auto"/>
        <w:ind w:right="328"/>
        <w:rPr>
          <w:rFonts w:cs="Arial"/>
          <w:b/>
          <w:sz w:val="22"/>
          <w:szCs w:val="24"/>
          <w:u w:val="single"/>
        </w:rPr>
      </w:pPr>
      <w:bookmarkStart w:id="0" w:name="_GoBack"/>
      <w:bookmarkEnd w:id="0"/>
      <w:r w:rsidRPr="0003289B">
        <w:rPr>
          <w:rFonts w:cs="Arial"/>
          <w:b/>
          <w:sz w:val="22"/>
          <w:szCs w:val="24"/>
          <w:u w:val="single"/>
        </w:rPr>
        <w:t>QUESTION:</w:t>
      </w:r>
    </w:p>
    <w:p w:rsidR="00400D10" w:rsidRDefault="00400D10" w:rsidP="00400D10">
      <w:pPr>
        <w:spacing w:before="100" w:beforeAutospacing="1" w:after="100" w:afterAutospacing="1"/>
        <w:jc w:val="both"/>
        <w:rPr>
          <w:b/>
          <w:bCs/>
          <w:szCs w:val="24"/>
        </w:rPr>
      </w:pPr>
      <w:r>
        <w:rPr>
          <w:b/>
          <w:bCs/>
          <w:szCs w:val="24"/>
        </w:rPr>
        <w:t xml:space="preserve">241.      </w:t>
      </w:r>
      <w:proofErr w:type="spellStart"/>
      <w:r>
        <w:rPr>
          <w:b/>
          <w:bCs/>
          <w:szCs w:val="24"/>
        </w:rPr>
        <w:t>Mr</w:t>
      </w:r>
      <w:proofErr w:type="spellEnd"/>
      <w:r>
        <w:rPr>
          <w:b/>
          <w:bCs/>
          <w:szCs w:val="24"/>
        </w:rPr>
        <w:t xml:space="preserve"> V </w:t>
      </w:r>
      <w:proofErr w:type="spellStart"/>
      <w:r>
        <w:rPr>
          <w:b/>
          <w:bCs/>
          <w:szCs w:val="24"/>
        </w:rPr>
        <w:t>Zungula</w:t>
      </w:r>
      <w:proofErr w:type="spellEnd"/>
      <w:r>
        <w:rPr>
          <w:b/>
          <w:bCs/>
          <w:szCs w:val="24"/>
        </w:rPr>
        <w:t xml:space="preserve"> (ATM) to ask the Minister of Public Enterprises:</w:t>
      </w:r>
    </w:p>
    <w:p w:rsidR="00400D10" w:rsidRDefault="00400D10" w:rsidP="00400D10">
      <w:pPr>
        <w:spacing w:before="100" w:beforeAutospacing="1" w:after="100" w:afterAutospacing="1" w:line="360" w:lineRule="auto"/>
        <w:ind w:left="1418" w:hanging="720"/>
        <w:jc w:val="both"/>
        <w:rPr>
          <w:szCs w:val="24"/>
          <w:lang w:eastAsia="en-ZA"/>
        </w:rPr>
      </w:pPr>
      <w:r>
        <w:rPr>
          <w:szCs w:val="24"/>
        </w:rPr>
        <w:t>(1)      Whether, given the state of affairs at SA Airways (SAA), he can account as to the reason that the voluntary severance package (VSP) payments of more than 3480 former SAA employees have not been paid, despite promises by his department to effect the payment by 31 January 2021; if not, why not; if so, what are the relevant details;</w:t>
      </w:r>
    </w:p>
    <w:p w:rsidR="00400D10" w:rsidRDefault="00400D10" w:rsidP="00400D10">
      <w:pPr>
        <w:spacing w:before="100" w:beforeAutospacing="1" w:after="100" w:afterAutospacing="1" w:line="360" w:lineRule="auto"/>
        <w:ind w:left="1418" w:hanging="720"/>
        <w:jc w:val="both"/>
        <w:rPr>
          <w:szCs w:val="24"/>
          <w:lang w:eastAsia="en-ZA"/>
        </w:rPr>
      </w:pPr>
      <w:r>
        <w:rPr>
          <w:szCs w:val="24"/>
        </w:rPr>
        <w:t>(2)      What plan does his department have in place to ensure that the rest of the 1220 SAA employees who were not subjected to the section 189 retrenchment process do not encounter a similar payment issue;</w:t>
      </w:r>
    </w:p>
    <w:p w:rsidR="00400D10" w:rsidRDefault="00400D10" w:rsidP="00400D10">
      <w:pPr>
        <w:spacing w:before="100" w:beforeAutospacing="1" w:after="100" w:afterAutospacing="1" w:line="360" w:lineRule="auto"/>
        <w:ind w:left="1418" w:hanging="720"/>
        <w:jc w:val="both"/>
        <w:rPr>
          <w:szCs w:val="24"/>
          <w:lang w:eastAsia="en-US"/>
        </w:rPr>
      </w:pPr>
      <w:r>
        <w:rPr>
          <w:szCs w:val="24"/>
        </w:rPr>
        <w:t xml:space="preserve">(3)      Whether, in light of the recorded R10,5 billion bail-out for SAA that the Minister of Finance, </w:t>
      </w:r>
      <w:proofErr w:type="spellStart"/>
      <w:r>
        <w:rPr>
          <w:szCs w:val="24"/>
        </w:rPr>
        <w:t>Mr</w:t>
      </w:r>
      <w:proofErr w:type="spellEnd"/>
      <w:r>
        <w:rPr>
          <w:szCs w:val="24"/>
        </w:rPr>
        <w:t xml:space="preserve"> T </w:t>
      </w:r>
      <w:proofErr w:type="spellStart"/>
      <w:r>
        <w:rPr>
          <w:szCs w:val="24"/>
        </w:rPr>
        <w:t>T</w:t>
      </w:r>
      <w:proofErr w:type="spellEnd"/>
      <w:r>
        <w:rPr>
          <w:szCs w:val="24"/>
        </w:rPr>
        <w:t xml:space="preserve"> </w:t>
      </w:r>
      <w:proofErr w:type="spellStart"/>
      <w:r>
        <w:rPr>
          <w:szCs w:val="24"/>
        </w:rPr>
        <w:t>Mboweni</w:t>
      </w:r>
      <w:proofErr w:type="spellEnd"/>
      <w:r>
        <w:rPr>
          <w:szCs w:val="24"/>
        </w:rPr>
        <w:t>, had set out, of which R2,2 billion had been set aside to fund retrenchment packages, the specified funds have been made available to the Ministry of Public Enterprises; if not, why not; if so, what are the reasons that the specified funds have not reached the intended recipients; and</w:t>
      </w:r>
    </w:p>
    <w:p w:rsidR="00400D10" w:rsidRDefault="00400D10" w:rsidP="00400D10">
      <w:pPr>
        <w:spacing w:before="100" w:beforeAutospacing="1" w:after="100" w:afterAutospacing="1" w:line="360" w:lineRule="auto"/>
        <w:ind w:left="1418" w:hanging="720"/>
        <w:jc w:val="both"/>
        <w:rPr>
          <w:szCs w:val="24"/>
        </w:rPr>
      </w:pPr>
      <w:r>
        <w:rPr>
          <w:szCs w:val="24"/>
        </w:rPr>
        <w:t>(4)      By what date will his department process the VSPs of all affected employees as a matter of urgency?     </w:t>
      </w:r>
      <w:r>
        <w:rPr>
          <w:rFonts w:ascii="Times New Roman" w:hAnsi="Times New Roman"/>
          <w:color w:val="FF0000"/>
          <w:szCs w:val="24"/>
        </w:rPr>
        <w:t xml:space="preserve"> </w:t>
      </w:r>
      <w:r>
        <w:rPr>
          <w:szCs w:val="24"/>
        </w:rPr>
        <w:t>NW16E</w:t>
      </w:r>
    </w:p>
    <w:p w:rsidR="00B37B99" w:rsidRPr="00B37B99" w:rsidRDefault="002A0800" w:rsidP="002A0800">
      <w:pPr>
        <w:spacing w:before="100" w:beforeAutospacing="1" w:after="100" w:afterAutospacing="1"/>
        <w:jc w:val="both"/>
        <w:rPr>
          <w:rFonts w:eastAsia="Calibri" w:cs="Arial"/>
          <w:color w:val="auto"/>
          <w:szCs w:val="24"/>
          <w:lang w:val="en-GB" w:eastAsia="en-US"/>
        </w:rPr>
      </w:pPr>
      <w:r>
        <w:t>                                                                            </w:t>
      </w:r>
    </w:p>
    <w:p w:rsidR="0021758C" w:rsidRDefault="0021758C">
      <w:pPr>
        <w:spacing w:after="200" w:line="276" w:lineRule="auto"/>
        <w:rPr>
          <w:rFonts w:eastAsia="Calibri" w:cs="Arial"/>
          <w:b/>
          <w:bCs/>
          <w:color w:val="auto"/>
          <w:szCs w:val="24"/>
          <w:lang w:val="en-GB" w:eastAsia="en-US"/>
        </w:rPr>
      </w:pPr>
      <w:r>
        <w:rPr>
          <w:rFonts w:eastAsia="Calibri" w:cs="Arial"/>
          <w:b/>
          <w:bCs/>
          <w:color w:val="auto"/>
          <w:szCs w:val="24"/>
          <w:lang w:val="en-GB" w:eastAsia="en-US"/>
        </w:rPr>
        <w:br w:type="page"/>
      </w:r>
    </w:p>
    <w:p w:rsidR="00B37B99" w:rsidRPr="0003289B" w:rsidRDefault="0003289B" w:rsidP="0021758C">
      <w:pPr>
        <w:tabs>
          <w:tab w:val="center" w:pos="4847"/>
        </w:tabs>
        <w:spacing w:before="100" w:beforeAutospacing="1" w:after="100" w:afterAutospacing="1"/>
        <w:ind w:left="1287" w:hanging="720"/>
        <w:jc w:val="both"/>
        <w:rPr>
          <w:rFonts w:eastAsia="Calibri" w:cs="Arial"/>
          <w:b/>
          <w:bCs/>
          <w:color w:val="auto"/>
          <w:szCs w:val="24"/>
          <w:u w:val="single"/>
          <w:lang w:val="en-GB" w:eastAsia="en-US"/>
        </w:rPr>
      </w:pPr>
      <w:r w:rsidRPr="0003289B">
        <w:rPr>
          <w:rFonts w:eastAsia="Calibri" w:cs="Arial"/>
          <w:b/>
          <w:bCs/>
          <w:color w:val="auto"/>
          <w:szCs w:val="24"/>
          <w:u w:val="single"/>
          <w:lang w:val="en-GB" w:eastAsia="en-US"/>
        </w:rPr>
        <w:lastRenderedPageBreak/>
        <w:t>REPLY:</w:t>
      </w:r>
      <w:r w:rsidR="00B37B99" w:rsidRPr="0003289B">
        <w:rPr>
          <w:rFonts w:eastAsia="Calibri" w:cs="Arial"/>
          <w:b/>
          <w:bCs/>
          <w:color w:val="auto"/>
          <w:szCs w:val="24"/>
          <w:u w:val="single"/>
          <w:lang w:val="en-GB" w:eastAsia="en-US"/>
        </w:rPr>
        <w:t xml:space="preserve"> </w:t>
      </w:r>
    </w:p>
    <w:p w:rsidR="00493AB5" w:rsidRPr="00493AB5" w:rsidRDefault="00493AB5" w:rsidP="00493AB5">
      <w:pPr>
        <w:pStyle w:val="BodyTextIndent2"/>
        <w:numPr>
          <w:ilvl w:val="0"/>
          <w:numId w:val="33"/>
        </w:numPr>
        <w:tabs>
          <w:tab w:val="clear" w:pos="567"/>
        </w:tabs>
        <w:ind w:left="1418" w:hanging="851"/>
        <w:jc w:val="both"/>
        <w:rPr>
          <w:rFonts w:cs="Arial"/>
          <w:color w:val="000000" w:themeColor="text1"/>
          <w:szCs w:val="24"/>
        </w:rPr>
      </w:pPr>
      <w:r>
        <w:rPr>
          <w:rFonts w:cs="Arial"/>
          <w:color w:val="000000" w:themeColor="text1"/>
          <w:szCs w:val="24"/>
        </w:rPr>
        <w:t xml:space="preserve">The VSPs have since been paid with non-management and management employees paid on 12 and 19 February 2021 respectively. The payments could not be paid until the funds had been secured and this was achieved with the adjusted national budget on 28 October 2020. Immediately R3.5 billion of these funds were made available to start payment of employee related liabilities. </w:t>
      </w:r>
    </w:p>
    <w:p w:rsidR="00493AB5" w:rsidRPr="00493AB5" w:rsidRDefault="00493AB5" w:rsidP="00DB3BD0">
      <w:pPr>
        <w:pStyle w:val="BodyTextIndent2"/>
        <w:numPr>
          <w:ilvl w:val="0"/>
          <w:numId w:val="33"/>
        </w:numPr>
        <w:tabs>
          <w:tab w:val="clear" w:pos="567"/>
        </w:tabs>
        <w:ind w:left="1418" w:hanging="851"/>
        <w:jc w:val="both"/>
        <w:rPr>
          <w:rFonts w:cs="Arial"/>
          <w:color w:val="000000" w:themeColor="text1"/>
          <w:szCs w:val="24"/>
        </w:rPr>
      </w:pPr>
      <w:r>
        <w:rPr>
          <w:rFonts w:cs="Arial"/>
          <w:color w:val="000000" w:themeColor="text1"/>
          <w:szCs w:val="24"/>
        </w:rPr>
        <w:t>The Department does not anticipate that payment related to further restr</w:t>
      </w:r>
      <w:r w:rsidR="008F027B">
        <w:rPr>
          <w:rFonts w:cs="Arial"/>
          <w:color w:val="000000" w:themeColor="text1"/>
          <w:szCs w:val="24"/>
        </w:rPr>
        <w:t>ucturing</w:t>
      </w:r>
      <w:r>
        <w:rPr>
          <w:rFonts w:cs="Arial"/>
          <w:color w:val="000000" w:themeColor="text1"/>
          <w:szCs w:val="24"/>
        </w:rPr>
        <w:t xml:space="preserve"> including section 189 retrenchments shall be delayed. Funds necessary for this purpose have been deposited with BRPs. </w:t>
      </w:r>
    </w:p>
    <w:p w:rsidR="00DB3BD0" w:rsidRPr="00DB3BD0" w:rsidRDefault="00DB3BD0" w:rsidP="00416D9C">
      <w:pPr>
        <w:pStyle w:val="BodyTextIndent2"/>
        <w:numPr>
          <w:ilvl w:val="0"/>
          <w:numId w:val="33"/>
        </w:numPr>
        <w:tabs>
          <w:tab w:val="clear" w:pos="567"/>
        </w:tabs>
        <w:spacing w:before="100" w:beforeAutospacing="1" w:after="100" w:afterAutospacing="1"/>
        <w:ind w:left="1418" w:hanging="851"/>
        <w:jc w:val="both"/>
        <w:rPr>
          <w:rFonts w:cs="Arial"/>
          <w:color w:val="000000" w:themeColor="text1"/>
          <w:szCs w:val="24"/>
        </w:rPr>
      </w:pPr>
      <w:r>
        <w:rPr>
          <w:rFonts w:eastAsia="Calibri" w:cs="Arial"/>
          <w:szCs w:val="24"/>
        </w:rPr>
        <w:t>All the funds for retrenchment packages for SAA employees ha</w:t>
      </w:r>
      <w:r w:rsidR="00493AB5">
        <w:rPr>
          <w:rFonts w:eastAsia="Calibri" w:cs="Arial"/>
          <w:szCs w:val="24"/>
        </w:rPr>
        <w:t>ve been transferred to SAA.</w:t>
      </w:r>
    </w:p>
    <w:p w:rsidR="00101CD1" w:rsidRPr="00667763" w:rsidRDefault="00493AB5" w:rsidP="00416D9C">
      <w:pPr>
        <w:pStyle w:val="BodyTextIndent2"/>
        <w:numPr>
          <w:ilvl w:val="0"/>
          <w:numId w:val="33"/>
        </w:numPr>
        <w:tabs>
          <w:tab w:val="clear" w:pos="567"/>
        </w:tabs>
        <w:spacing w:before="100" w:beforeAutospacing="1" w:after="100" w:afterAutospacing="1"/>
        <w:ind w:left="1418" w:hanging="851"/>
        <w:jc w:val="both"/>
        <w:rPr>
          <w:rFonts w:cs="Arial"/>
          <w:color w:val="000000" w:themeColor="text1"/>
          <w:szCs w:val="24"/>
        </w:rPr>
      </w:pPr>
      <w:r>
        <w:rPr>
          <w:rFonts w:eastAsia="Calibri" w:cs="Arial"/>
          <w:szCs w:val="24"/>
        </w:rPr>
        <w:t>See (1) and (2) above.</w:t>
      </w:r>
    </w:p>
    <w:p w:rsidR="00667763" w:rsidRDefault="00667763" w:rsidP="00667763">
      <w:pPr>
        <w:pStyle w:val="ListParagraph"/>
        <w:rPr>
          <w:rFonts w:cs="Arial"/>
          <w:color w:val="000000" w:themeColor="text1"/>
          <w:szCs w:val="24"/>
        </w:rPr>
      </w:pPr>
    </w:p>
    <w:p w:rsidR="00667763" w:rsidRDefault="00667763" w:rsidP="00667763">
      <w:pPr>
        <w:pStyle w:val="BodyTextIndent2"/>
        <w:tabs>
          <w:tab w:val="clear" w:pos="567"/>
        </w:tabs>
        <w:spacing w:before="100" w:beforeAutospacing="1" w:after="100" w:afterAutospacing="1"/>
        <w:jc w:val="both"/>
        <w:rPr>
          <w:rFonts w:cs="Arial"/>
          <w:color w:val="000000" w:themeColor="text1"/>
          <w:szCs w:val="24"/>
        </w:rPr>
      </w:pPr>
    </w:p>
    <w:p w:rsidR="00667763" w:rsidRPr="00667763" w:rsidRDefault="00667763" w:rsidP="00667763">
      <w:pPr>
        <w:pStyle w:val="BodyTextIndent2"/>
        <w:tabs>
          <w:tab w:val="clear" w:pos="567"/>
        </w:tabs>
        <w:spacing w:before="100" w:beforeAutospacing="1" w:after="100" w:afterAutospacing="1"/>
        <w:jc w:val="both"/>
        <w:rPr>
          <w:rFonts w:cs="Arial"/>
          <w:color w:val="000000" w:themeColor="text1"/>
          <w:szCs w:val="24"/>
        </w:rPr>
      </w:pPr>
    </w:p>
    <w:p w:rsidR="00667763" w:rsidRDefault="00667763" w:rsidP="00667763">
      <w:pPr>
        <w:pStyle w:val="ListParagraph"/>
        <w:rPr>
          <w:rFonts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851"/>
        <w:gridCol w:w="4008"/>
      </w:tblGrid>
      <w:tr w:rsidR="00667763" w:rsidTr="00AF2315">
        <w:tc>
          <w:tcPr>
            <w:tcW w:w="4106" w:type="dxa"/>
          </w:tcPr>
          <w:p w:rsidR="00667763" w:rsidRDefault="00667763" w:rsidP="00AF2315">
            <w:pPr>
              <w:spacing w:before="100" w:beforeAutospacing="1" w:after="100" w:afterAutospacing="1"/>
              <w:rPr>
                <w:rFonts w:eastAsia="Calibri" w:cs="Arial"/>
                <w:szCs w:val="24"/>
              </w:rPr>
            </w:pPr>
          </w:p>
        </w:tc>
        <w:tc>
          <w:tcPr>
            <w:tcW w:w="851" w:type="dxa"/>
          </w:tcPr>
          <w:p w:rsidR="00667763" w:rsidRDefault="00667763" w:rsidP="00AF2315">
            <w:pPr>
              <w:spacing w:before="100" w:beforeAutospacing="1" w:after="100" w:afterAutospacing="1"/>
              <w:rPr>
                <w:rFonts w:eastAsia="Calibri" w:cs="Arial"/>
                <w:szCs w:val="24"/>
              </w:rPr>
            </w:pPr>
          </w:p>
        </w:tc>
        <w:tc>
          <w:tcPr>
            <w:tcW w:w="4008" w:type="dxa"/>
          </w:tcPr>
          <w:p w:rsidR="00667763" w:rsidRDefault="00667763" w:rsidP="00AF2315">
            <w:pPr>
              <w:spacing w:before="100" w:beforeAutospacing="1" w:after="100" w:afterAutospacing="1"/>
              <w:rPr>
                <w:rFonts w:eastAsia="Calibri" w:cs="Arial"/>
                <w:szCs w:val="24"/>
              </w:rPr>
            </w:pPr>
          </w:p>
        </w:tc>
      </w:tr>
      <w:tr w:rsidR="00667763" w:rsidTr="00AF2315">
        <w:tc>
          <w:tcPr>
            <w:tcW w:w="4106" w:type="dxa"/>
          </w:tcPr>
          <w:p w:rsidR="00667763" w:rsidRDefault="00667763" w:rsidP="00AF2315">
            <w:pPr>
              <w:spacing w:before="100" w:beforeAutospacing="1" w:after="100" w:afterAutospacing="1"/>
              <w:rPr>
                <w:rFonts w:eastAsia="Calibri" w:cs="Arial"/>
                <w:szCs w:val="24"/>
              </w:rPr>
            </w:pPr>
          </w:p>
        </w:tc>
        <w:tc>
          <w:tcPr>
            <w:tcW w:w="851" w:type="dxa"/>
          </w:tcPr>
          <w:p w:rsidR="00667763" w:rsidRDefault="00667763" w:rsidP="00AF2315">
            <w:pPr>
              <w:spacing w:before="100" w:beforeAutospacing="1" w:after="100" w:afterAutospacing="1"/>
              <w:rPr>
                <w:rFonts w:eastAsia="Calibri" w:cs="Arial"/>
                <w:szCs w:val="24"/>
              </w:rPr>
            </w:pPr>
          </w:p>
        </w:tc>
        <w:tc>
          <w:tcPr>
            <w:tcW w:w="4008" w:type="dxa"/>
          </w:tcPr>
          <w:p w:rsidR="00667763" w:rsidRDefault="00667763" w:rsidP="00AF2315">
            <w:pPr>
              <w:spacing w:before="100" w:beforeAutospacing="1" w:after="100" w:afterAutospacing="1"/>
              <w:rPr>
                <w:rFonts w:eastAsia="Calibri" w:cs="Arial"/>
                <w:szCs w:val="24"/>
              </w:rPr>
            </w:pPr>
          </w:p>
        </w:tc>
      </w:tr>
      <w:tr w:rsidR="00667763" w:rsidTr="00AF2315">
        <w:tc>
          <w:tcPr>
            <w:tcW w:w="4106" w:type="dxa"/>
          </w:tcPr>
          <w:p w:rsidR="00667763" w:rsidRPr="004800D5" w:rsidRDefault="00667763" w:rsidP="00AF2315">
            <w:pPr>
              <w:spacing w:before="100" w:beforeAutospacing="1" w:after="100" w:afterAutospacing="1"/>
              <w:rPr>
                <w:rFonts w:eastAsia="Calibri" w:cs="Arial"/>
                <w:b/>
                <w:szCs w:val="24"/>
              </w:rPr>
            </w:pPr>
          </w:p>
        </w:tc>
        <w:tc>
          <w:tcPr>
            <w:tcW w:w="851" w:type="dxa"/>
          </w:tcPr>
          <w:p w:rsidR="00667763" w:rsidRPr="004800D5" w:rsidRDefault="00667763" w:rsidP="00AF2315">
            <w:pPr>
              <w:spacing w:before="100" w:beforeAutospacing="1" w:after="100" w:afterAutospacing="1"/>
              <w:rPr>
                <w:rFonts w:eastAsia="Calibri" w:cs="Arial"/>
                <w:b/>
                <w:szCs w:val="24"/>
              </w:rPr>
            </w:pPr>
          </w:p>
        </w:tc>
        <w:tc>
          <w:tcPr>
            <w:tcW w:w="4008" w:type="dxa"/>
          </w:tcPr>
          <w:p w:rsidR="00667763" w:rsidRPr="004800D5" w:rsidRDefault="00667763" w:rsidP="00AF2315">
            <w:pPr>
              <w:spacing w:before="100" w:beforeAutospacing="1" w:after="100" w:afterAutospacing="1"/>
              <w:rPr>
                <w:rFonts w:eastAsia="Calibri" w:cs="Arial"/>
                <w:b/>
                <w:szCs w:val="24"/>
              </w:rPr>
            </w:pPr>
          </w:p>
        </w:tc>
      </w:tr>
      <w:tr w:rsidR="00667763" w:rsidTr="00AF2315">
        <w:tc>
          <w:tcPr>
            <w:tcW w:w="4106" w:type="dxa"/>
          </w:tcPr>
          <w:p w:rsidR="00667763" w:rsidRPr="004800D5" w:rsidRDefault="00667763" w:rsidP="00AF2315">
            <w:pPr>
              <w:spacing w:before="100" w:beforeAutospacing="1" w:after="100" w:afterAutospacing="1"/>
              <w:rPr>
                <w:rFonts w:eastAsia="Calibri" w:cs="Arial"/>
                <w:b/>
                <w:szCs w:val="24"/>
              </w:rPr>
            </w:pPr>
          </w:p>
        </w:tc>
        <w:tc>
          <w:tcPr>
            <w:tcW w:w="851" w:type="dxa"/>
          </w:tcPr>
          <w:p w:rsidR="00667763" w:rsidRPr="004800D5" w:rsidRDefault="00667763" w:rsidP="00AF2315">
            <w:pPr>
              <w:spacing w:before="100" w:beforeAutospacing="1" w:after="100" w:afterAutospacing="1"/>
              <w:rPr>
                <w:rFonts w:eastAsia="Calibri" w:cs="Arial"/>
                <w:b/>
                <w:szCs w:val="24"/>
              </w:rPr>
            </w:pPr>
          </w:p>
        </w:tc>
        <w:tc>
          <w:tcPr>
            <w:tcW w:w="4008" w:type="dxa"/>
          </w:tcPr>
          <w:p w:rsidR="00667763" w:rsidRPr="004800D5" w:rsidRDefault="00667763" w:rsidP="00AF2315">
            <w:pPr>
              <w:spacing w:before="100" w:beforeAutospacing="1" w:after="100" w:afterAutospacing="1"/>
              <w:rPr>
                <w:rFonts w:eastAsia="Calibri" w:cs="Arial"/>
                <w:b/>
                <w:szCs w:val="24"/>
              </w:rPr>
            </w:pPr>
          </w:p>
        </w:tc>
      </w:tr>
      <w:tr w:rsidR="00667763" w:rsidTr="00AF2315">
        <w:tc>
          <w:tcPr>
            <w:tcW w:w="4106" w:type="dxa"/>
          </w:tcPr>
          <w:p w:rsidR="00667763" w:rsidRPr="004800D5" w:rsidRDefault="00667763" w:rsidP="00AF2315">
            <w:pPr>
              <w:spacing w:before="100" w:beforeAutospacing="1" w:after="100" w:afterAutospacing="1"/>
              <w:rPr>
                <w:rFonts w:eastAsia="Calibri" w:cs="Arial"/>
                <w:b/>
                <w:szCs w:val="24"/>
              </w:rPr>
            </w:pPr>
          </w:p>
        </w:tc>
        <w:tc>
          <w:tcPr>
            <w:tcW w:w="851" w:type="dxa"/>
          </w:tcPr>
          <w:p w:rsidR="00667763" w:rsidRPr="004800D5" w:rsidRDefault="00667763" w:rsidP="00AF2315">
            <w:pPr>
              <w:spacing w:before="100" w:beforeAutospacing="1" w:after="100" w:afterAutospacing="1"/>
              <w:rPr>
                <w:rFonts w:eastAsia="Calibri" w:cs="Arial"/>
                <w:b/>
                <w:szCs w:val="24"/>
              </w:rPr>
            </w:pPr>
          </w:p>
        </w:tc>
        <w:tc>
          <w:tcPr>
            <w:tcW w:w="4008" w:type="dxa"/>
          </w:tcPr>
          <w:p w:rsidR="00667763" w:rsidRPr="004800D5" w:rsidRDefault="00667763" w:rsidP="00AF2315">
            <w:pPr>
              <w:spacing w:before="100" w:beforeAutospacing="1" w:after="100" w:afterAutospacing="1"/>
              <w:rPr>
                <w:rFonts w:eastAsia="Calibri" w:cs="Arial"/>
                <w:b/>
                <w:szCs w:val="24"/>
              </w:rPr>
            </w:pPr>
          </w:p>
        </w:tc>
      </w:tr>
    </w:tbl>
    <w:p w:rsidR="00667763" w:rsidRPr="00416D9C" w:rsidRDefault="00667763" w:rsidP="00667763">
      <w:pPr>
        <w:pStyle w:val="BodyTextIndent2"/>
        <w:tabs>
          <w:tab w:val="clear" w:pos="567"/>
        </w:tabs>
        <w:spacing w:before="100" w:beforeAutospacing="1" w:after="100" w:afterAutospacing="1"/>
        <w:jc w:val="both"/>
        <w:rPr>
          <w:rFonts w:cs="Arial"/>
          <w:color w:val="000000" w:themeColor="text1"/>
          <w:szCs w:val="24"/>
        </w:rPr>
      </w:pPr>
    </w:p>
    <w:sectPr w:rsidR="00667763" w:rsidRPr="00416D9C" w:rsidSect="00416D9C">
      <w:headerReference w:type="even" r:id="rId8"/>
      <w:headerReference w:type="default" r:id="rId9"/>
      <w:footerReference w:type="default" r:id="rId10"/>
      <w:footerReference w:type="first" r:id="rId11"/>
      <w:pgSz w:w="11906" w:h="16838" w:code="9"/>
      <w:pgMar w:top="992" w:right="1134" w:bottom="851" w:left="179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5D" w:rsidRDefault="00FC405D">
      <w:r>
        <w:separator/>
      </w:r>
    </w:p>
  </w:endnote>
  <w:endnote w:type="continuationSeparator" w:id="0">
    <w:p w:rsidR="00FC405D" w:rsidRDefault="00FC4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5699"/>
      <w:docPartObj>
        <w:docPartGallery w:val="Page Numbers (Bottom of Page)"/>
        <w:docPartUnique/>
      </w:docPartObj>
    </w:sdtPr>
    <w:sdtEndPr>
      <w:rPr>
        <w:sz w:val="16"/>
      </w:rPr>
    </w:sdtEndPr>
    <w:sdtContent>
      <w:sdt>
        <w:sdtPr>
          <w:rPr>
            <w:sz w:val="16"/>
          </w:rPr>
          <w:id w:val="1726716996"/>
          <w:docPartObj>
            <w:docPartGallery w:val="Page Numbers (Top of Page)"/>
            <w:docPartUnique/>
          </w:docPartObj>
        </w:sdtPr>
        <w:sdtContent>
          <w:p w:rsidR="003E058D" w:rsidRPr="003E058D" w:rsidRDefault="00B4315E" w:rsidP="00691FC0">
            <w:pPr>
              <w:pStyle w:val="Footer"/>
              <w:jc w:val="right"/>
              <w:rPr>
                <w:sz w:val="16"/>
              </w:rPr>
            </w:pPr>
            <w:r w:rsidRPr="00B4315E">
              <w:rPr>
                <w:b/>
                <w:color w:val="FF0000"/>
                <w:sz w:val="16"/>
              </w:rPr>
              <w:t xml:space="preserve">  </w:t>
            </w:r>
            <w:r>
              <w:rPr>
                <w:sz w:val="16"/>
              </w:rPr>
              <w:t xml:space="preserve">                                                               </w:t>
            </w:r>
          </w:p>
        </w:sdtContent>
      </w:sdt>
    </w:sdtContent>
  </w:sdt>
  <w:p w:rsidR="006D7F6D" w:rsidRPr="00A27D60" w:rsidRDefault="00FC405D"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03974"/>
      <w:docPartObj>
        <w:docPartGallery w:val="Page Numbers (Bottom of Page)"/>
        <w:docPartUnique/>
      </w:docPartObj>
    </w:sdtPr>
    <w:sdtContent>
      <w:sdt>
        <w:sdtPr>
          <w:id w:val="467399741"/>
          <w:docPartObj>
            <w:docPartGallery w:val="Page Numbers (Top of Page)"/>
            <w:docPartUnique/>
          </w:docPartObj>
        </w:sdtPr>
        <w:sdtContent>
          <w:p w:rsidR="008F59C5" w:rsidRDefault="007E334E" w:rsidP="008F59C5">
            <w:pPr>
              <w:pStyle w:val="Footer"/>
              <w:jc w:val="right"/>
            </w:pPr>
            <w:r w:rsidRPr="008F59C5">
              <w:rPr>
                <w:sz w:val="16"/>
                <w:szCs w:val="16"/>
              </w:rPr>
              <w:t xml:space="preserve">Page </w:t>
            </w:r>
            <w:r w:rsidR="00ED655C" w:rsidRPr="008F59C5">
              <w:rPr>
                <w:bCs/>
                <w:sz w:val="16"/>
                <w:szCs w:val="16"/>
              </w:rPr>
              <w:fldChar w:fldCharType="begin"/>
            </w:r>
            <w:r w:rsidRPr="008F59C5">
              <w:rPr>
                <w:bCs/>
                <w:sz w:val="16"/>
                <w:szCs w:val="16"/>
              </w:rPr>
              <w:instrText xml:space="preserve"> PAGE </w:instrText>
            </w:r>
            <w:r w:rsidR="00ED655C" w:rsidRPr="008F59C5">
              <w:rPr>
                <w:bCs/>
                <w:sz w:val="16"/>
                <w:szCs w:val="16"/>
              </w:rPr>
              <w:fldChar w:fldCharType="separate"/>
            </w:r>
            <w:r>
              <w:rPr>
                <w:bCs/>
                <w:noProof/>
                <w:sz w:val="16"/>
                <w:szCs w:val="16"/>
              </w:rPr>
              <w:t>1</w:t>
            </w:r>
            <w:r w:rsidR="00ED655C" w:rsidRPr="008F59C5">
              <w:rPr>
                <w:bCs/>
                <w:sz w:val="16"/>
                <w:szCs w:val="16"/>
              </w:rPr>
              <w:fldChar w:fldCharType="end"/>
            </w:r>
            <w:r w:rsidRPr="008F59C5">
              <w:rPr>
                <w:sz w:val="16"/>
                <w:szCs w:val="16"/>
              </w:rPr>
              <w:t xml:space="preserve"> of </w:t>
            </w:r>
            <w:r w:rsidR="00ED655C" w:rsidRPr="008F59C5">
              <w:rPr>
                <w:bCs/>
                <w:sz w:val="16"/>
                <w:szCs w:val="16"/>
              </w:rPr>
              <w:fldChar w:fldCharType="begin"/>
            </w:r>
            <w:r w:rsidRPr="008F59C5">
              <w:rPr>
                <w:bCs/>
                <w:sz w:val="16"/>
                <w:szCs w:val="16"/>
              </w:rPr>
              <w:instrText xml:space="preserve"> NUMPAGES  </w:instrText>
            </w:r>
            <w:r w:rsidR="00ED655C" w:rsidRPr="008F59C5">
              <w:rPr>
                <w:bCs/>
                <w:sz w:val="16"/>
                <w:szCs w:val="16"/>
              </w:rPr>
              <w:fldChar w:fldCharType="separate"/>
            </w:r>
            <w:r w:rsidR="006E42C7">
              <w:rPr>
                <w:bCs/>
                <w:noProof/>
                <w:sz w:val="16"/>
                <w:szCs w:val="16"/>
              </w:rPr>
              <w:t>1</w:t>
            </w:r>
            <w:r w:rsidR="00ED655C"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5D" w:rsidRDefault="00FC405D">
      <w:r>
        <w:separator/>
      </w:r>
    </w:p>
  </w:footnote>
  <w:footnote w:type="continuationSeparator" w:id="0">
    <w:p w:rsidR="00FC405D" w:rsidRDefault="00FC4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22" w:rsidRDefault="007E334E">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E" w:rsidRDefault="002A54AE" w:rsidP="00166145">
    <w:pPr>
      <w:rPr>
        <w:sz w:val="16"/>
      </w:rPr>
    </w:pPr>
  </w:p>
  <w:p w:rsidR="00B24E8D" w:rsidRDefault="00B24E8D">
    <w:pPr>
      <w:jc w:val="center"/>
      <w:rPr>
        <w:sz w:val="16"/>
      </w:rPr>
    </w:pPr>
  </w:p>
  <w:p w:rsidR="00166145" w:rsidRDefault="00A77FE8" w:rsidP="00A77FE8">
    <w:pPr>
      <w:tabs>
        <w:tab w:val="left" w:pos="2424"/>
      </w:tabs>
      <w:rPr>
        <w:sz w:val="16"/>
      </w:rPr>
    </w:pPr>
    <w:r>
      <w:rPr>
        <w:sz w:val="16"/>
      </w:rPr>
      <w:tab/>
    </w:r>
  </w:p>
  <w:p w:rsidR="00B24E8D" w:rsidRDefault="00B24E8D" w:rsidP="00166145">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0E092610"/>
    <w:multiLevelType w:val="hybridMultilevel"/>
    <w:tmpl w:val="0CBA95A0"/>
    <w:lvl w:ilvl="0" w:tplc="EA96019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nsid w:val="278C4FB0"/>
    <w:multiLevelType w:val="hybridMultilevel"/>
    <w:tmpl w:val="7EA4FD3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67705E"/>
    <w:multiLevelType w:val="hybridMultilevel"/>
    <w:tmpl w:val="788E5062"/>
    <w:lvl w:ilvl="0" w:tplc="7F1613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417186"/>
    <w:multiLevelType w:val="hybridMultilevel"/>
    <w:tmpl w:val="FD4A84D0"/>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4">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9F7A7F"/>
    <w:multiLevelType w:val="hybridMultilevel"/>
    <w:tmpl w:val="C43EFD70"/>
    <w:lvl w:ilvl="0" w:tplc="7FF09664">
      <w:start w:val="1"/>
      <w:numFmt w:val="decimal"/>
      <w:lvlText w:val="(%1)"/>
      <w:lvlJc w:val="left"/>
      <w:pPr>
        <w:ind w:left="1080" w:hanging="36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D7318A"/>
    <w:multiLevelType w:val="hybridMultilevel"/>
    <w:tmpl w:val="72861BB6"/>
    <w:lvl w:ilvl="0" w:tplc="1A3A8C1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0">
    <w:nsid w:val="49D707E4"/>
    <w:multiLevelType w:val="hybridMultilevel"/>
    <w:tmpl w:val="D602B450"/>
    <w:lvl w:ilvl="0" w:tplc="78BAF0C8">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1">
    <w:nsid w:val="4CE54275"/>
    <w:multiLevelType w:val="hybridMultilevel"/>
    <w:tmpl w:val="E1728642"/>
    <w:lvl w:ilvl="0" w:tplc="B11E645E">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2">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4">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7">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92C9E"/>
    <w:multiLevelType w:val="hybridMultilevel"/>
    <w:tmpl w:val="9CFCF02E"/>
    <w:lvl w:ilvl="0" w:tplc="CC0CA1AA">
      <w:start w:val="1"/>
      <w:numFmt w:val="lowerLetter"/>
      <w:lvlText w:val="(%1)"/>
      <w:lvlJc w:val="left"/>
      <w:pPr>
        <w:ind w:left="1800" w:hanging="360"/>
      </w:pPr>
      <w:rPr>
        <w:rFonts w:ascii="Arial" w:eastAsia="Calibri" w:hAnsi="Arial" w:cs="Arial"/>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2">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4"/>
  </w:num>
  <w:num w:numId="5">
    <w:abstractNumId w:val="3"/>
  </w:num>
  <w:num w:numId="6">
    <w:abstractNumId w:val="5"/>
  </w:num>
  <w:num w:numId="7">
    <w:abstractNumId w:val="0"/>
  </w:num>
  <w:num w:numId="8">
    <w:abstractNumId w:val="2"/>
  </w:num>
  <w:num w:numId="9">
    <w:abstractNumId w:val="1"/>
  </w:num>
  <w:num w:numId="10">
    <w:abstractNumId w:val="26"/>
  </w:num>
  <w:num w:numId="11">
    <w:abstractNumId w:val="31"/>
  </w:num>
  <w:num w:numId="12">
    <w:abstractNumId w:val="11"/>
  </w:num>
  <w:num w:numId="13">
    <w:abstractNumId w:val="23"/>
  </w:num>
  <w:num w:numId="14">
    <w:abstractNumId w:val="22"/>
  </w:num>
  <w:num w:numId="15">
    <w:abstractNumId w:val="32"/>
  </w:num>
  <w:num w:numId="16">
    <w:abstractNumId w:val="24"/>
  </w:num>
  <w:num w:numId="17">
    <w:abstractNumId w:val="15"/>
  </w:num>
  <w:num w:numId="18">
    <w:abstractNumId w:val="30"/>
  </w:num>
  <w:num w:numId="19">
    <w:abstractNumId w:val="4"/>
  </w:num>
  <w:num w:numId="20">
    <w:abstractNumId w:val="8"/>
  </w:num>
  <w:num w:numId="21">
    <w:abstractNumId w:val="25"/>
  </w:num>
  <w:num w:numId="22">
    <w:abstractNumId w:val="28"/>
  </w:num>
  <w:num w:numId="23">
    <w:abstractNumId w:val="17"/>
  </w:num>
  <w:num w:numId="24">
    <w:abstractNumId w:val="27"/>
  </w:num>
  <w:num w:numId="25">
    <w:abstractNumId w:val="21"/>
  </w:num>
  <w:num w:numId="26">
    <w:abstractNumId w:val="19"/>
  </w:num>
  <w:num w:numId="27">
    <w:abstractNumId w:val="20"/>
  </w:num>
  <w:num w:numId="28">
    <w:abstractNumId w:val="10"/>
  </w:num>
  <w:num w:numId="29">
    <w:abstractNumId w:val="12"/>
  </w:num>
  <w:num w:numId="30">
    <w:abstractNumId w:val="9"/>
  </w:num>
  <w:num w:numId="31">
    <w:abstractNumId w:val="6"/>
  </w:num>
  <w:num w:numId="32">
    <w:abstractNumId w:val="2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6E42C7"/>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9B"/>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4C99"/>
    <w:rsid w:val="00095321"/>
    <w:rsid w:val="00095896"/>
    <w:rsid w:val="00096503"/>
    <w:rsid w:val="00096ED9"/>
    <w:rsid w:val="00097439"/>
    <w:rsid w:val="0009759C"/>
    <w:rsid w:val="000A0690"/>
    <w:rsid w:val="000A1481"/>
    <w:rsid w:val="000A232D"/>
    <w:rsid w:val="000A253E"/>
    <w:rsid w:val="000A3738"/>
    <w:rsid w:val="000A4A83"/>
    <w:rsid w:val="000A7DDA"/>
    <w:rsid w:val="000B00D5"/>
    <w:rsid w:val="000B0F46"/>
    <w:rsid w:val="000B1B6E"/>
    <w:rsid w:val="000B1CBF"/>
    <w:rsid w:val="000B2262"/>
    <w:rsid w:val="000B4739"/>
    <w:rsid w:val="000B5A4E"/>
    <w:rsid w:val="000B609A"/>
    <w:rsid w:val="000B7DF9"/>
    <w:rsid w:val="000B7E3A"/>
    <w:rsid w:val="000B7EA9"/>
    <w:rsid w:val="000C0A0A"/>
    <w:rsid w:val="000C0B5A"/>
    <w:rsid w:val="000C2790"/>
    <w:rsid w:val="000C356E"/>
    <w:rsid w:val="000C3889"/>
    <w:rsid w:val="000C3AF6"/>
    <w:rsid w:val="000C55D1"/>
    <w:rsid w:val="000C591B"/>
    <w:rsid w:val="000C5D38"/>
    <w:rsid w:val="000C6DF4"/>
    <w:rsid w:val="000C7310"/>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1CD1"/>
    <w:rsid w:val="0010278D"/>
    <w:rsid w:val="001052BA"/>
    <w:rsid w:val="001058E4"/>
    <w:rsid w:val="0010651B"/>
    <w:rsid w:val="00106A58"/>
    <w:rsid w:val="001070C2"/>
    <w:rsid w:val="001075DF"/>
    <w:rsid w:val="00107726"/>
    <w:rsid w:val="00107973"/>
    <w:rsid w:val="00107AAF"/>
    <w:rsid w:val="00107CFA"/>
    <w:rsid w:val="00110556"/>
    <w:rsid w:val="00113684"/>
    <w:rsid w:val="001143D2"/>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4B49"/>
    <w:rsid w:val="001451EE"/>
    <w:rsid w:val="00145AFD"/>
    <w:rsid w:val="00145E27"/>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145"/>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56A"/>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254"/>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77D"/>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58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14A"/>
    <w:rsid w:val="00246931"/>
    <w:rsid w:val="0025084C"/>
    <w:rsid w:val="002508D0"/>
    <w:rsid w:val="00250F71"/>
    <w:rsid w:val="0025127C"/>
    <w:rsid w:val="0025131B"/>
    <w:rsid w:val="00251D7D"/>
    <w:rsid w:val="00251EE8"/>
    <w:rsid w:val="0025343B"/>
    <w:rsid w:val="00253881"/>
    <w:rsid w:val="00253975"/>
    <w:rsid w:val="00253B14"/>
    <w:rsid w:val="0025571A"/>
    <w:rsid w:val="00256B92"/>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30D6"/>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0800"/>
    <w:rsid w:val="002A14A7"/>
    <w:rsid w:val="002A18E6"/>
    <w:rsid w:val="002A272C"/>
    <w:rsid w:val="002A32E2"/>
    <w:rsid w:val="002A4118"/>
    <w:rsid w:val="002A4719"/>
    <w:rsid w:val="002A4A56"/>
    <w:rsid w:val="002A54AE"/>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928"/>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3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4BF"/>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C38"/>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1D44"/>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C63"/>
    <w:rsid w:val="003B12BD"/>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0D10"/>
    <w:rsid w:val="004016EC"/>
    <w:rsid w:val="00401EFF"/>
    <w:rsid w:val="00401F01"/>
    <w:rsid w:val="00401FC5"/>
    <w:rsid w:val="004038C6"/>
    <w:rsid w:val="00404D6B"/>
    <w:rsid w:val="00405A13"/>
    <w:rsid w:val="00405E85"/>
    <w:rsid w:val="00406DBF"/>
    <w:rsid w:val="00407E07"/>
    <w:rsid w:val="00407F2E"/>
    <w:rsid w:val="00410450"/>
    <w:rsid w:val="0041086E"/>
    <w:rsid w:val="00410954"/>
    <w:rsid w:val="00411369"/>
    <w:rsid w:val="00411E19"/>
    <w:rsid w:val="00416D9C"/>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3AB5"/>
    <w:rsid w:val="00494B21"/>
    <w:rsid w:val="00495B3C"/>
    <w:rsid w:val="00496C9A"/>
    <w:rsid w:val="00496D52"/>
    <w:rsid w:val="00497036"/>
    <w:rsid w:val="0049731B"/>
    <w:rsid w:val="0049783B"/>
    <w:rsid w:val="004A11BB"/>
    <w:rsid w:val="004A1457"/>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1B6"/>
    <w:rsid w:val="005554A5"/>
    <w:rsid w:val="00555665"/>
    <w:rsid w:val="005564D0"/>
    <w:rsid w:val="00556731"/>
    <w:rsid w:val="00557263"/>
    <w:rsid w:val="00557E25"/>
    <w:rsid w:val="005601B8"/>
    <w:rsid w:val="00560785"/>
    <w:rsid w:val="0056129D"/>
    <w:rsid w:val="00561E13"/>
    <w:rsid w:val="005633CD"/>
    <w:rsid w:val="005638F9"/>
    <w:rsid w:val="00564CDA"/>
    <w:rsid w:val="00565B7C"/>
    <w:rsid w:val="00565BDD"/>
    <w:rsid w:val="00565F58"/>
    <w:rsid w:val="00566EDF"/>
    <w:rsid w:val="00567251"/>
    <w:rsid w:val="00567AE7"/>
    <w:rsid w:val="00567EE8"/>
    <w:rsid w:val="0057003F"/>
    <w:rsid w:val="0057028A"/>
    <w:rsid w:val="005702DF"/>
    <w:rsid w:val="0057066C"/>
    <w:rsid w:val="005711DD"/>
    <w:rsid w:val="00571718"/>
    <w:rsid w:val="00572DB7"/>
    <w:rsid w:val="00572DB8"/>
    <w:rsid w:val="005730FB"/>
    <w:rsid w:val="00573189"/>
    <w:rsid w:val="00573E11"/>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8E8"/>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29E"/>
    <w:rsid w:val="005C1740"/>
    <w:rsid w:val="005C2A34"/>
    <w:rsid w:val="005C4736"/>
    <w:rsid w:val="005C5199"/>
    <w:rsid w:val="005C592B"/>
    <w:rsid w:val="005C5A36"/>
    <w:rsid w:val="005C61F9"/>
    <w:rsid w:val="005C623A"/>
    <w:rsid w:val="005C6AAE"/>
    <w:rsid w:val="005D0C4E"/>
    <w:rsid w:val="005D0CD9"/>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67763"/>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1FC0"/>
    <w:rsid w:val="006926DB"/>
    <w:rsid w:val="00692827"/>
    <w:rsid w:val="00692943"/>
    <w:rsid w:val="00695DCD"/>
    <w:rsid w:val="00696A75"/>
    <w:rsid w:val="006A0DFC"/>
    <w:rsid w:val="006A131B"/>
    <w:rsid w:val="006A245D"/>
    <w:rsid w:val="006A4014"/>
    <w:rsid w:val="006A43BE"/>
    <w:rsid w:val="006A4458"/>
    <w:rsid w:val="006A4A09"/>
    <w:rsid w:val="006A4D87"/>
    <w:rsid w:val="006A536A"/>
    <w:rsid w:val="006A59C8"/>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42C7"/>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5C"/>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5772"/>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4429"/>
    <w:rsid w:val="007F5358"/>
    <w:rsid w:val="007F5515"/>
    <w:rsid w:val="007F5D68"/>
    <w:rsid w:val="007F652A"/>
    <w:rsid w:val="007F6EDB"/>
    <w:rsid w:val="007F707A"/>
    <w:rsid w:val="007F7185"/>
    <w:rsid w:val="007F721B"/>
    <w:rsid w:val="007F7D62"/>
    <w:rsid w:val="007F7DAD"/>
    <w:rsid w:val="008003E8"/>
    <w:rsid w:val="00801419"/>
    <w:rsid w:val="00801975"/>
    <w:rsid w:val="008025AD"/>
    <w:rsid w:val="008029A8"/>
    <w:rsid w:val="0080337F"/>
    <w:rsid w:val="00804854"/>
    <w:rsid w:val="00804855"/>
    <w:rsid w:val="00804FA2"/>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6DB4"/>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27B"/>
    <w:rsid w:val="008F0A3A"/>
    <w:rsid w:val="008F0A9B"/>
    <w:rsid w:val="008F0ABC"/>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8C9"/>
    <w:rsid w:val="00927A4B"/>
    <w:rsid w:val="00930610"/>
    <w:rsid w:val="009309D2"/>
    <w:rsid w:val="00930BCA"/>
    <w:rsid w:val="00930EDA"/>
    <w:rsid w:val="00931644"/>
    <w:rsid w:val="00932511"/>
    <w:rsid w:val="009333C0"/>
    <w:rsid w:val="00933410"/>
    <w:rsid w:val="009335AB"/>
    <w:rsid w:val="00933AE1"/>
    <w:rsid w:val="009345BC"/>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C35"/>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55B7D"/>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CC"/>
    <w:rsid w:val="009C5149"/>
    <w:rsid w:val="009C5E13"/>
    <w:rsid w:val="009C66E3"/>
    <w:rsid w:val="009C6FA1"/>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74"/>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564"/>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1E33"/>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77FE8"/>
    <w:rsid w:val="00A8157A"/>
    <w:rsid w:val="00A8368E"/>
    <w:rsid w:val="00A83712"/>
    <w:rsid w:val="00A83E44"/>
    <w:rsid w:val="00A8400F"/>
    <w:rsid w:val="00A84208"/>
    <w:rsid w:val="00A84341"/>
    <w:rsid w:val="00A8487F"/>
    <w:rsid w:val="00A85266"/>
    <w:rsid w:val="00A86229"/>
    <w:rsid w:val="00A86450"/>
    <w:rsid w:val="00A86CCB"/>
    <w:rsid w:val="00A872B6"/>
    <w:rsid w:val="00A87ACC"/>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246"/>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190E"/>
    <w:rsid w:val="00AF2800"/>
    <w:rsid w:val="00AF467E"/>
    <w:rsid w:val="00AF494F"/>
    <w:rsid w:val="00AF4FCF"/>
    <w:rsid w:val="00AF55BC"/>
    <w:rsid w:val="00AF7248"/>
    <w:rsid w:val="00AF7304"/>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4E8D"/>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37B99"/>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073"/>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A78CD"/>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37F6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39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663"/>
    <w:rsid w:val="00CD6B21"/>
    <w:rsid w:val="00CD6ED1"/>
    <w:rsid w:val="00CE0917"/>
    <w:rsid w:val="00CE0EBE"/>
    <w:rsid w:val="00CE176D"/>
    <w:rsid w:val="00CE20E8"/>
    <w:rsid w:val="00CE2643"/>
    <w:rsid w:val="00CE3BE7"/>
    <w:rsid w:val="00CE41EC"/>
    <w:rsid w:val="00CE43ED"/>
    <w:rsid w:val="00CE5D1F"/>
    <w:rsid w:val="00CE6620"/>
    <w:rsid w:val="00CE6AAD"/>
    <w:rsid w:val="00CE6CAA"/>
    <w:rsid w:val="00CE7A89"/>
    <w:rsid w:val="00CF0217"/>
    <w:rsid w:val="00CF033D"/>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2F02"/>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05E"/>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3F5"/>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45"/>
    <w:rsid w:val="00DA045A"/>
    <w:rsid w:val="00DA06BD"/>
    <w:rsid w:val="00DA075D"/>
    <w:rsid w:val="00DA08AC"/>
    <w:rsid w:val="00DA0EE5"/>
    <w:rsid w:val="00DA207D"/>
    <w:rsid w:val="00DA29EE"/>
    <w:rsid w:val="00DA3260"/>
    <w:rsid w:val="00DA3AC4"/>
    <w:rsid w:val="00DA4B40"/>
    <w:rsid w:val="00DA6731"/>
    <w:rsid w:val="00DA71E8"/>
    <w:rsid w:val="00DA7474"/>
    <w:rsid w:val="00DA7502"/>
    <w:rsid w:val="00DB0AB8"/>
    <w:rsid w:val="00DB1690"/>
    <w:rsid w:val="00DB259A"/>
    <w:rsid w:val="00DB30FA"/>
    <w:rsid w:val="00DB3B37"/>
    <w:rsid w:val="00DB3BD0"/>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3EE"/>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6BB"/>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74EE"/>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D655C"/>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19"/>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405D"/>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1">
    <w:name w:val="heading 1"/>
    <w:basedOn w:val="Normal"/>
    <w:next w:val="Normal"/>
    <w:link w:val="Heading1Char"/>
    <w:qFormat/>
    <w:rsid w:val="00A77FE8"/>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A77FE8"/>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Heading1Char">
    <w:name w:val="Heading 1 Char"/>
    <w:basedOn w:val="DefaultParagraphFont"/>
    <w:link w:val="Heading1"/>
    <w:rsid w:val="00A77FE8"/>
    <w:rPr>
      <w:rFonts w:ascii="Arial" w:eastAsia="Times New Roman" w:hAnsi="Arial" w:cs="Arial"/>
      <w:b/>
      <w:bCs/>
      <w:sz w:val="24"/>
      <w:szCs w:val="24"/>
      <w:lang w:val="en-US"/>
    </w:rPr>
  </w:style>
  <w:style w:type="character" w:customStyle="1" w:styleId="Heading2Char">
    <w:name w:val="Heading 2 Char"/>
    <w:basedOn w:val="DefaultParagraphFont"/>
    <w:link w:val="Heading2"/>
    <w:rsid w:val="00A77FE8"/>
    <w:rPr>
      <w:rFonts w:ascii="Arial" w:eastAsia="SimSun" w:hAnsi="Arial" w:cs="Arial"/>
      <w:b/>
      <w:bCs/>
      <w:sz w:val="32"/>
      <w:szCs w:val="20"/>
      <w:lang w:val="en-GB"/>
    </w:rPr>
  </w:style>
  <w:style w:type="table" w:customStyle="1" w:styleId="TableGrid1">
    <w:name w:val="Table Grid1"/>
    <w:basedOn w:val="TableNormal"/>
    <w:next w:val="TableGrid"/>
    <w:rsid w:val="008048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12106227">
      <w:bodyDiv w:val="1"/>
      <w:marLeft w:val="0"/>
      <w:marRight w:val="0"/>
      <w:marTop w:val="0"/>
      <w:marBottom w:val="0"/>
      <w:divBdr>
        <w:top w:val="none" w:sz="0" w:space="0" w:color="auto"/>
        <w:left w:val="none" w:sz="0" w:space="0" w:color="auto"/>
        <w:bottom w:val="none" w:sz="0" w:space="0" w:color="auto"/>
        <w:right w:val="none" w:sz="0" w:space="0" w:color="auto"/>
      </w:divBdr>
    </w:div>
    <w:div w:id="39454892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 w:id="21303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ep\Documents\Custom%20Office%20Templates\Parli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Parliment template</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Hendrickse</dc:creator>
  <cp:lastModifiedBy>USER</cp:lastModifiedBy>
  <cp:revision>2</cp:revision>
  <cp:lastPrinted>2021-03-08T12:27:00Z</cp:lastPrinted>
  <dcterms:created xsi:type="dcterms:W3CDTF">2021-04-19T12:38:00Z</dcterms:created>
  <dcterms:modified xsi:type="dcterms:W3CDTF">2021-04-19T12:38:00Z</dcterms:modified>
</cp:coreProperties>
</file>