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675540">
        <w:rPr>
          <w:rFonts w:ascii="Arial" w:eastAsia="Times New Roman" w:hAnsi="Arial" w:cs="Arial"/>
          <w:b/>
          <w:snapToGrid w:val="0"/>
          <w:sz w:val="40"/>
          <w:szCs w:val="40"/>
          <w:lang w:val="en-GB"/>
        </w:rPr>
        <w:t>40</w:t>
      </w:r>
      <w:r w:rsidR="00C25589">
        <w:rPr>
          <w:rFonts w:ascii="Arial" w:eastAsia="Times New Roman" w:hAnsi="Arial" w:cs="Arial"/>
          <w:b/>
          <w:snapToGrid w:val="0"/>
          <w:sz w:val="40"/>
          <w:szCs w:val="40"/>
          <w:lang w:val="en-GB"/>
        </w:rPr>
        <w:t>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675540">
        <w:rPr>
          <w:rFonts w:ascii="Arial" w:eastAsia="Times New Roman" w:hAnsi="Arial" w:cs="Arial"/>
          <w:b/>
          <w:snapToGrid w:val="0"/>
          <w:sz w:val="40"/>
          <w:szCs w:val="40"/>
          <w:lang w:val="en-GB"/>
        </w:rPr>
        <w:t>23</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675540">
        <w:rPr>
          <w:rFonts w:ascii="Arial" w:eastAsia="Times New Roman" w:hAnsi="Arial" w:cs="Arial"/>
          <w:b/>
          <w:snapToGrid w:val="0"/>
          <w:sz w:val="40"/>
          <w:szCs w:val="40"/>
          <w:lang w:val="en-GB"/>
        </w:rPr>
        <w:t>40</w:t>
      </w:r>
      <w:r w:rsidR="009E7540">
        <w:rPr>
          <w:rFonts w:ascii="Arial" w:eastAsia="Times New Roman" w:hAnsi="Arial" w:cs="Arial"/>
          <w:b/>
          <w:snapToGrid w:val="0"/>
          <w:sz w:val="40"/>
          <w:szCs w:val="40"/>
          <w:lang w:val="en-GB"/>
        </w:rPr>
        <w:t xml:space="preserve"> - 2020</w:t>
      </w:r>
    </w:p>
    <w:p w:rsidR="00C25589" w:rsidRPr="00C25589" w:rsidRDefault="00C25589" w:rsidP="00C25589">
      <w:pPr>
        <w:spacing w:before="100" w:beforeAutospacing="1" w:after="100" w:afterAutospacing="1" w:line="240" w:lineRule="auto"/>
        <w:ind w:left="720" w:hanging="720"/>
        <w:jc w:val="both"/>
        <w:outlineLvl w:val="0"/>
        <w:rPr>
          <w:rFonts w:ascii="Arial" w:hAnsi="Arial" w:cs="Arial"/>
          <w:b/>
          <w:sz w:val="40"/>
          <w:szCs w:val="40"/>
        </w:rPr>
      </w:pPr>
      <w:r w:rsidRPr="00C25589">
        <w:rPr>
          <w:rFonts w:ascii="Arial" w:eastAsia="Calibri" w:hAnsi="Arial" w:cs="Arial"/>
          <w:b/>
          <w:bCs/>
          <w:color w:val="000000"/>
          <w:sz w:val="40"/>
          <w:szCs w:val="40"/>
          <w:lang w:eastAsia="en-ZA"/>
        </w:rPr>
        <w:t>2408</w:t>
      </w:r>
      <w:r w:rsidRPr="00C25589">
        <w:rPr>
          <w:rFonts w:ascii="Arial" w:eastAsia="Times New Roman" w:hAnsi="Arial" w:cs="Arial"/>
          <w:b/>
          <w:sz w:val="40"/>
          <w:szCs w:val="40"/>
        </w:rPr>
        <w:t>.</w:t>
      </w:r>
      <w:r w:rsidRPr="00C25589">
        <w:rPr>
          <w:rFonts w:ascii="Arial" w:eastAsia="Times New Roman" w:hAnsi="Arial" w:cs="Arial"/>
          <w:b/>
          <w:sz w:val="40"/>
          <w:szCs w:val="40"/>
        </w:rPr>
        <w:tab/>
      </w:r>
      <w:r w:rsidRPr="00C25589">
        <w:rPr>
          <w:rFonts w:ascii="Arial" w:hAnsi="Arial" w:cs="Arial"/>
          <w:b/>
          <w:sz w:val="40"/>
          <w:szCs w:val="40"/>
        </w:rPr>
        <w:t>Ms L L van der Merwe (IFP) to ask the Minister of Social Development</w:t>
      </w:r>
      <w:r w:rsidR="009703BA" w:rsidRPr="00C25589">
        <w:rPr>
          <w:rFonts w:ascii="Arial" w:hAnsi="Arial" w:cs="Arial"/>
          <w:b/>
          <w:sz w:val="40"/>
          <w:szCs w:val="40"/>
        </w:rPr>
        <w:fldChar w:fldCharType="begin"/>
      </w:r>
      <w:r w:rsidRPr="00C25589">
        <w:rPr>
          <w:rFonts w:ascii="Arial" w:hAnsi="Arial" w:cs="Arial"/>
          <w:sz w:val="40"/>
          <w:szCs w:val="40"/>
        </w:rPr>
        <w:instrText xml:space="preserve"> XE "</w:instrText>
      </w:r>
      <w:r w:rsidRPr="00C25589">
        <w:rPr>
          <w:rFonts w:ascii="Arial" w:hAnsi="Arial" w:cs="Arial"/>
          <w:b/>
          <w:sz w:val="40"/>
          <w:szCs w:val="40"/>
          <w:lang w:val="en-GB"/>
        </w:rPr>
        <w:instrText>Social Development</w:instrText>
      </w:r>
      <w:r w:rsidRPr="00C25589">
        <w:rPr>
          <w:rFonts w:ascii="Arial" w:hAnsi="Arial" w:cs="Arial"/>
          <w:sz w:val="40"/>
          <w:szCs w:val="40"/>
        </w:rPr>
        <w:instrText xml:space="preserve">" </w:instrText>
      </w:r>
      <w:r w:rsidR="009703BA" w:rsidRPr="00C25589">
        <w:rPr>
          <w:rFonts w:ascii="Arial" w:hAnsi="Arial" w:cs="Arial"/>
          <w:b/>
          <w:sz w:val="40"/>
          <w:szCs w:val="40"/>
        </w:rPr>
        <w:fldChar w:fldCharType="end"/>
      </w:r>
      <w:r w:rsidRPr="00C25589">
        <w:rPr>
          <w:rFonts w:ascii="Arial" w:hAnsi="Arial" w:cs="Arial"/>
          <w:b/>
          <w:sz w:val="40"/>
          <w:szCs w:val="40"/>
        </w:rPr>
        <w:t>:</w:t>
      </w:r>
    </w:p>
    <w:p w:rsidR="00C25589" w:rsidRPr="00C25589" w:rsidRDefault="00C25589" w:rsidP="00C25589">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C25589">
        <w:rPr>
          <w:rFonts w:ascii="Arial" w:hAnsi="Arial" w:cs="Arial"/>
          <w:sz w:val="40"/>
          <w:szCs w:val="40"/>
        </w:rPr>
        <w:t xml:space="preserve">With reference to a statement by the National Development Agency early in October 2020 that her department had allocated </w:t>
      </w:r>
      <w:r w:rsidRPr="00C25589">
        <w:rPr>
          <w:rFonts w:ascii="Arial" w:eastAsia="Calibri" w:hAnsi="Arial" w:cs="Arial"/>
          <w:bCs/>
          <w:sz w:val="40"/>
          <w:szCs w:val="40"/>
          <w:lang w:val="en-GB"/>
        </w:rPr>
        <w:t>R100 </w:t>
      </w:r>
      <w:r w:rsidRPr="00C25589">
        <w:rPr>
          <w:rFonts w:ascii="Arial" w:hAnsi="Arial" w:cs="Arial"/>
          <w:sz w:val="40"/>
          <w:szCs w:val="40"/>
          <w:lang w:val="af-ZA"/>
        </w:rPr>
        <w:t>million</w:t>
      </w:r>
      <w:r w:rsidRPr="00C25589">
        <w:rPr>
          <w:rFonts w:ascii="Arial" w:hAnsi="Arial" w:cs="Arial"/>
          <w:sz w:val="40"/>
          <w:szCs w:val="40"/>
        </w:rPr>
        <w:t xml:space="preserve"> from the Criminal Assets Recovery Account to provide financial support to organisations rendering services to victims of crime, gender-based violence and femicide and given that  representatives of various civil society groups have voiced their concerns about the distribution process (details furnished) of the specified funding, what (a) are the full, relevant details of the distribution process, (b) criteria </w:t>
      </w:r>
      <w:r w:rsidRPr="00C25589">
        <w:rPr>
          <w:rFonts w:ascii="Arial" w:hAnsi="Arial" w:cs="Arial"/>
          <w:sz w:val="40"/>
          <w:szCs w:val="40"/>
        </w:rPr>
        <w:lastRenderedPageBreak/>
        <w:t>are being considered, (c) total number of organisations have received the funding to date and (d) are the names of the specified organisations that received such funding?</w:t>
      </w:r>
      <w:r w:rsidRPr="00C25589">
        <w:rPr>
          <w:rFonts w:ascii="Arial" w:hAnsi="Arial" w:cs="Arial"/>
          <w:sz w:val="40"/>
          <w:szCs w:val="40"/>
        </w:rPr>
        <w:tab/>
      </w:r>
      <w:r w:rsidRPr="00C25589">
        <w:rPr>
          <w:rFonts w:ascii="Arial" w:hAnsi="Arial" w:cs="Arial"/>
          <w:sz w:val="40"/>
          <w:szCs w:val="40"/>
        </w:rPr>
        <w:tab/>
      </w:r>
      <w:r w:rsidRPr="00C25589">
        <w:rPr>
          <w:rFonts w:ascii="Arial" w:hAnsi="Arial" w:cs="Arial"/>
          <w:sz w:val="40"/>
          <w:szCs w:val="40"/>
        </w:rPr>
        <w:tab/>
      </w:r>
      <w:r w:rsidRPr="00C25589">
        <w:rPr>
          <w:rFonts w:ascii="Arial" w:hAnsi="Arial" w:cs="Arial"/>
          <w:sz w:val="40"/>
          <w:szCs w:val="40"/>
        </w:rPr>
        <w:tab/>
      </w:r>
      <w:r w:rsidRPr="00C25589">
        <w:rPr>
          <w:rFonts w:ascii="Arial" w:hAnsi="Arial" w:cs="Arial"/>
          <w:sz w:val="40"/>
          <w:szCs w:val="40"/>
        </w:rPr>
        <w:tab/>
      </w:r>
      <w:r w:rsidRPr="00C25589">
        <w:rPr>
          <w:rFonts w:ascii="Arial" w:hAnsi="Arial" w:cs="Arial"/>
          <w:sz w:val="40"/>
          <w:szCs w:val="40"/>
        </w:rPr>
        <w:tab/>
      </w:r>
      <w:r w:rsidRPr="00C25589">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C25589">
        <w:rPr>
          <w:rFonts w:ascii="Arial" w:hAnsi="Arial" w:cs="Arial"/>
          <w:sz w:val="40"/>
          <w:szCs w:val="40"/>
        </w:rPr>
        <w:t>NW3016E</w:t>
      </w:r>
    </w:p>
    <w:p w:rsidR="00675540" w:rsidRDefault="00675540" w:rsidP="00675540">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67554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F10CC8" w:rsidP="00DA4793">
      <w:pPr>
        <w:spacing w:before="100" w:beforeAutospacing="1" w:after="100" w:afterAutospacing="1"/>
        <w:jc w:val="both"/>
        <w:rPr>
          <w:rFonts w:ascii="Arial" w:hAnsi="Arial" w:cs="Arial"/>
          <w:sz w:val="40"/>
          <w:szCs w:val="40"/>
        </w:rPr>
      </w:pPr>
    </w:p>
    <w:p w:rsidR="00FA41D9" w:rsidRDefault="00FA41D9" w:rsidP="00FA41D9">
      <w:pPr>
        <w:ind w:left="990" w:hanging="990"/>
        <w:jc w:val="both"/>
        <w:rPr>
          <w:rFonts w:ascii="Arial" w:eastAsia="Times New Roman" w:hAnsi="Arial" w:cs="Arial"/>
          <w:lang w:val="en-GB"/>
        </w:rPr>
      </w:pPr>
      <w:r>
        <w:rPr>
          <w:rFonts w:ascii="Arial" w:eastAsia="Calibri" w:hAnsi="Arial" w:cs="Arial"/>
          <w:sz w:val="40"/>
          <w:szCs w:val="40"/>
        </w:rPr>
        <w:t>(</w:t>
      </w:r>
      <w:r w:rsidRPr="00FA41D9">
        <w:rPr>
          <w:rFonts w:ascii="Arial" w:hAnsi="Arial" w:cs="Arial"/>
          <w:sz w:val="40"/>
          <w:szCs w:val="40"/>
        </w:rPr>
        <w:t>a) The Grant Proposal Evaluation Team comprising of NDA, DoSD, Department of Women, Youth and Persons with Disabilities and the I</w:t>
      </w:r>
      <w:r w:rsidR="001723B5">
        <w:rPr>
          <w:rFonts w:ascii="Arial" w:hAnsi="Arial" w:cs="Arial"/>
          <w:sz w:val="40"/>
          <w:szCs w:val="40"/>
        </w:rPr>
        <w:t xml:space="preserve">nterim </w:t>
      </w:r>
      <w:r w:rsidRPr="00FA41D9">
        <w:rPr>
          <w:rFonts w:ascii="Arial" w:hAnsi="Arial" w:cs="Arial"/>
          <w:sz w:val="40"/>
          <w:szCs w:val="40"/>
        </w:rPr>
        <w:t>S</w:t>
      </w:r>
      <w:r w:rsidR="001723B5">
        <w:rPr>
          <w:rFonts w:ascii="Arial" w:hAnsi="Arial" w:cs="Arial"/>
          <w:sz w:val="40"/>
          <w:szCs w:val="40"/>
        </w:rPr>
        <w:t xml:space="preserve">teering </w:t>
      </w:r>
      <w:r w:rsidRPr="00FA41D9">
        <w:rPr>
          <w:rFonts w:ascii="Arial" w:hAnsi="Arial" w:cs="Arial"/>
          <w:sz w:val="40"/>
          <w:szCs w:val="40"/>
        </w:rPr>
        <w:t>C</w:t>
      </w:r>
      <w:r w:rsidR="001723B5">
        <w:rPr>
          <w:rFonts w:ascii="Arial" w:hAnsi="Arial" w:cs="Arial"/>
          <w:sz w:val="40"/>
          <w:szCs w:val="40"/>
        </w:rPr>
        <w:t>ommittee</w:t>
      </w:r>
      <w:r w:rsidRPr="00FA41D9">
        <w:rPr>
          <w:rFonts w:ascii="Arial" w:hAnsi="Arial" w:cs="Arial"/>
          <w:sz w:val="40"/>
          <w:szCs w:val="40"/>
        </w:rPr>
        <w:t xml:space="preserve"> evaluated 589 qualifying proposals received in response to the NDA’s call for proposals from CSOs rendering services to support victims of gender-based violence and femicide. The Team short-listed and recommended 312 emerging and established CSOs for funding to the value of R 86,100,000, for the NDA Board’s approval.  Table 1 below outlines the outcome of the evaluation process per Province.</w:t>
      </w:r>
    </w:p>
    <w:p w:rsidR="00FA41D9" w:rsidRDefault="00FA41D9" w:rsidP="00FA41D9">
      <w:pPr>
        <w:rPr>
          <w:rFonts w:ascii="Arial" w:eastAsia="Calibri" w:hAnsi="Arial" w:cs="Arial"/>
          <w:sz w:val="40"/>
          <w:szCs w:val="40"/>
        </w:rPr>
      </w:pPr>
    </w:p>
    <w:tbl>
      <w:tblPr>
        <w:tblW w:w="4823" w:type="pct"/>
        <w:tblInd w:w="350" w:type="dxa"/>
        <w:tblCellMar>
          <w:left w:w="0" w:type="dxa"/>
          <w:right w:w="0" w:type="dxa"/>
        </w:tblCellMar>
        <w:tblLook w:val="04A0"/>
      </w:tblPr>
      <w:tblGrid>
        <w:gridCol w:w="1597"/>
        <w:gridCol w:w="1763"/>
        <w:gridCol w:w="1849"/>
        <w:gridCol w:w="1763"/>
        <w:gridCol w:w="1943"/>
      </w:tblGrid>
      <w:tr w:rsidR="00FA41D9" w:rsidTr="00FA41D9">
        <w:trPr>
          <w:trHeight w:val="1160"/>
        </w:trPr>
        <w:tc>
          <w:tcPr>
            <w:tcW w:w="895"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rPr>
                <w:rFonts w:ascii="Arial" w:eastAsia="Times New Roman" w:hAnsi="Arial" w:cs="Arial"/>
                <w:b/>
                <w:lang w:val="en-US"/>
              </w:rPr>
            </w:pPr>
            <w:r>
              <w:rPr>
                <w:rFonts w:ascii="Arial" w:eastAsia="Times New Roman" w:hAnsi="Arial" w:cs="Arial"/>
                <w:b/>
              </w:rPr>
              <w:t>Province</w:t>
            </w:r>
          </w:p>
        </w:tc>
        <w:tc>
          <w:tcPr>
            <w:tcW w:w="989"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rPr>
                <w:rFonts w:ascii="Arial" w:eastAsia="Times New Roman" w:hAnsi="Arial" w:cs="Arial"/>
                <w:b/>
                <w:lang w:val="en-US"/>
              </w:rPr>
            </w:pPr>
            <w:r>
              <w:rPr>
                <w:rFonts w:ascii="Arial" w:eastAsia="Times New Roman" w:hAnsi="Arial" w:cs="Arial"/>
                <w:b/>
              </w:rPr>
              <w:t xml:space="preserve">Number of recommended emerging CSOs </w:t>
            </w:r>
          </w:p>
        </w:tc>
        <w:tc>
          <w:tcPr>
            <w:tcW w:w="1037"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rPr>
                <w:rFonts w:ascii="Arial" w:eastAsia="Times New Roman" w:hAnsi="Arial" w:cs="Arial"/>
                <w:b/>
                <w:lang w:val="en-US"/>
              </w:rPr>
            </w:pPr>
            <w:r>
              <w:rPr>
                <w:rFonts w:ascii="Arial" w:eastAsia="Times New Roman" w:hAnsi="Arial" w:cs="Arial"/>
                <w:b/>
              </w:rPr>
              <w:t>Number of recommended established CSOs</w:t>
            </w:r>
          </w:p>
        </w:tc>
        <w:tc>
          <w:tcPr>
            <w:tcW w:w="989"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rPr>
                <w:rFonts w:ascii="Arial" w:eastAsia="Times New Roman" w:hAnsi="Arial" w:cs="Arial"/>
                <w:b/>
                <w:lang w:val="en-US"/>
              </w:rPr>
            </w:pPr>
            <w:r>
              <w:rPr>
                <w:rFonts w:ascii="Arial" w:eastAsia="Times New Roman" w:hAnsi="Arial" w:cs="Arial"/>
                <w:b/>
              </w:rPr>
              <w:t>Total number of recommended CSOs</w:t>
            </w:r>
          </w:p>
        </w:tc>
        <w:tc>
          <w:tcPr>
            <w:tcW w:w="1091"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rPr>
                <w:rFonts w:ascii="Arial" w:eastAsia="Times New Roman" w:hAnsi="Arial" w:cs="Arial"/>
                <w:b/>
                <w:lang w:val="en-US"/>
              </w:rPr>
            </w:pPr>
            <w:r>
              <w:rPr>
                <w:rFonts w:ascii="Arial" w:eastAsia="Times New Roman" w:hAnsi="Arial" w:cs="Arial"/>
                <w:b/>
              </w:rPr>
              <w:t>Total amounts of recommended CSOs per Province</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Gauteng</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8</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52</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60</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 17 200 000</w:t>
            </w:r>
          </w:p>
        </w:tc>
      </w:tr>
      <w:tr w:rsidR="00FA41D9" w:rsidTr="00FA41D9">
        <w:trPr>
          <w:trHeight w:val="521"/>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Eastern Cape</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37</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30</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67</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R16 400 000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Western Cape</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2</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21</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23</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 6 700 000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Mpumalanga</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3</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34</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37</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 10 800 000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Free State</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3</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17</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20</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R5 700 000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Northern Cape</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5</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8</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13</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R3 400 000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North West</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4</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5</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9</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 2 300 000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Limpopo</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9</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48</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57</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R16 200 000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KwaZulu-Natal</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4</w:t>
            </w:r>
          </w:p>
        </w:tc>
        <w:tc>
          <w:tcPr>
            <w:tcW w:w="1037"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22</w:t>
            </w:r>
          </w:p>
        </w:tc>
        <w:tc>
          <w:tcPr>
            <w:tcW w:w="9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rPr>
              <w:t>26</w:t>
            </w:r>
          </w:p>
        </w:tc>
        <w:tc>
          <w:tcPr>
            <w:tcW w:w="1091"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rPr>
              <w:t>R7 400 000</w:t>
            </w:r>
          </w:p>
        </w:tc>
      </w:tr>
      <w:tr w:rsidR="00FA41D9" w:rsidTr="00FA41D9">
        <w:trPr>
          <w:trHeight w:val="503"/>
        </w:trPr>
        <w:tc>
          <w:tcPr>
            <w:tcW w:w="895"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b/>
                <w:bCs/>
              </w:rPr>
              <w:t> </w:t>
            </w:r>
          </w:p>
          <w:p w:rsidR="00FA41D9" w:rsidRDefault="00FA41D9">
            <w:pPr>
              <w:spacing w:after="0" w:line="240" w:lineRule="auto"/>
              <w:ind w:left="-30"/>
              <w:rPr>
                <w:rFonts w:ascii="Arial" w:eastAsia="Times New Roman" w:hAnsi="Arial" w:cs="Arial"/>
                <w:lang w:val="en-US"/>
              </w:rPr>
            </w:pPr>
            <w:r>
              <w:rPr>
                <w:rFonts w:ascii="Arial" w:eastAsia="Times New Roman" w:hAnsi="Arial" w:cs="Arial"/>
                <w:b/>
                <w:bCs/>
              </w:rPr>
              <w:t>Total</w:t>
            </w:r>
          </w:p>
        </w:tc>
        <w:tc>
          <w:tcPr>
            <w:tcW w:w="989"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rsidR="00FA41D9" w:rsidRDefault="00FA41D9">
            <w:pPr>
              <w:spacing w:after="0" w:line="240" w:lineRule="auto"/>
              <w:ind w:left="-30"/>
              <w:jc w:val="center"/>
              <w:rPr>
                <w:rFonts w:ascii="Arial" w:eastAsia="Times New Roman" w:hAnsi="Arial" w:cs="Arial"/>
                <w:lang w:val="en-US"/>
              </w:rPr>
            </w:pPr>
          </w:p>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b/>
                <w:bCs/>
              </w:rPr>
              <w:t>75</w:t>
            </w:r>
          </w:p>
        </w:tc>
        <w:tc>
          <w:tcPr>
            <w:tcW w:w="1037"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rsidR="00FA41D9" w:rsidRDefault="00FA41D9">
            <w:pPr>
              <w:spacing w:after="0" w:line="240" w:lineRule="auto"/>
              <w:ind w:left="-30"/>
              <w:jc w:val="center"/>
              <w:rPr>
                <w:rFonts w:ascii="Arial" w:eastAsia="Times New Roman" w:hAnsi="Arial" w:cs="Arial"/>
                <w:lang w:val="en-US"/>
              </w:rPr>
            </w:pPr>
          </w:p>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b/>
                <w:bCs/>
              </w:rPr>
              <w:t>237</w:t>
            </w:r>
          </w:p>
        </w:tc>
        <w:tc>
          <w:tcPr>
            <w:tcW w:w="989"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tcPr>
          <w:p w:rsidR="00FA41D9" w:rsidRDefault="00FA41D9">
            <w:pPr>
              <w:spacing w:after="0" w:line="240" w:lineRule="auto"/>
              <w:ind w:left="-30"/>
              <w:jc w:val="center"/>
              <w:rPr>
                <w:rFonts w:ascii="Arial" w:eastAsia="Times New Roman" w:hAnsi="Arial" w:cs="Arial"/>
                <w:lang w:val="en-US"/>
              </w:rPr>
            </w:pPr>
          </w:p>
          <w:p w:rsidR="00FA41D9" w:rsidRDefault="00FA41D9">
            <w:pPr>
              <w:spacing w:after="0" w:line="240" w:lineRule="auto"/>
              <w:ind w:left="-30"/>
              <w:jc w:val="center"/>
              <w:rPr>
                <w:rFonts w:ascii="Arial" w:eastAsia="Times New Roman" w:hAnsi="Arial" w:cs="Arial"/>
                <w:lang w:val="en-US"/>
              </w:rPr>
            </w:pPr>
            <w:r>
              <w:rPr>
                <w:rFonts w:ascii="Arial" w:eastAsia="Times New Roman" w:hAnsi="Arial" w:cs="Arial"/>
                <w:b/>
                <w:bCs/>
              </w:rPr>
              <w:t>312</w:t>
            </w:r>
          </w:p>
        </w:tc>
        <w:tc>
          <w:tcPr>
            <w:tcW w:w="1091" w:type="pct"/>
            <w:tcBorders>
              <w:top w:val="single" w:sz="8" w:space="0" w:color="000000"/>
              <w:left w:val="single" w:sz="8" w:space="0" w:color="000000"/>
              <w:bottom w:val="single" w:sz="8" w:space="0" w:color="000000"/>
              <w:right w:val="single" w:sz="8" w:space="0" w:color="000000"/>
            </w:tcBorders>
            <w:shd w:val="clear" w:color="auto" w:fill="A8D08D"/>
            <w:tcMar>
              <w:top w:w="15" w:type="dxa"/>
              <w:left w:w="108" w:type="dxa"/>
              <w:bottom w:w="0" w:type="dxa"/>
              <w:right w:w="108" w:type="dxa"/>
            </w:tcMar>
            <w:hideMark/>
          </w:tcPr>
          <w:p w:rsidR="00FA41D9" w:rsidRDefault="00FA41D9">
            <w:pPr>
              <w:spacing w:after="0" w:line="240" w:lineRule="auto"/>
              <w:ind w:left="-30"/>
              <w:rPr>
                <w:rFonts w:ascii="Arial" w:eastAsia="Times New Roman" w:hAnsi="Arial" w:cs="Arial"/>
                <w:lang w:val="en-US"/>
              </w:rPr>
            </w:pPr>
            <w:r>
              <w:rPr>
                <w:rFonts w:ascii="Arial" w:eastAsia="Times New Roman" w:hAnsi="Arial" w:cs="Arial"/>
                <w:b/>
                <w:bCs/>
              </w:rPr>
              <w:t> </w:t>
            </w:r>
          </w:p>
          <w:p w:rsidR="00FA41D9" w:rsidRDefault="00FA41D9">
            <w:pPr>
              <w:spacing w:after="0" w:line="240" w:lineRule="auto"/>
              <w:ind w:left="-30"/>
              <w:rPr>
                <w:rFonts w:ascii="Arial" w:eastAsia="Times New Roman" w:hAnsi="Arial" w:cs="Arial"/>
                <w:lang w:val="en-US"/>
              </w:rPr>
            </w:pPr>
            <w:r>
              <w:rPr>
                <w:rFonts w:ascii="Arial" w:eastAsia="Times New Roman" w:hAnsi="Arial" w:cs="Arial"/>
                <w:b/>
                <w:bCs/>
              </w:rPr>
              <w:t>R 86 100 000</w:t>
            </w:r>
          </w:p>
        </w:tc>
      </w:tr>
    </w:tbl>
    <w:p w:rsidR="00FA41D9" w:rsidRDefault="00FA41D9" w:rsidP="00FA41D9">
      <w:pPr>
        <w:rPr>
          <w:rFonts w:ascii="Arial" w:eastAsia="Calibri" w:hAnsi="Arial" w:cs="Arial"/>
          <w:sz w:val="40"/>
          <w:szCs w:val="40"/>
        </w:rPr>
      </w:pPr>
    </w:p>
    <w:p w:rsidR="00FA41D9" w:rsidRDefault="00FA41D9" w:rsidP="00FA41D9">
      <w:pPr>
        <w:ind w:left="540" w:hanging="630"/>
        <w:rPr>
          <w:rFonts w:ascii="Arial" w:eastAsia="Calibri" w:hAnsi="Arial" w:cs="Arial"/>
          <w:sz w:val="40"/>
          <w:szCs w:val="40"/>
        </w:rPr>
      </w:pPr>
      <w:r>
        <w:rPr>
          <w:rFonts w:ascii="Arial" w:eastAsia="Calibri" w:hAnsi="Arial" w:cs="Arial"/>
          <w:sz w:val="40"/>
          <w:szCs w:val="40"/>
        </w:rPr>
        <w:t>(b) The following criteria was used to make a decision on the proposals submitted:</w:t>
      </w:r>
    </w:p>
    <w:p w:rsidR="00FA41D9" w:rsidRDefault="00FA41D9" w:rsidP="00FA41D9">
      <w:pPr>
        <w:ind w:left="540" w:hanging="630"/>
        <w:rPr>
          <w:rFonts w:ascii="Arial" w:eastAsia="Calibri" w:hAnsi="Arial" w:cs="Arial"/>
          <w:sz w:val="40"/>
          <w:szCs w:val="40"/>
        </w:rPr>
      </w:pPr>
    </w:p>
    <w:p w:rsidR="00FA41D9" w:rsidRDefault="00FA41D9" w:rsidP="00FA41D9">
      <w:pPr>
        <w:ind w:left="540"/>
        <w:jc w:val="both"/>
        <w:rPr>
          <w:rFonts w:ascii="Arial" w:eastAsia="Calibri" w:hAnsi="Arial" w:cs="Arial"/>
          <w:sz w:val="40"/>
          <w:szCs w:val="40"/>
        </w:rPr>
      </w:pPr>
      <w:r w:rsidRPr="00FA41D9">
        <w:rPr>
          <w:rFonts w:ascii="Arial" w:eastAsia="Calibri" w:hAnsi="Arial" w:cs="Arial"/>
          <w:sz w:val="40"/>
          <w:szCs w:val="40"/>
        </w:rPr>
        <w:t xml:space="preserve">1. Financial and operational capacity- this looked at whether the applicant organisation has experience and capacity to manage the </w:t>
      </w:r>
      <w:r w:rsidRPr="00FA41D9">
        <w:rPr>
          <w:rFonts w:ascii="Arial" w:eastAsia="Calibri" w:hAnsi="Arial" w:cs="Arial"/>
          <w:sz w:val="40"/>
          <w:szCs w:val="40"/>
        </w:rPr>
        <w:lastRenderedPageBreak/>
        <w:t>project. The financial and governance capacity of the organisation was also examined. The applicant needed to indicate how the programme would address vulnerable groups such as women, children, people with disabilities and LGBTQ+</w:t>
      </w:r>
      <w:r>
        <w:rPr>
          <w:rFonts w:ascii="Arial" w:eastAsia="Calibri" w:hAnsi="Arial" w:cs="Arial"/>
          <w:sz w:val="40"/>
          <w:szCs w:val="40"/>
        </w:rPr>
        <w:t xml:space="preserve">. </w:t>
      </w:r>
    </w:p>
    <w:p w:rsidR="00FA41D9" w:rsidRDefault="00FA41D9" w:rsidP="00FA41D9">
      <w:pPr>
        <w:ind w:left="540"/>
        <w:jc w:val="both"/>
        <w:rPr>
          <w:rFonts w:ascii="Arial" w:eastAsia="Calibri" w:hAnsi="Arial" w:cs="Arial"/>
          <w:sz w:val="40"/>
          <w:szCs w:val="40"/>
        </w:rPr>
      </w:pPr>
    </w:p>
    <w:p w:rsidR="00FA41D9" w:rsidRPr="00FA41D9" w:rsidRDefault="00FA41D9" w:rsidP="00FA41D9">
      <w:pPr>
        <w:ind w:left="540"/>
        <w:jc w:val="both"/>
        <w:rPr>
          <w:rFonts w:ascii="Arial" w:eastAsia="Calibri" w:hAnsi="Arial" w:cs="Arial"/>
          <w:sz w:val="40"/>
          <w:szCs w:val="40"/>
        </w:rPr>
      </w:pPr>
      <w:r w:rsidRPr="00FA41D9">
        <w:rPr>
          <w:rFonts w:ascii="Arial" w:eastAsia="Calibri" w:hAnsi="Arial" w:cs="Arial"/>
          <w:sz w:val="40"/>
          <w:szCs w:val="40"/>
        </w:rPr>
        <w:t>2. Relevance. The relevance was to demonstrate how the proposed programme responds to the Emergency Response Plan (ERAP) to expedite the fight against Gender-Based Violence and Femicide (GBVF).  Additionally the application was to demonstrate how clearly defined and strategically chosen are those involved (intermediaries, final beneficiaries, target groups)?</w:t>
      </w:r>
    </w:p>
    <w:p w:rsidR="00FA41D9" w:rsidRDefault="00FA41D9" w:rsidP="00FA41D9">
      <w:pPr>
        <w:rPr>
          <w:rFonts w:ascii="Arial" w:eastAsia="Calibri" w:hAnsi="Arial" w:cs="Arial"/>
          <w:sz w:val="32"/>
          <w:szCs w:val="40"/>
        </w:rPr>
      </w:pPr>
    </w:p>
    <w:p w:rsidR="00FA41D9" w:rsidRDefault="00FA41D9" w:rsidP="00FA41D9">
      <w:pPr>
        <w:ind w:left="540" w:hanging="540"/>
        <w:rPr>
          <w:rFonts w:ascii="Arial" w:eastAsia="Calibri" w:hAnsi="Arial" w:cs="Arial"/>
          <w:sz w:val="40"/>
          <w:szCs w:val="40"/>
        </w:rPr>
      </w:pPr>
      <w:r>
        <w:rPr>
          <w:rFonts w:ascii="Arial" w:eastAsia="Calibri" w:hAnsi="Arial" w:cs="Arial"/>
          <w:sz w:val="40"/>
          <w:szCs w:val="40"/>
        </w:rPr>
        <w:t xml:space="preserve">(c) </w:t>
      </w:r>
      <w:r w:rsidRPr="00FA41D9">
        <w:rPr>
          <w:rFonts w:ascii="Arial" w:eastAsia="Calibri" w:hAnsi="Arial" w:cs="Arial"/>
          <w:sz w:val="40"/>
          <w:szCs w:val="40"/>
        </w:rPr>
        <w:t>168 organisatio</w:t>
      </w:r>
      <w:r>
        <w:rPr>
          <w:rFonts w:ascii="Arial" w:eastAsia="Calibri" w:hAnsi="Arial" w:cs="Arial"/>
          <w:sz w:val="40"/>
          <w:szCs w:val="40"/>
        </w:rPr>
        <w:t>ns received their first tranche payments to date. 10 of these organisations have received their second and final tranche.</w:t>
      </w:r>
    </w:p>
    <w:p w:rsidR="00FA41D9" w:rsidRPr="00FA41D9" w:rsidRDefault="00FA41D9" w:rsidP="00FA41D9">
      <w:pPr>
        <w:ind w:left="540" w:hanging="540"/>
        <w:rPr>
          <w:rFonts w:ascii="Arial" w:eastAsia="Calibri" w:hAnsi="Arial" w:cs="Arial"/>
          <w:sz w:val="40"/>
          <w:szCs w:val="40"/>
        </w:rPr>
      </w:pPr>
    </w:p>
    <w:p w:rsidR="00FA41D9" w:rsidRDefault="00FA41D9" w:rsidP="00082217">
      <w:pPr>
        <w:rPr>
          <w:rFonts w:ascii="Arial" w:hAnsi="Arial" w:cs="Arial"/>
          <w:sz w:val="40"/>
          <w:szCs w:val="40"/>
        </w:rPr>
      </w:pPr>
      <w:r>
        <w:rPr>
          <w:rFonts w:ascii="Arial" w:eastAsia="Calibri" w:hAnsi="Arial" w:cs="Arial"/>
          <w:sz w:val="40"/>
          <w:szCs w:val="40"/>
        </w:rPr>
        <w:lastRenderedPageBreak/>
        <w:t xml:space="preserve">(d) </w:t>
      </w:r>
      <w:r w:rsidR="00082217">
        <w:rPr>
          <w:rFonts w:ascii="Arial" w:eastAsia="Calibri" w:hAnsi="Arial" w:cs="Arial"/>
          <w:sz w:val="40"/>
          <w:szCs w:val="40"/>
        </w:rPr>
        <w:t>T</w:t>
      </w:r>
      <w:r>
        <w:rPr>
          <w:rFonts w:ascii="Arial" w:eastAsia="Calibri" w:hAnsi="Arial" w:cs="Arial"/>
          <w:sz w:val="40"/>
          <w:szCs w:val="40"/>
        </w:rPr>
        <w:t>he names of the organisations that receivedfunding</w:t>
      </w:r>
      <w:r w:rsidR="00082217">
        <w:rPr>
          <w:rFonts w:ascii="Arial" w:eastAsia="Calibri" w:hAnsi="Arial" w:cs="Arial"/>
          <w:sz w:val="40"/>
          <w:szCs w:val="40"/>
        </w:rPr>
        <w:t xml:space="preserve"> are attached separately. </w:t>
      </w:r>
    </w:p>
    <w:p w:rsidR="00FA41D9" w:rsidRDefault="00FA41D9" w:rsidP="00DA4793">
      <w:pPr>
        <w:spacing w:before="100" w:beforeAutospacing="1" w:after="100" w:afterAutospacing="1"/>
        <w:jc w:val="both"/>
        <w:rPr>
          <w:rFonts w:ascii="Arial" w:hAnsi="Arial" w:cs="Arial"/>
          <w:sz w:val="40"/>
          <w:szCs w:val="40"/>
        </w:rPr>
      </w:pPr>
    </w:p>
    <w:p w:rsidR="00082217" w:rsidRDefault="00082217" w:rsidP="00DA4793">
      <w:pPr>
        <w:spacing w:before="100" w:beforeAutospacing="1" w:after="100" w:afterAutospacing="1"/>
        <w:jc w:val="both"/>
        <w:rPr>
          <w:rFonts w:ascii="Arial" w:hAnsi="Arial" w:cs="Arial"/>
          <w:sz w:val="40"/>
          <w:szCs w:val="40"/>
        </w:rPr>
      </w:pPr>
    </w:p>
    <w:p w:rsidR="00FA41D9" w:rsidRDefault="00FA41D9" w:rsidP="00DA4793">
      <w:pPr>
        <w:spacing w:before="100" w:beforeAutospacing="1" w:after="100" w:afterAutospacing="1"/>
        <w:jc w:val="both"/>
        <w:rPr>
          <w:rFonts w:ascii="Arial" w:hAnsi="Arial" w:cs="Arial"/>
          <w:sz w:val="40"/>
          <w:szCs w:val="40"/>
        </w:rPr>
      </w:pPr>
      <w:bookmarkStart w:id="0" w:name="_GoBack"/>
      <w:bookmarkEnd w:id="0"/>
    </w:p>
    <w:sectPr w:rsidR="00FA41D9" w:rsidSect="009703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FC" w:rsidRDefault="00E020FC">
      <w:pPr>
        <w:spacing w:after="0" w:line="240" w:lineRule="auto"/>
      </w:pPr>
      <w:r>
        <w:separator/>
      </w:r>
    </w:p>
  </w:endnote>
  <w:endnote w:type="continuationSeparator" w:id="1">
    <w:p w:rsidR="00E020FC" w:rsidRDefault="00E02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703BA">
        <w:pPr>
          <w:pStyle w:val="Footer"/>
          <w:jc w:val="right"/>
        </w:pPr>
        <w:r>
          <w:fldChar w:fldCharType="begin"/>
        </w:r>
        <w:r w:rsidR="00DA4793">
          <w:instrText xml:space="preserve"> PAGE   \* MERGEFORMAT </w:instrText>
        </w:r>
        <w:r>
          <w:fldChar w:fldCharType="separate"/>
        </w:r>
        <w:r w:rsidR="00BD341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FC" w:rsidRDefault="00E020FC">
      <w:pPr>
        <w:spacing w:after="0" w:line="240" w:lineRule="auto"/>
      </w:pPr>
      <w:r>
        <w:separator/>
      </w:r>
    </w:p>
  </w:footnote>
  <w:footnote w:type="continuationSeparator" w:id="1">
    <w:p w:rsidR="00E020FC" w:rsidRDefault="00E02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31944"/>
    <w:multiLevelType w:val="hybridMultilevel"/>
    <w:tmpl w:val="0BAADFC4"/>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5243BAF"/>
    <w:multiLevelType w:val="hybridMultilevel"/>
    <w:tmpl w:val="EB06FD9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2217"/>
    <w:rsid w:val="00083B8D"/>
    <w:rsid w:val="00091658"/>
    <w:rsid w:val="0009793F"/>
    <w:rsid w:val="000B3D62"/>
    <w:rsid w:val="000B436B"/>
    <w:rsid w:val="000C1583"/>
    <w:rsid w:val="000C35A9"/>
    <w:rsid w:val="000C6CD9"/>
    <w:rsid w:val="000D465F"/>
    <w:rsid w:val="000D4EA6"/>
    <w:rsid w:val="000E3F6F"/>
    <w:rsid w:val="000F1964"/>
    <w:rsid w:val="000F1F08"/>
    <w:rsid w:val="000F33EF"/>
    <w:rsid w:val="00103D68"/>
    <w:rsid w:val="001046D3"/>
    <w:rsid w:val="00104863"/>
    <w:rsid w:val="0010487E"/>
    <w:rsid w:val="00106780"/>
    <w:rsid w:val="00112973"/>
    <w:rsid w:val="0011699F"/>
    <w:rsid w:val="0011726B"/>
    <w:rsid w:val="00123D9A"/>
    <w:rsid w:val="0012418C"/>
    <w:rsid w:val="0012591C"/>
    <w:rsid w:val="001306FC"/>
    <w:rsid w:val="00131148"/>
    <w:rsid w:val="00132534"/>
    <w:rsid w:val="00136552"/>
    <w:rsid w:val="00136AE7"/>
    <w:rsid w:val="00144A54"/>
    <w:rsid w:val="00157C96"/>
    <w:rsid w:val="001713D1"/>
    <w:rsid w:val="001723B5"/>
    <w:rsid w:val="00173BDA"/>
    <w:rsid w:val="001745C4"/>
    <w:rsid w:val="00174A02"/>
    <w:rsid w:val="00174E05"/>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5540"/>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4ACA"/>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03BA"/>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53477"/>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A46"/>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419"/>
    <w:rsid w:val="00BD358D"/>
    <w:rsid w:val="00BD3C49"/>
    <w:rsid w:val="00BE4B10"/>
    <w:rsid w:val="00BE7599"/>
    <w:rsid w:val="00BF18E9"/>
    <w:rsid w:val="00BF4647"/>
    <w:rsid w:val="00C01144"/>
    <w:rsid w:val="00C0555F"/>
    <w:rsid w:val="00C1329B"/>
    <w:rsid w:val="00C14016"/>
    <w:rsid w:val="00C15BFA"/>
    <w:rsid w:val="00C20D9A"/>
    <w:rsid w:val="00C25589"/>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20FC"/>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0518"/>
    <w:rsid w:val="00F43329"/>
    <w:rsid w:val="00F468FA"/>
    <w:rsid w:val="00F732A3"/>
    <w:rsid w:val="00F77743"/>
    <w:rsid w:val="00F77BA6"/>
    <w:rsid w:val="00F86AA7"/>
    <w:rsid w:val="00F8736C"/>
    <w:rsid w:val="00F92F9F"/>
    <w:rsid w:val="00F93622"/>
    <w:rsid w:val="00FA41D9"/>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59552016">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A32A-F79C-4767-B4C3-F277CF5A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2020-12-18T08:28:00Z</dcterms:created>
  <dcterms:modified xsi:type="dcterms:W3CDTF">2020-12-18T08:28:00Z</dcterms:modified>
</cp:coreProperties>
</file>