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39" w:rsidRDefault="00D22839" w:rsidP="00D22839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:rsidR="00D22839" w:rsidRDefault="00D22839" w:rsidP="00D22839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D22839" w:rsidRDefault="00D22839" w:rsidP="00D22839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D22839" w:rsidRPr="00BF2BB1" w:rsidRDefault="00D22839" w:rsidP="00D22839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D22839" w:rsidRDefault="00D22839" w:rsidP="00D22839">
      <w:pPr>
        <w:tabs>
          <w:tab w:val="left" w:pos="851"/>
        </w:tabs>
        <w:spacing w:after="0" w:line="360" w:lineRule="auto"/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76148A">
        <w:rPr>
          <w:rFonts w:ascii="Arial" w:hAnsi="Arial" w:cs="Arial"/>
          <w:b/>
        </w:rPr>
        <w:t>2399.</w:t>
      </w:r>
      <w:r w:rsidRPr="0076148A">
        <w:rPr>
          <w:rFonts w:ascii="Arial" w:hAnsi="Arial" w:cs="Arial"/>
          <w:b/>
        </w:rPr>
        <w:tab/>
        <w:t>Mr H C C Krüger (DA) to ask the Minister of Small Business Development:</w:t>
      </w:r>
    </w:p>
    <w:p w:rsidR="00D22839" w:rsidRPr="0076148A" w:rsidRDefault="00D22839" w:rsidP="00D22839">
      <w:pPr>
        <w:tabs>
          <w:tab w:val="left" w:pos="851"/>
        </w:tabs>
        <w:spacing w:after="0" w:line="360" w:lineRule="auto"/>
        <w:ind w:left="1440" w:hanging="1440"/>
        <w:jc w:val="both"/>
        <w:rPr>
          <w:rFonts w:ascii="Arial" w:hAnsi="Arial" w:cs="Arial"/>
          <w:b/>
        </w:rPr>
      </w:pPr>
    </w:p>
    <w:p w:rsidR="00D22839" w:rsidRDefault="00D22839" w:rsidP="00D22839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6148A">
        <w:rPr>
          <w:rFonts w:ascii="Arial" w:hAnsi="Arial" w:cs="Arial"/>
          <w:b/>
        </w:rPr>
        <w:t>What are the full details of the (a) turnover, (b) profitability and (c) number of jobs created through her department’s National Gazelles Programme for its 2015-16 financial year intake for each of the 40 selected small-, medium- and micro-sized enterprises that participated?</w:t>
      </w:r>
      <w:r w:rsidRPr="0076148A">
        <w:rPr>
          <w:rFonts w:ascii="Arial" w:hAnsi="Arial" w:cs="Arial"/>
          <w:b/>
        </w:rPr>
        <w:tab/>
      </w:r>
      <w:r w:rsidRPr="0076148A">
        <w:rPr>
          <w:rFonts w:ascii="Arial" w:hAnsi="Arial" w:cs="Arial"/>
          <w:b/>
        </w:rPr>
        <w:tab/>
      </w:r>
      <w:r w:rsidRPr="0076148A">
        <w:rPr>
          <w:rFonts w:ascii="Arial" w:hAnsi="Arial" w:cs="Arial"/>
          <w:b/>
        </w:rPr>
        <w:tab/>
      </w:r>
      <w:r w:rsidRPr="0076148A">
        <w:rPr>
          <w:rFonts w:ascii="Arial" w:hAnsi="Arial" w:cs="Arial"/>
          <w:b/>
        </w:rPr>
        <w:tab/>
      </w:r>
      <w:r w:rsidRPr="0076148A">
        <w:rPr>
          <w:rFonts w:ascii="Arial" w:hAnsi="Arial" w:cs="Arial"/>
          <w:b/>
        </w:rPr>
        <w:tab/>
      </w:r>
      <w:r w:rsidRPr="0076148A">
        <w:rPr>
          <w:rFonts w:ascii="Arial" w:hAnsi="Arial" w:cs="Arial"/>
          <w:b/>
        </w:rPr>
        <w:tab/>
      </w:r>
    </w:p>
    <w:p w:rsidR="00D22839" w:rsidRDefault="00D22839" w:rsidP="00D22839">
      <w:pPr>
        <w:tabs>
          <w:tab w:val="left" w:pos="851"/>
        </w:tabs>
        <w:spacing w:after="0" w:line="360" w:lineRule="auto"/>
        <w:ind w:left="851" w:hanging="851"/>
        <w:jc w:val="right"/>
        <w:rPr>
          <w:rFonts w:ascii="Arial" w:hAnsi="Arial" w:cs="Arial"/>
          <w:b/>
        </w:rPr>
      </w:pPr>
      <w:r w:rsidRPr="0076148A">
        <w:rPr>
          <w:rFonts w:ascii="Arial" w:hAnsi="Arial" w:cs="Arial"/>
          <w:b/>
        </w:rPr>
        <w:t>NW2647E</w:t>
      </w:r>
    </w:p>
    <w:p w:rsidR="00D22839" w:rsidRDefault="00D22839" w:rsidP="00D22839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 w:rsidRPr="00A42F69">
        <w:rPr>
          <w:rFonts w:ascii="Arial" w:hAnsi="Arial" w:cs="Arial"/>
          <w:b/>
        </w:rPr>
        <w:t>REPLY:</w:t>
      </w:r>
    </w:p>
    <w:p w:rsidR="00D22839" w:rsidRDefault="00D22839" w:rsidP="00D22839">
      <w:pPr>
        <w:numPr>
          <w:ilvl w:val="0"/>
          <w:numId w:val="2"/>
        </w:numPr>
        <w:spacing w:after="0" w:line="360" w:lineRule="auto"/>
        <w:ind w:left="851" w:hanging="851"/>
        <w:contextualSpacing/>
        <w:jc w:val="both"/>
        <w:rPr>
          <w:rFonts w:ascii="Arial" w:eastAsia="Calibri" w:hAnsi="Arial" w:cs="Arial"/>
          <w:b/>
        </w:rPr>
      </w:pPr>
      <w:r w:rsidRPr="00130689">
        <w:rPr>
          <w:rFonts w:ascii="Arial" w:eastAsia="Calibri" w:hAnsi="Arial" w:cs="Arial"/>
          <w:b/>
        </w:rPr>
        <w:t>Turnover and (b) Profitability</w:t>
      </w:r>
    </w:p>
    <w:p w:rsidR="00D22839" w:rsidRPr="00130689" w:rsidRDefault="00D22839" w:rsidP="00D22839">
      <w:pPr>
        <w:spacing w:after="0" w:line="360" w:lineRule="auto"/>
        <w:ind w:left="851"/>
        <w:contextualSpacing/>
        <w:jc w:val="both"/>
        <w:rPr>
          <w:rFonts w:ascii="Arial" w:eastAsia="Calibri" w:hAnsi="Arial" w:cs="Arial"/>
          <w:b/>
        </w:rPr>
      </w:pPr>
    </w:p>
    <w:p w:rsidR="00D22839" w:rsidRPr="00130689" w:rsidRDefault="00D22839" w:rsidP="00D22839">
      <w:pPr>
        <w:spacing w:after="0" w:line="360" w:lineRule="auto"/>
        <w:jc w:val="both"/>
        <w:rPr>
          <w:rFonts w:ascii="Arial" w:eastAsia="Calibri" w:hAnsi="Arial" w:cs="Arial"/>
        </w:rPr>
      </w:pPr>
      <w:r w:rsidRPr="00130689">
        <w:rPr>
          <w:rFonts w:ascii="Arial" w:eastAsia="Calibri" w:hAnsi="Arial" w:cs="Arial"/>
        </w:rPr>
        <w:t xml:space="preserve">The information provided in this response comprises the performance in percentages of all companies participating in the Gazelles programme (grouped by sectors).  This response meets what </w:t>
      </w:r>
      <w:r>
        <w:rPr>
          <w:rFonts w:ascii="Arial" w:eastAsia="Calibri" w:hAnsi="Arial" w:cs="Arial"/>
        </w:rPr>
        <w:t>the Small Enterprise Development Agency (SEDA)</w:t>
      </w:r>
      <w:r w:rsidRPr="00130689">
        <w:rPr>
          <w:rFonts w:ascii="Arial" w:eastAsia="Calibri" w:hAnsi="Arial" w:cs="Arial"/>
        </w:rPr>
        <w:t xml:space="preserve"> and </w:t>
      </w:r>
      <w:r>
        <w:rPr>
          <w:rFonts w:ascii="Arial" w:eastAsia="Calibri" w:hAnsi="Arial" w:cs="Arial"/>
        </w:rPr>
        <w:t>the Department of Small Business Development (</w:t>
      </w:r>
      <w:r w:rsidRPr="00130689">
        <w:rPr>
          <w:rFonts w:ascii="Arial" w:eastAsia="Calibri" w:hAnsi="Arial" w:cs="Arial"/>
        </w:rPr>
        <w:t>DSBD</w:t>
      </w:r>
      <w:r>
        <w:rPr>
          <w:rFonts w:ascii="Arial" w:eastAsia="Calibri" w:hAnsi="Arial" w:cs="Arial"/>
        </w:rPr>
        <w:t>)</w:t>
      </w:r>
      <w:r w:rsidRPr="00130689">
        <w:rPr>
          <w:rFonts w:ascii="Arial" w:eastAsia="Calibri" w:hAnsi="Arial" w:cs="Arial"/>
        </w:rPr>
        <w:t xml:space="preserve"> can issue as public information limited by provisions of the Protection of Personal Information Act (POPIA).</w:t>
      </w:r>
      <w:r>
        <w:rPr>
          <w:rFonts w:ascii="Arial" w:eastAsia="Calibri" w:hAnsi="Arial" w:cs="Arial"/>
        </w:rPr>
        <w:t xml:space="preserve"> </w:t>
      </w:r>
      <w:r w:rsidRPr="00130689">
        <w:rPr>
          <w:rFonts w:ascii="Arial" w:eastAsia="Calibri" w:hAnsi="Arial" w:cs="Arial"/>
        </w:rPr>
        <w:t xml:space="preserve"> POPIA disempowers the Department and the implementing Agency on reporting on what may be viewed as a public domain, individual companies’ information which include profits and turnovers, release of such would have to be issued with written consent from respective companies. </w:t>
      </w:r>
    </w:p>
    <w:p w:rsidR="00D22839" w:rsidRPr="00130689" w:rsidRDefault="00D22839" w:rsidP="00D22839">
      <w:pPr>
        <w:spacing w:after="0" w:line="360" w:lineRule="auto"/>
        <w:ind w:left="709" w:firstLine="142"/>
        <w:jc w:val="both"/>
        <w:rPr>
          <w:rFonts w:ascii="Arial" w:eastAsia="Calibri" w:hAnsi="Arial" w:cs="Arial"/>
        </w:rPr>
      </w:pPr>
    </w:p>
    <w:p w:rsidR="00D22839" w:rsidRDefault="00D22839" w:rsidP="00D22839">
      <w:pPr>
        <w:spacing w:after="0" w:line="360" w:lineRule="auto"/>
        <w:jc w:val="both"/>
        <w:rPr>
          <w:rFonts w:ascii="Arial" w:eastAsia="Calibri" w:hAnsi="Arial" w:cs="Arial"/>
        </w:rPr>
      </w:pPr>
      <w:r w:rsidRPr="00130689">
        <w:rPr>
          <w:rFonts w:ascii="Arial" w:eastAsia="Calibri" w:hAnsi="Arial" w:cs="Arial"/>
        </w:rPr>
        <w:t xml:space="preserve">The turnover and profitability figures fluctuate from month to month. </w:t>
      </w:r>
      <w:r>
        <w:rPr>
          <w:rFonts w:ascii="Arial" w:eastAsia="Calibri" w:hAnsi="Arial" w:cs="Arial"/>
        </w:rPr>
        <w:t xml:space="preserve"> </w:t>
      </w:r>
      <w:r w:rsidRPr="00130689">
        <w:rPr>
          <w:rFonts w:ascii="Arial" w:eastAsia="Calibri" w:hAnsi="Arial" w:cs="Arial"/>
        </w:rPr>
        <w:t>Noted factors that contributed to the negative growth are as follows:</w:t>
      </w:r>
    </w:p>
    <w:p w:rsidR="00D22839" w:rsidRPr="00130689" w:rsidRDefault="00D22839" w:rsidP="00D22839">
      <w:pPr>
        <w:spacing w:after="0" w:line="360" w:lineRule="auto"/>
        <w:jc w:val="both"/>
        <w:rPr>
          <w:rFonts w:ascii="Arial" w:eastAsia="Calibri" w:hAnsi="Arial" w:cs="Arial"/>
        </w:rPr>
      </w:pPr>
    </w:p>
    <w:p w:rsidR="00D22839" w:rsidRPr="00130689" w:rsidRDefault="00D22839" w:rsidP="00D22839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Arial" w:eastAsia="Calibri" w:hAnsi="Arial" w:cs="Arial"/>
        </w:rPr>
      </w:pPr>
      <w:r w:rsidRPr="00130689">
        <w:rPr>
          <w:rFonts w:ascii="Arial" w:eastAsia="Calibri" w:hAnsi="Arial" w:cs="Arial"/>
        </w:rPr>
        <w:t xml:space="preserve">Cyclical products that have low turnover during certain </w:t>
      </w:r>
      <w:r>
        <w:rPr>
          <w:rFonts w:ascii="Arial" w:eastAsia="Calibri" w:hAnsi="Arial" w:cs="Arial"/>
        </w:rPr>
        <w:t>seasons and pick up thereafter.</w:t>
      </w:r>
    </w:p>
    <w:p w:rsidR="00D22839" w:rsidRPr="00130689" w:rsidRDefault="00D22839" w:rsidP="00D22839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Arial" w:eastAsia="Calibri" w:hAnsi="Arial" w:cs="Arial"/>
        </w:rPr>
      </w:pPr>
      <w:r w:rsidRPr="00130689">
        <w:rPr>
          <w:rFonts w:ascii="Arial" w:eastAsia="Calibri" w:hAnsi="Arial" w:cs="Arial"/>
        </w:rPr>
        <w:t>Product mix, especially with companies in the construction sector (short term contract more profitabl</w:t>
      </w:r>
      <w:r>
        <w:rPr>
          <w:rFonts w:ascii="Arial" w:eastAsia="Calibri" w:hAnsi="Arial" w:cs="Arial"/>
        </w:rPr>
        <w:t>e than long term contracts).</w:t>
      </w:r>
    </w:p>
    <w:p w:rsidR="00D22839" w:rsidRPr="00130689" w:rsidRDefault="00D22839" w:rsidP="00D22839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Arial" w:eastAsia="Calibri" w:hAnsi="Arial" w:cs="Arial"/>
        </w:rPr>
      </w:pPr>
      <w:r w:rsidRPr="00130689">
        <w:rPr>
          <w:rFonts w:ascii="Arial" w:eastAsia="Calibri" w:hAnsi="Arial" w:cs="Arial"/>
        </w:rPr>
        <w:t>Government business which tends to peek in February-March of each year.</w:t>
      </w:r>
    </w:p>
    <w:p w:rsidR="00D22839" w:rsidRDefault="00D22839" w:rsidP="00D22839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Arial" w:eastAsia="Calibri" w:hAnsi="Arial" w:cs="Arial"/>
        </w:rPr>
      </w:pPr>
      <w:r w:rsidRPr="00130689">
        <w:rPr>
          <w:rFonts w:ascii="Arial" w:eastAsia="Calibri" w:hAnsi="Arial" w:cs="Arial"/>
        </w:rPr>
        <w:t>Companies not always updating their information on the system on time.</w:t>
      </w:r>
    </w:p>
    <w:p w:rsidR="00D22839" w:rsidRDefault="00D22839" w:rsidP="00D22839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D22839" w:rsidRPr="00130689" w:rsidRDefault="00D22839" w:rsidP="00D22839">
      <w:pPr>
        <w:spacing w:after="0" w:line="360" w:lineRule="auto"/>
        <w:ind w:left="709"/>
        <w:contextualSpacing/>
        <w:jc w:val="both"/>
        <w:rPr>
          <w:rFonts w:ascii="Arial" w:eastAsia="Calibri" w:hAnsi="Arial" w:cs="Arial"/>
        </w:rPr>
      </w:pPr>
    </w:p>
    <w:p w:rsidR="00D22839" w:rsidRPr="00130689" w:rsidRDefault="00D22839" w:rsidP="00D22839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30689">
        <w:rPr>
          <w:rFonts w:ascii="Arial" w:eastAsia="Calibri" w:hAnsi="Arial" w:cs="Arial"/>
        </w:rPr>
        <w:t>The table below depicts turnover and profitability figures per sector grouping all 40 companies for period April 2016 to March 2017.</w:t>
      </w:r>
    </w:p>
    <w:p w:rsidR="00D22839" w:rsidRDefault="00D22839" w:rsidP="00D22839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22839" w:rsidRPr="00661A4B" w:rsidRDefault="00D22839" w:rsidP="00D22839">
      <w:pPr>
        <w:numPr>
          <w:ilvl w:val="0"/>
          <w:numId w:val="3"/>
        </w:numPr>
        <w:ind w:left="567" w:hanging="567"/>
        <w:contextualSpacing/>
        <w:jc w:val="both"/>
        <w:rPr>
          <w:rFonts w:ascii="Calibri" w:eastAsia="Calibri" w:hAnsi="Calibri" w:cs="Times New Roman"/>
          <w:b/>
        </w:rPr>
      </w:pPr>
      <w:r w:rsidRPr="00661A4B">
        <w:rPr>
          <w:rFonts w:ascii="Calibri" w:eastAsia="Calibri" w:hAnsi="Calibri" w:cs="Times New Roman"/>
          <w:b/>
        </w:rPr>
        <w:t>Turnover results per sector grouping of the 40 companies in the programme</w:t>
      </w:r>
      <w:r>
        <w:rPr>
          <w:rFonts w:ascii="Calibri" w:eastAsia="Calibri" w:hAnsi="Calibri" w:cs="Times New Roman"/>
          <w:b/>
        </w:rPr>
        <w:t xml:space="preserve"> </w:t>
      </w:r>
    </w:p>
    <w:p w:rsidR="00D22839" w:rsidRDefault="00D22839" w:rsidP="00D22839">
      <w:pPr>
        <w:spacing w:after="0" w:line="360" w:lineRule="auto"/>
        <w:jc w:val="both"/>
        <w:rPr>
          <w:rFonts w:ascii="Arial" w:eastAsia="Calibri" w:hAnsi="Arial" w:cs="Arial"/>
        </w:rPr>
      </w:pPr>
      <w:r w:rsidRPr="00661A4B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>
            <wp:extent cx="6089577" cy="24193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53" cy="242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39" w:rsidRDefault="00D22839" w:rsidP="00D22839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D22839" w:rsidRPr="00661A4B" w:rsidRDefault="00D22839" w:rsidP="00D22839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D22839" w:rsidRPr="00661A4B" w:rsidRDefault="00D22839" w:rsidP="00D22839">
      <w:pPr>
        <w:numPr>
          <w:ilvl w:val="0"/>
          <w:numId w:val="3"/>
        </w:numPr>
        <w:ind w:left="567" w:hanging="567"/>
        <w:contextualSpacing/>
        <w:jc w:val="both"/>
        <w:rPr>
          <w:rFonts w:ascii="Calibri" w:eastAsia="Calibri" w:hAnsi="Calibri" w:cs="Times New Roman"/>
          <w:b/>
        </w:rPr>
      </w:pPr>
      <w:r w:rsidRPr="00661A4B">
        <w:rPr>
          <w:rFonts w:ascii="Calibri" w:eastAsia="Calibri" w:hAnsi="Calibri" w:cs="Times New Roman"/>
          <w:b/>
        </w:rPr>
        <w:t>Profitability</w:t>
      </w:r>
    </w:p>
    <w:p w:rsidR="00D22839" w:rsidRPr="00130689" w:rsidRDefault="00D22839" w:rsidP="00D22839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661A4B">
        <w:rPr>
          <w:rFonts w:ascii="Calibri" w:eastAsia="Calibri" w:hAnsi="Calibri" w:cs="Times New Roman"/>
          <w:b/>
        </w:rPr>
        <w:t>Profitability results per sector grouping of the 40 companies in the programme</w:t>
      </w:r>
    </w:p>
    <w:p w:rsidR="00D22839" w:rsidRDefault="00D22839" w:rsidP="00D22839">
      <w:pPr>
        <w:spacing w:after="0" w:line="360" w:lineRule="auto"/>
        <w:jc w:val="both"/>
        <w:rPr>
          <w:rFonts w:ascii="Arial" w:eastAsia="Calibri" w:hAnsi="Arial" w:cs="Arial"/>
        </w:rPr>
      </w:pPr>
      <w:r w:rsidRPr="00130689">
        <w:rPr>
          <w:rFonts w:ascii="Calibri" w:eastAsia="Calibri" w:hAnsi="Calibri" w:cs="Times New Roman"/>
          <w:noProof/>
          <w:sz w:val="20"/>
          <w:szCs w:val="20"/>
          <w:lang w:eastAsia="en-ZA"/>
        </w:rPr>
        <w:drawing>
          <wp:inline distT="0" distB="0" distL="0" distR="0">
            <wp:extent cx="6134100" cy="23431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61" cy="234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39" w:rsidRDefault="00D22839" w:rsidP="00D22839">
      <w:pPr>
        <w:spacing w:after="0" w:line="360" w:lineRule="auto"/>
        <w:jc w:val="both"/>
        <w:rPr>
          <w:rFonts w:ascii="Arial" w:eastAsia="Calibri" w:hAnsi="Arial" w:cs="Arial"/>
        </w:rPr>
      </w:pPr>
    </w:p>
    <w:p w:rsidR="00D22839" w:rsidRDefault="00D22839" w:rsidP="00D22839">
      <w:pPr>
        <w:spacing w:after="200" w:line="276" w:lineRule="auto"/>
        <w:rPr>
          <w:rFonts w:ascii="Arial" w:eastAsia="Calibri" w:hAnsi="Arial" w:cs="Arial"/>
        </w:rPr>
        <w:sectPr w:rsidR="00D22839" w:rsidSect="00AF6CB5">
          <w:footerReference w:type="default" r:id="rId9"/>
          <w:pgSz w:w="11907" w:h="16839" w:code="9"/>
          <w:pgMar w:top="1418" w:right="1041" w:bottom="709" w:left="1276" w:header="720" w:footer="489" w:gutter="0"/>
          <w:pgNumType w:chapStyle="1"/>
          <w:cols w:space="720"/>
          <w:docGrid w:linePitch="360"/>
        </w:sectPr>
      </w:pPr>
    </w:p>
    <w:p w:rsidR="00D22839" w:rsidRPr="00130689" w:rsidRDefault="00D22839" w:rsidP="00D22839">
      <w:pPr>
        <w:pStyle w:val="ListParagraph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eastAsia="Calibri" w:hAnsi="Arial" w:cs="Arial"/>
          <w:b/>
        </w:rPr>
      </w:pPr>
      <w:r w:rsidRPr="00130689">
        <w:rPr>
          <w:rFonts w:ascii="Arial" w:eastAsia="Calibri" w:hAnsi="Arial" w:cs="Arial"/>
          <w:b/>
        </w:rPr>
        <w:t>Staff numbers = Jobs per company</w:t>
      </w:r>
    </w:p>
    <w:p w:rsidR="00D22839" w:rsidRPr="00130689" w:rsidRDefault="00D22839" w:rsidP="00D22839">
      <w:pPr>
        <w:pStyle w:val="ListParagraph"/>
        <w:spacing w:after="0" w:line="360" w:lineRule="auto"/>
        <w:ind w:left="360"/>
        <w:jc w:val="both"/>
        <w:rPr>
          <w:rFonts w:ascii="Arial" w:eastAsia="Calibri" w:hAnsi="Arial" w:cs="Arial"/>
          <w:b/>
        </w:rPr>
      </w:pPr>
    </w:p>
    <w:p w:rsidR="00D22839" w:rsidRDefault="00D22839" w:rsidP="00D22839">
      <w:pPr>
        <w:spacing w:after="0" w:line="360" w:lineRule="auto"/>
        <w:jc w:val="both"/>
        <w:rPr>
          <w:rFonts w:ascii="Arial" w:eastAsia="Calibri" w:hAnsi="Arial" w:cs="Arial"/>
        </w:rPr>
      </w:pPr>
      <w:r w:rsidRPr="00EC2FE5">
        <w:rPr>
          <w:rFonts w:ascii="Arial" w:eastAsia="Calibri" w:hAnsi="Arial" w:cs="Arial"/>
        </w:rPr>
        <w:t>As reported before, staff numbers have increased by 4</w:t>
      </w:r>
      <w:r w:rsidRPr="00EC2FE5">
        <w:rPr>
          <w:rFonts w:ascii="Arial" w:eastAsia="Calibri" w:hAnsi="Arial" w:cs="Arial"/>
          <w:b/>
        </w:rPr>
        <w:t>% from 1068 to 11</w:t>
      </w:r>
      <w:r>
        <w:rPr>
          <w:rFonts w:ascii="Arial" w:eastAsia="Calibri" w:hAnsi="Arial" w:cs="Arial"/>
          <w:b/>
        </w:rPr>
        <w:t>12</w:t>
      </w:r>
      <w:r w:rsidRPr="00EC2FE5">
        <w:rPr>
          <w:rFonts w:ascii="Arial" w:eastAsia="Calibri" w:hAnsi="Arial" w:cs="Arial"/>
          <w:b/>
        </w:rPr>
        <w:t xml:space="preserve"> for 9 months to December 2016</w:t>
      </w:r>
      <w:r w:rsidRPr="00EC2FE5">
        <w:rPr>
          <w:rFonts w:ascii="Arial" w:eastAsia="Calibri" w:hAnsi="Arial" w:cs="Arial"/>
        </w:rPr>
        <w:t>. The table below depicts employee numbers for each company.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2692"/>
        <w:gridCol w:w="850"/>
        <w:gridCol w:w="990"/>
        <w:gridCol w:w="711"/>
        <w:gridCol w:w="848"/>
        <w:gridCol w:w="990"/>
        <w:gridCol w:w="795"/>
      </w:tblGrid>
      <w:tr w:rsidR="00D22839" w:rsidRPr="00130689" w:rsidTr="00A71828">
        <w:trPr>
          <w:trHeight w:val="300"/>
        </w:trPr>
        <w:tc>
          <w:tcPr>
            <w:tcW w:w="887" w:type="pct"/>
            <w:shd w:val="clear" w:color="auto" w:fill="92D050"/>
          </w:tcPr>
          <w:p w:rsidR="00D22839" w:rsidRPr="007D3532" w:rsidRDefault="00D22839" w:rsidP="00A7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22839" w:rsidRPr="007D3532" w:rsidRDefault="00D22839" w:rsidP="00A7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SECTOR</w:t>
            </w:r>
          </w:p>
        </w:tc>
        <w:tc>
          <w:tcPr>
            <w:tcW w:w="1405" w:type="pct"/>
            <w:shd w:val="clear" w:color="auto" w:fill="92D050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444" w:type="pct"/>
            <w:shd w:val="clear" w:color="auto" w:fill="92D050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Fulltime</w:t>
            </w:r>
          </w:p>
        </w:tc>
        <w:tc>
          <w:tcPr>
            <w:tcW w:w="517" w:type="pct"/>
            <w:shd w:val="clear" w:color="auto" w:fill="92D050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Part time</w:t>
            </w:r>
          </w:p>
        </w:tc>
        <w:tc>
          <w:tcPr>
            <w:tcW w:w="371" w:type="pct"/>
            <w:shd w:val="clear" w:color="auto" w:fill="92D050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43" w:type="pct"/>
            <w:shd w:val="clear" w:color="auto" w:fill="92D050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Fulltime</w:t>
            </w:r>
          </w:p>
        </w:tc>
        <w:tc>
          <w:tcPr>
            <w:tcW w:w="517" w:type="pct"/>
            <w:shd w:val="clear" w:color="auto" w:fill="92D050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Part time</w:t>
            </w:r>
          </w:p>
        </w:tc>
        <w:tc>
          <w:tcPr>
            <w:tcW w:w="415" w:type="pct"/>
            <w:shd w:val="clear" w:color="auto" w:fill="92D050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 w:val="restart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Agriculture and Agro-Processing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Comessa Food Services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Fawakhe Trading cc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Roses for u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 w:val="restart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Construction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F-F Engineering (AIRCONDITIONING)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Lakeshore Trading 102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Ordained Trading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TCM Developments (Pty) Ltd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 w:val="restart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Energy and Green Economy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Conretype (Pty) Ltd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Cybronix (Pty) Ltd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iGreens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Gridbow Engineers &amp; Technical Services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Ugesi Africa Consulting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 w:val="restart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Health and Bio-Sciences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Deline Investments(Pty) Ltd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Natural Medicinal Services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Omy Naidoo Pty Ltd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 w:val="restart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Information and Communication Technologies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Bayajula (Pty) Ltd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Digital Republic Consulting (Pty) Ltd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Lan Telecoms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Memeza Shout (Pty) Ltd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Pretend cc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Wam technology cc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Xspark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Management and Consulting</w:t>
            </w:r>
          </w:p>
        </w:tc>
        <w:tc>
          <w:tcPr>
            <w:tcW w:w="1405" w:type="pct"/>
            <w:shd w:val="clear" w:color="000000" w:fill="FFFFFF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Futurent Consulting solutions(Pty) Ltd</w:t>
            </w:r>
          </w:p>
        </w:tc>
        <w:tc>
          <w:tcPr>
            <w:tcW w:w="444" w:type="pct"/>
            <w:shd w:val="clear" w:color="000000" w:fill="FFFFFF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17" w:type="pct"/>
            <w:shd w:val="clear" w:color="000000" w:fill="FFFFFF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000000" w:fill="FFFFFF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43" w:type="pct"/>
            <w:shd w:val="clear" w:color="000000" w:fill="FFFFFF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17" w:type="pct"/>
            <w:shd w:val="clear" w:color="000000" w:fill="FFFFFF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5" w:type="pct"/>
            <w:shd w:val="clear" w:color="000000" w:fill="FFFFFF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 w:val="restart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Manufacturing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Amphiguard Brickyard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Buttercup trading 47cc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Bronscor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ECO Furniture Designs cc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Fred Footwear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National Adhesive Manufactures cc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Prothane Industrail cc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Umzungulu Windows (Pty) Ltd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 w:val="restart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Mining, Metals and Engineering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Brimis Engineering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Modi Mining cc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 w:val="restart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Tourism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Tzaneen Country Lodge cc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  <w:vMerge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Vaalnest Bout Hotel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D22839" w:rsidRPr="007D3532" w:rsidTr="00A71828">
        <w:trPr>
          <w:trHeight w:val="300"/>
        </w:trPr>
        <w:tc>
          <w:tcPr>
            <w:tcW w:w="887" w:type="pct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Transport and Logistics</w:t>
            </w:r>
          </w:p>
        </w:tc>
        <w:tc>
          <w:tcPr>
            <w:tcW w:w="140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Cs/>
                <w:sz w:val="16"/>
                <w:szCs w:val="16"/>
              </w:rPr>
              <w:t>DC Mobile Forklift mechanics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D22839" w:rsidRPr="007D3532" w:rsidTr="00A71828">
        <w:trPr>
          <w:trHeight w:val="375"/>
        </w:trPr>
        <w:tc>
          <w:tcPr>
            <w:tcW w:w="887" w:type="pct"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05" w:type="pct"/>
            <w:shd w:val="clear" w:color="auto" w:fill="auto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 Total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1 068</w:t>
            </w:r>
          </w:p>
        </w:tc>
        <w:tc>
          <w:tcPr>
            <w:tcW w:w="443" w:type="pct"/>
            <w:shd w:val="clear" w:color="auto" w:fill="auto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D22839" w:rsidRPr="007D3532" w:rsidRDefault="00D22839" w:rsidP="00A718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7D3532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1 112</w:t>
            </w:r>
          </w:p>
        </w:tc>
      </w:tr>
    </w:tbl>
    <w:p w:rsidR="00D22839" w:rsidRDefault="00D22839" w:rsidP="00D2283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EC2FE5">
        <w:rPr>
          <w:rFonts w:ascii="Arial" w:eastAsia="Calibri" w:hAnsi="Arial" w:cs="Arial"/>
          <w:i/>
          <w:sz w:val="16"/>
          <w:szCs w:val="16"/>
        </w:rPr>
        <w:t>These numbers will be updated when a second benchmarking e</w:t>
      </w:r>
      <w:bookmarkStart w:id="0" w:name="_GoBack"/>
      <w:bookmarkEnd w:id="0"/>
      <w:r w:rsidRPr="00EC2FE5">
        <w:rPr>
          <w:rFonts w:ascii="Arial" w:eastAsia="Calibri" w:hAnsi="Arial" w:cs="Arial"/>
          <w:i/>
          <w:sz w:val="16"/>
          <w:szCs w:val="16"/>
        </w:rPr>
        <w:t>xercise is taken in November 2017</w:t>
      </w:r>
      <w:r w:rsidRPr="00EC2FE5">
        <w:rPr>
          <w:rFonts w:ascii="Arial" w:eastAsia="Calibri" w:hAnsi="Arial" w:cs="Arial"/>
          <w:sz w:val="16"/>
          <w:szCs w:val="16"/>
        </w:rPr>
        <w:t>.</w:t>
      </w:r>
      <w:r>
        <w:rPr>
          <w:rFonts w:ascii="Arial" w:eastAsia="Calibri" w:hAnsi="Arial" w:cs="Arial"/>
          <w:sz w:val="16"/>
          <w:szCs w:val="16"/>
        </w:rPr>
        <w:br w:type="page"/>
      </w:r>
    </w:p>
    <w:p w:rsidR="00D22839" w:rsidRPr="00EC2FE5" w:rsidRDefault="00D22839" w:rsidP="00D22839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895DA3" w:rsidRDefault="00895DA3"/>
    <w:p w:rsidR="00D22839" w:rsidRDefault="00D22839"/>
    <w:sectPr w:rsidR="00D22839" w:rsidSect="00166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1E" w:rsidRDefault="00777D1E" w:rsidP="00166FD1">
      <w:pPr>
        <w:spacing w:after="0" w:line="240" w:lineRule="auto"/>
      </w:pPr>
      <w:r>
        <w:separator/>
      </w:r>
    </w:p>
  </w:endnote>
  <w:endnote w:type="continuationSeparator" w:id="0">
    <w:p w:rsidR="00777D1E" w:rsidRDefault="00777D1E" w:rsidP="0016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857847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86D" w:rsidRPr="0085386D" w:rsidRDefault="00D22839" w:rsidP="0085386D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DSBD – Response to WPQ 2399-NW2647</w:t>
        </w:r>
        <w:r w:rsidRPr="0085386D">
          <w:rPr>
            <w:sz w:val="16"/>
            <w:szCs w:val="16"/>
          </w:rPr>
          <w:t>E</w:t>
        </w:r>
        <w:r w:rsidRPr="0085386D">
          <w:rPr>
            <w:sz w:val="16"/>
            <w:szCs w:val="16"/>
          </w:rPr>
          <w:tab/>
        </w:r>
        <w:r w:rsidRPr="0085386D">
          <w:rPr>
            <w:sz w:val="16"/>
            <w:szCs w:val="16"/>
          </w:rPr>
          <w:tab/>
        </w:r>
        <w:r w:rsidR="00166FD1" w:rsidRPr="0085386D">
          <w:rPr>
            <w:sz w:val="16"/>
            <w:szCs w:val="16"/>
          </w:rPr>
          <w:fldChar w:fldCharType="begin"/>
        </w:r>
        <w:r w:rsidRPr="0085386D">
          <w:rPr>
            <w:sz w:val="16"/>
            <w:szCs w:val="16"/>
          </w:rPr>
          <w:instrText xml:space="preserve"> PAGE   \* MERGEFORMAT </w:instrText>
        </w:r>
        <w:r w:rsidR="00166FD1" w:rsidRPr="0085386D">
          <w:rPr>
            <w:sz w:val="16"/>
            <w:szCs w:val="16"/>
          </w:rPr>
          <w:fldChar w:fldCharType="separate"/>
        </w:r>
        <w:r w:rsidR="00777D1E">
          <w:rPr>
            <w:noProof/>
            <w:sz w:val="16"/>
            <w:szCs w:val="16"/>
          </w:rPr>
          <w:t>1</w:t>
        </w:r>
        <w:r w:rsidR="00166FD1" w:rsidRPr="0085386D">
          <w:rPr>
            <w:noProof/>
            <w:sz w:val="16"/>
            <w:szCs w:val="16"/>
          </w:rPr>
          <w:fldChar w:fldCharType="end"/>
        </w:r>
      </w:p>
    </w:sdtContent>
  </w:sdt>
  <w:p w:rsidR="00BF2BB1" w:rsidRPr="0085386D" w:rsidRDefault="00777D1E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1E" w:rsidRDefault="00777D1E" w:rsidP="00166FD1">
      <w:pPr>
        <w:spacing w:after="0" w:line="240" w:lineRule="auto"/>
      </w:pPr>
      <w:r>
        <w:separator/>
      </w:r>
    </w:p>
  </w:footnote>
  <w:footnote w:type="continuationSeparator" w:id="0">
    <w:p w:rsidR="00777D1E" w:rsidRDefault="00777D1E" w:rsidP="0016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7D0"/>
    <w:multiLevelType w:val="hybridMultilevel"/>
    <w:tmpl w:val="B8B8DB92"/>
    <w:lvl w:ilvl="0" w:tplc="8D3A5C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7671E"/>
    <w:multiLevelType w:val="hybridMultilevel"/>
    <w:tmpl w:val="8FECC6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635A4B"/>
    <w:multiLevelType w:val="hybridMultilevel"/>
    <w:tmpl w:val="B8B8DB92"/>
    <w:lvl w:ilvl="0" w:tplc="8D3A5C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2839"/>
    <w:rsid w:val="00166FD1"/>
    <w:rsid w:val="00777D1E"/>
    <w:rsid w:val="007D4822"/>
    <w:rsid w:val="00895DA3"/>
    <w:rsid w:val="00D2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39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39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39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39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39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39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PUMZA</cp:lastModifiedBy>
  <cp:revision>2</cp:revision>
  <dcterms:created xsi:type="dcterms:W3CDTF">2017-11-03T10:26:00Z</dcterms:created>
  <dcterms:modified xsi:type="dcterms:W3CDTF">2017-11-03T10:26:00Z</dcterms:modified>
</cp:coreProperties>
</file>