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7B" w:rsidRDefault="00B54695" w:rsidP="0018077B">
      <w:pPr>
        <w:pStyle w:val="ListParagraph"/>
        <w:rPr>
          <w:rFonts w:ascii="Arial" w:hAnsi="Arial" w:cs="Arial"/>
          <w:b/>
          <w:lang w:val="en-ZA"/>
        </w:rPr>
      </w:pPr>
      <w:r w:rsidRPr="00B54695">
        <w:rPr>
          <w:rFonts w:ascii="Arial" w:hAnsi="Arial" w:cs="Arial"/>
          <w:b/>
          <w:lang w:val="en-ZA"/>
        </w:rPr>
        <w:t>National Assembly</w:t>
      </w:r>
    </w:p>
    <w:p w:rsidR="00B54695" w:rsidRPr="00B54695" w:rsidRDefault="00B54695" w:rsidP="0018077B">
      <w:pPr>
        <w:pStyle w:val="ListParagraph"/>
        <w:rPr>
          <w:rFonts w:ascii="Arial" w:hAnsi="Arial" w:cs="Arial"/>
          <w:b/>
          <w:lang w:val="en-ZA"/>
        </w:rPr>
      </w:pPr>
    </w:p>
    <w:p w:rsidR="00B54695" w:rsidRPr="00B54695" w:rsidRDefault="00B54695" w:rsidP="0018077B">
      <w:pPr>
        <w:pStyle w:val="ListParagraph"/>
        <w:rPr>
          <w:rFonts w:ascii="Arial" w:hAnsi="Arial" w:cs="Arial"/>
          <w:b/>
          <w:lang w:val="en-ZA"/>
        </w:rPr>
      </w:pPr>
      <w:r w:rsidRPr="00B54695">
        <w:rPr>
          <w:rFonts w:ascii="Arial" w:hAnsi="Arial" w:cs="Arial"/>
          <w:b/>
          <w:lang w:val="en-ZA"/>
        </w:rPr>
        <w:t>Question No: 2394</w:t>
      </w:r>
    </w:p>
    <w:p w:rsidR="004D70BD" w:rsidRPr="004D70BD" w:rsidRDefault="004D70BD" w:rsidP="004D70BD">
      <w:pPr>
        <w:spacing w:before="100" w:beforeAutospacing="1" w:after="100" w:afterAutospacing="1" w:line="240" w:lineRule="auto"/>
        <w:ind w:left="720" w:hanging="720"/>
        <w:jc w:val="both"/>
        <w:outlineLvl w:val="0"/>
        <w:rPr>
          <w:rFonts w:ascii="Arial" w:hAnsi="Arial" w:cs="Arial"/>
          <w:b/>
        </w:rPr>
      </w:pPr>
      <w:r w:rsidRPr="004D70BD">
        <w:rPr>
          <w:rFonts w:ascii="Arial" w:hAnsi="Arial" w:cs="Arial"/>
          <w:b/>
          <w:bCs/>
        </w:rPr>
        <w:t>2394.</w:t>
      </w:r>
      <w:r w:rsidRPr="004D70BD">
        <w:rPr>
          <w:rFonts w:ascii="Arial" w:hAnsi="Arial" w:cs="Arial"/>
          <w:b/>
          <w:bCs/>
        </w:rPr>
        <w:tab/>
        <w:t xml:space="preserve">Mrs N J </w:t>
      </w:r>
      <w:r w:rsidRPr="004D70BD">
        <w:rPr>
          <w:rFonts w:ascii="Arial" w:eastAsia="Times New Roman" w:hAnsi="Arial" w:cs="Arial"/>
          <w:b/>
          <w:color w:val="000000"/>
          <w:lang w:bidi="hi-IN"/>
        </w:rPr>
        <w:t>Nolutshungu</w:t>
      </w:r>
      <w:r w:rsidRPr="004D70BD">
        <w:rPr>
          <w:rFonts w:ascii="Arial" w:hAnsi="Arial" w:cs="Arial"/>
          <w:b/>
          <w:bCs/>
        </w:rPr>
        <w:t xml:space="preserve"> (EFF) to ask the Minister of Transport</w:t>
      </w:r>
      <w:r w:rsidR="0051283F" w:rsidRPr="004D70BD">
        <w:rPr>
          <w:rFonts w:ascii="Arial" w:hAnsi="Arial" w:cs="Arial"/>
          <w:b/>
          <w:bCs/>
        </w:rPr>
        <w:fldChar w:fldCharType="begin"/>
      </w:r>
      <w:r w:rsidRPr="004D70BD">
        <w:rPr>
          <w:rFonts w:ascii="Arial" w:hAnsi="Arial" w:cs="Arial"/>
        </w:rPr>
        <w:instrText xml:space="preserve"> XE "</w:instrText>
      </w:r>
      <w:r w:rsidRPr="004D70BD">
        <w:rPr>
          <w:rFonts w:ascii="Arial" w:hAnsi="Arial" w:cs="Arial"/>
          <w:b/>
        </w:rPr>
        <w:instrText>Transport</w:instrText>
      </w:r>
      <w:r w:rsidRPr="004D70BD">
        <w:rPr>
          <w:rFonts w:ascii="Arial" w:hAnsi="Arial" w:cs="Arial"/>
        </w:rPr>
        <w:instrText xml:space="preserve">" </w:instrText>
      </w:r>
      <w:r w:rsidR="0051283F" w:rsidRPr="004D70BD">
        <w:rPr>
          <w:rFonts w:ascii="Arial" w:hAnsi="Arial" w:cs="Arial"/>
          <w:b/>
          <w:bCs/>
        </w:rPr>
        <w:fldChar w:fldCharType="end"/>
      </w:r>
      <w:r w:rsidRPr="004D70BD">
        <w:rPr>
          <w:rFonts w:ascii="Arial" w:hAnsi="Arial" w:cs="Arial"/>
          <w:b/>
          <w:bCs/>
        </w:rPr>
        <w:t>:</w:t>
      </w:r>
    </w:p>
    <w:p w:rsidR="004D70BD" w:rsidRPr="004D70BD" w:rsidRDefault="004D70BD" w:rsidP="004D70BD">
      <w:pPr>
        <w:spacing w:before="100" w:beforeAutospacing="1" w:after="100" w:afterAutospacing="1" w:line="240" w:lineRule="auto"/>
        <w:ind w:left="1418" w:hanging="709"/>
        <w:jc w:val="both"/>
        <w:rPr>
          <w:rFonts w:ascii="Arial" w:hAnsi="Arial" w:cs="Arial"/>
        </w:rPr>
      </w:pPr>
      <w:r w:rsidRPr="004D70BD">
        <w:rPr>
          <w:rFonts w:ascii="Arial" w:hAnsi="Arial" w:cs="Arial"/>
        </w:rPr>
        <w:t>(1)</w:t>
      </w:r>
      <w:r w:rsidRPr="004D70BD">
        <w:rPr>
          <w:rFonts w:ascii="Arial" w:hAnsi="Arial" w:cs="Arial"/>
        </w:rPr>
        <w:tab/>
        <w:t xml:space="preserve">What amount </w:t>
      </w:r>
      <w:r w:rsidRPr="004D70BD">
        <w:rPr>
          <w:rFonts w:ascii="Arial" w:eastAsia="Times New Roman" w:hAnsi="Arial" w:cs="Arial"/>
        </w:rPr>
        <w:t>did his department budget for</w:t>
      </w:r>
      <w:r w:rsidRPr="004D70BD">
        <w:rPr>
          <w:rFonts w:ascii="Arial" w:hAnsi="Arial" w:cs="Arial"/>
        </w:rPr>
        <w:t xml:space="preserve"> the maintenance of the roads from Maphumulo in the iLembe region in KwaZulu-Natal joining Glendale, Jimu, and Mvozane to Tongaat and Mazibuko, to the Mvoti pedestrian bridge, which has been under construction for six years, and which gets flooded during the winter season, making the roads dangerous and difficult to use; </w:t>
      </w:r>
    </w:p>
    <w:p w:rsidR="004D70BD" w:rsidRPr="004D70BD" w:rsidRDefault="004D70BD" w:rsidP="004D70BD">
      <w:pPr>
        <w:spacing w:before="100" w:beforeAutospacing="1" w:after="100" w:afterAutospacing="1" w:line="240" w:lineRule="auto"/>
        <w:ind w:left="1418" w:hanging="709"/>
        <w:jc w:val="both"/>
        <w:rPr>
          <w:rFonts w:ascii="Arial" w:hAnsi="Arial" w:cs="Arial"/>
        </w:rPr>
      </w:pPr>
      <w:r w:rsidRPr="004D70BD">
        <w:rPr>
          <w:rFonts w:ascii="Arial" w:hAnsi="Arial" w:cs="Arial"/>
        </w:rPr>
        <w:t>(2)</w:t>
      </w:r>
      <w:r w:rsidRPr="004D70BD">
        <w:rPr>
          <w:rFonts w:ascii="Arial" w:hAnsi="Arial" w:cs="Arial"/>
        </w:rPr>
        <w:tab/>
        <w:t>(a) why has the construction of the specified roads taken so long and (b) on what date is it envisaged that the construction of the roads will be completed?</w:t>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rPr>
        <w:tab/>
      </w:r>
      <w:r w:rsidRPr="004D70BD">
        <w:rPr>
          <w:rFonts w:ascii="Arial" w:hAnsi="Arial" w:cs="Arial"/>
          <w:color w:val="000000"/>
        </w:rPr>
        <w:t>NW2969E</w:t>
      </w:r>
    </w:p>
    <w:p w:rsidR="00D042BE" w:rsidRDefault="006642A1" w:rsidP="005D61B4">
      <w:pPr>
        <w:tabs>
          <w:tab w:val="left" w:pos="1080"/>
          <w:tab w:val="left" w:pos="1620"/>
          <w:tab w:val="left" w:pos="2340"/>
        </w:tabs>
        <w:spacing w:after="0" w:line="240" w:lineRule="auto"/>
        <w:ind w:left="540"/>
        <w:jc w:val="both"/>
        <w:rPr>
          <w:lang w:val="en-ZA"/>
        </w:rPr>
      </w:pPr>
      <w:r>
        <w:rPr>
          <w:lang w:val="en-ZA"/>
        </w:rPr>
        <w:tab/>
      </w:r>
    </w:p>
    <w:p w:rsidR="00D042BE" w:rsidRDefault="00D042BE" w:rsidP="005D61B4">
      <w:pPr>
        <w:tabs>
          <w:tab w:val="left" w:pos="1080"/>
          <w:tab w:val="left" w:pos="1620"/>
          <w:tab w:val="left" w:pos="2340"/>
        </w:tabs>
        <w:spacing w:after="0" w:line="240" w:lineRule="auto"/>
        <w:ind w:left="540"/>
        <w:jc w:val="both"/>
        <w:rPr>
          <w:lang w:val="en-ZA"/>
        </w:rPr>
      </w:pPr>
      <w:bookmarkStart w:id="0" w:name="_GoBack"/>
      <w:bookmarkEnd w:id="0"/>
    </w:p>
    <w:p w:rsidR="00D042BE" w:rsidRDefault="00D042BE" w:rsidP="005D61B4">
      <w:pPr>
        <w:tabs>
          <w:tab w:val="left" w:pos="1080"/>
          <w:tab w:val="left" w:pos="1620"/>
          <w:tab w:val="left" w:pos="2340"/>
        </w:tabs>
        <w:spacing w:after="0" w:line="240" w:lineRule="auto"/>
        <w:ind w:left="540"/>
        <w:jc w:val="both"/>
        <w:rPr>
          <w:lang w:val="en-ZA"/>
        </w:rPr>
      </w:pPr>
    </w:p>
    <w:p w:rsidR="004B3672" w:rsidRDefault="006642A1" w:rsidP="00D042BE">
      <w:pPr>
        <w:tabs>
          <w:tab w:val="left" w:pos="1080"/>
          <w:tab w:val="left" w:pos="1620"/>
          <w:tab w:val="left" w:pos="2340"/>
        </w:tabs>
        <w:spacing w:after="0" w:line="240" w:lineRule="auto"/>
        <w:jc w:val="both"/>
        <w:rPr>
          <w:rFonts w:ascii="Arial" w:hAnsi="Arial" w:cs="Arial"/>
          <w:b/>
          <w:szCs w:val="24"/>
        </w:rPr>
      </w:pPr>
      <w:r w:rsidRPr="00B32818">
        <w:rPr>
          <w:rFonts w:ascii="Arial" w:hAnsi="Arial" w:cs="Arial"/>
          <w:b/>
          <w:szCs w:val="24"/>
        </w:rPr>
        <w:t>REPLY</w:t>
      </w:r>
    </w:p>
    <w:p w:rsidR="00A04583" w:rsidRDefault="00A04583" w:rsidP="00D042BE">
      <w:pPr>
        <w:tabs>
          <w:tab w:val="left" w:pos="1080"/>
          <w:tab w:val="left" w:pos="1620"/>
          <w:tab w:val="left" w:pos="2340"/>
        </w:tabs>
        <w:spacing w:after="0" w:line="240" w:lineRule="auto"/>
        <w:jc w:val="both"/>
        <w:rPr>
          <w:rFonts w:ascii="Arial" w:hAnsi="Arial" w:cs="Arial"/>
          <w:b/>
          <w:szCs w:val="24"/>
        </w:rPr>
      </w:pPr>
    </w:p>
    <w:p w:rsidR="00D042BE" w:rsidRPr="00D042BE" w:rsidRDefault="00D042BE" w:rsidP="00D042BE">
      <w:pPr>
        <w:rPr>
          <w:rFonts w:ascii="Arial" w:hAnsi="Arial" w:cs="Arial"/>
          <w:noProof/>
        </w:rPr>
      </w:pPr>
      <w:r w:rsidRPr="00D042BE">
        <w:rPr>
          <w:rFonts w:ascii="Arial" w:hAnsi="Arial" w:cs="Arial"/>
          <w:noProof/>
        </w:rPr>
        <w:t xml:space="preserve">It was assumed that the following projects are the one that they are refering to as they are the only two projects that have challenges on site with stoppages by poor perfomance of the same contractor which is </w:t>
      </w:r>
      <w:r w:rsidRPr="00D042BE">
        <w:rPr>
          <w:rFonts w:ascii="Arial" w:hAnsi="Arial" w:cs="Arial"/>
          <w:b/>
          <w:noProof/>
        </w:rPr>
        <w:t>Tekeweni Civils,</w:t>
      </w:r>
    </w:p>
    <w:p w:rsidR="00D042BE" w:rsidRPr="00D042BE" w:rsidRDefault="00D042BE" w:rsidP="00D042BE">
      <w:pPr>
        <w:pStyle w:val="ListParagraph"/>
        <w:numPr>
          <w:ilvl w:val="0"/>
          <w:numId w:val="6"/>
        </w:numPr>
        <w:spacing w:after="160" w:line="259" w:lineRule="auto"/>
        <w:rPr>
          <w:rFonts w:ascii="Arial" w:hAnsi="Arial" w:cs="Arial"/>
          <w:b/>
          <w:noProof/>
        </w:rPr>
      </w:pPr>
      <w:r w:rsidRPr="00D042BE">
        <w:rPr>
          <w:rFonts w:ascii="Arial" w:hAnsi="Arial" w:cs="Arial"/>
          <w:b/>
          <w:noProof/>
        </w:rPr>
        <w:t>Backround information on P711 (Upgrade Project)</w:t>
      </w:r>
    </w:p>
    <w:p w:rsidR="00D042BE" w:rsidRPr="00D042BE" w:rsidRDefault="00D042BE" w:rsidP="00D042BE">
      <w:pPr>
        <w:pStyle w:val="ListParagraph"/>
        <w:rPr>
          <w:rFonts w:ascii="Arial" w:hAnsi="Arial" w:cs="Arial"/>
          <w:b/>
          <w:noProof/>
        </w:rPr>
      </w:pPr>
    </w:p>
    <w:p w:rsidR="00D042BE" w:rsidRPr="00D042BE" w:rsidRDefault="00D042BE" w:rsidP="00D042BE">
      <w:pPr>
        <w:pStyle w:val="ListParagraph"/>
        <w:jc w:val="both"/>
        <w:rPr>
          <w:rFonts w:ascii="Arial" w:hAnsi="Arial" w:cs="Arial"/>
          <w:noProof/>
        </w:rPr>
      </w:pPr>
      <w:r w:rsidRPr="00D042BE">
        <w:rPr>
          <w:rFonts w:ascii="Arial" w:hAnsi="Arial" w:cs="Arial"/>
          <w:noProof/>
        </w:rPr>
        <w:t xml:space="preserve">Main Road 711 is situated within the Ilembe District </w:t>
      </w:r>
      <w:r w:rsidR="007B41D9">
        <w:rPr>
          <w:rFonts w:ascii="Arial" w:hAnsi="Arial" w:cs="Arial"/>
          <w:noProof/>
        </w:rPr>
        <w:t xml:space="preserve">in KZN </w:t>
      </w:r>
      <w:r w:rsidRPr="00D042BE">
        <w:rPr>
          <w:rFonts w:ascii="Arial" w:hAnsi="Arial" w:cs="Arial"/>
          <w:noProof/>
        </w:rPr>
        <w:t>and commences at  km 0,000 at the intersection with P104 and ends at km 33.49 at the intersection with P20/1 (R74). The last 4.11 kilometres of the road has a blacktop surface while the remainder of the road is gravel.  The route closely follows the existing alignment in a north to south direction intersecting with a number of district and local access roads.  In addition, the route also serves a large population, approximately nine secondary and primary schools, three crèches, two health facilities including the Mtandeni Hospital, four places of worship (viz. churches) as well as agricultural lands. The KwaZulu-Natal Department of Transport has elected to upgrade the entire gravel section of Main Road 711 to a blacktop standard together with seven major structures in order to enable safer and greater travel between the towns of Maphumulo, Stanger, the King Shaka International Airport and the Dube Tradeport.</w:t>
      </w:r>
    </w:p>
    <w:p w:rsidR="00D042BE" w:rsidRPr="00646487" w:rsidRDefault="00D042BE" w:rsidP="00646487">
      <w:pPr>
        <w:ind w:firstLine="720"/>
        <w:rPr>
          <w:rFonts w:ascii="Arial" w:hAnsi="Arial" w:cs="Arial"/>
          <w:b/>
          <w:bCs/>
          <w:u w:val="single"/>
        </w:rPr>
      </w:pPr>
      <w:r w:rsidRPr="00D042BE">
        <w:rPr>
          <w:rFonts w:ascii="Arial" w:hAnsi="Arial" w:cs="Arial"/>
          <w:noProof/>
        </w:rPr>
        <w:t xml:space="preserve">Projeced budget Expenditure &amp; Output </w:t>
      </w:r>
    </w:p>
    <w:tbl>
      <w:tblPr>
        <w:tblW w:w="10651" w:type="dxa"/>
        <w:jc w:val="center"/>
        <w:tblLook w:val="04A0"/>
      </w:tblPr>
      <w:tblGrid>
        <w:gridCol w:w="1252"/>
        <w:gridCol w:w="1857"/>
        <w:gridCol w:w="1984"/>
        <w:gridCol w:w="1005"/>
        <w:gridCol w:w="1217"/>
        <w:gridCol w:w="1361"/>
        <w:gridCol w:w="970"/>
        <w:gridCol w:w="1005"/>
      </w:tblGrid>
      <w:tr w:rsidR="00D042BE" w:rsidRPr="00D042BE" w:rsidTr="00D042BE">
        <w:trPr>
          <w:trHeight w:val="509"/>
          <w:jc w:val="center"/>
        </w:trPr>
        <w:tc>
          <w:tcPr>
            <w:tcW w:w="125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Financial Year</w:t>
            </w:r>
          </w:p>
        </w:tc>
        <w:tc>
          <w:tcPr>
            <w:tcW w:w="185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Budget Required on Construction</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Budget Required on Design</w:t>
            </w:r>
          </w:p>
        </w:tc>
        <w:tc>
          <w:tcPr>
            <w:tcW w:w="100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Km Outputs</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Major Structures</w:t>
            </w:r>
          </w:p>
        </w:tc>
        <w:tc>
          <w:tcPr>
            <w:tcW w:w="13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Persons days</w:t>
            </w:r>
          </w:p>
        </w:tc>
        <w:tc>
          <w:tcPr>
            <w:tcW w:w="97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Jobs created</w:t>
            </w:r>
          </w:p>
        </w:tc>
        <w:tc>
          <w:tcPr>
            <w:tcW w:w="100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Training</w:t>
            </w:r>
          </w:p>
        </w:tc>
      </w:tr>
      <w:tr w:rsidR="00D042BE" w:rsidRPr="00D042BE" w:rsidTr="00D042BE">
        <w:trPr>
          <w:trHeight w:val="517"/>
          <w:jc w:val="center"/>
        </w:trPr>
        <w:tc>
          <w:tcPr>
            <w:tcW w:w="1252"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857"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005"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c>
          <w:tcPr>
            <w:tcW w:w="1005" w:type="dxa"/>
            <w:vMerge/>
            <w:tcBorders>
              <w:top w:val="single" w:sz="8" w:space="0" w:color="auto"/>
              <w:left w:val="single" w:sz="8" w:space="0" w:color="auto"/>
              <w:bottom w:val="single" w:sz="8" w:space="0" w:color="000000"/>
              <w:right w:val="single" w:sz="8" w:space="0" w:color="auto"/>
            </w:tcBorders>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p>
        </w:tc>
      </w:tr>
      <w:tr w:rsidR="00D042BE" w:rsidRPr="00D042BE" w:rsidTr="00D042BE">
        <w:trPr>
          <w:trHeight w:val="397"/>
          <w:jc w:val="center"/>
        </w:trPr>
        <w:tc>
          <w:tcPr>
            <w:tcW w:w="1252" w:type="dxa"/>
            <w:tcBorders>
              <w:top w:val="nil"/>
              <w:left w:val="single" w:sz="8" w:space="0" w:color="auto"/>
              <w:bottom w:val="single" w:sz="8" w:space="0" w:color="auto"/>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2020/21</w:t>
            </w:r>
          </w:p>
        </w:tc>
        <w:tc>
          <w:tcPr>
            <w:tcW w:w="1857"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 37 259 436.00</w:t>
            </w:r>
          </w:p>
        </w:tc>
        <w:tc>
          <w:tcPr>
            <w:tcW w:w="1984"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R6 227 491.50</w:t>
            </w:r>
          </w:p>
        </w:tc>
        <w:tc>
          <w:tcPr>
            <w:tcW w:w="1005"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5</w:t>
            </w:r>
          </w:p>
        </w:tc>
        <w:tc>
          <w:tcPr>
            <w:tcW w:w="1217"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3</w:t>
            </w:r>
          </w:p>
        </w:tc>
        <w:tc>
          <w:tcPr>
            <w:tcW w:w="1361"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2440</w:t>
            </w:r>
          </w:p>
        </w:tc>
        <w:tc>
          <w:tcPr>
            <w:tcW w:w="970"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18</w:t>
            </w:r>
          </w:p>
        </w:tc>
        <w:tc>
          <w:tcPr>
            <w:tcW w:w="1005" w:type="dxa"/>
            <w:tcBorders>
              <w:top w:val="nil"/>
              <w:left w:val="nil"/>
              <w:bottom w:val="single" w:sz="8" w:space="0" w:color="auto"/>
              <w:right w:val="single" w:sz="8" w:space="0" w:color="auto"/>
            </w:tcBorders>
            <w:shd w:val="clear" w:color="auto" w:fill="auto"/>
            <w:vAlign w:val="center"/>
            <w:hideMark/>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10</w:t>
            </w:r>
          </w:p>
        </w:tc>
      </w:tr>
      <w:tr w:rsidR="00D042BE" w:rsidRPr="00D042BE" w:rsidTr="00D042BE">
        <w:trPr>
          <w:trHeight w:val="397"/>
          <w:jc w:val="center"/>
        </w:trPr>
        <w:tc>
          <w:tcPr>
            <w:tcW w:w="1252" w:type="dxa"/>
            <w:tcBorders>
              <w:top w:val="nil"/>
              <w:left w:val="single" w:sz="8" w:space="0" w:color="auto"/>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2021/22</w:t>
            </w:r>
          </w:p>
        </w:tc>
        <w:tc>
          <w:tcPr>
            <w:tcW w:w="1857"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 65 620 951.20</w:t>
            </w:r>
          </w:p>
        </w:tc>
        <w:tc>
          <w:tcPr>
            <w:tcW w:w="1984"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R7 599 328.80</w:t>
            </w:r>
          </w:p>
        </w:tc>
        <w:tc>
          <w:tcPr>
            <w:tcW w:w="1005"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5</w:t>
            </w:r>
          </w:p>
        </w:tc>
        <w:tc>
          <w:tcPr>
            <w:tcW w:w="1217"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3</w:t>
            </w:r>
          </w:p>
        </w:tc>
        <w:tc>
          <w:tcPr>
            <w:tcW w:w="1361"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5640</w:t>
            </w:r>
          </w:p>
        </w:tc>
        <w:tc>
          <w:tcPr>
            <w:tcW w:w="970"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30</w:t>
            </w:r>
          </w:p>
        </w:tc>
        <w:tc>
          <w:tcPr>
            <w:tcW w:w="1005"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10</w:t>
            </w:r>
          </w:p>
        </w:tc>
      </w:tr>
      <w:tr w:rsidR="00D042BE" w:rsidRPr="00D042BE" w:rsidTr="00D042BE">
        <w:trPr>
          <w:trHeight w:val="397"/>
          <w:jc w:val="center"/>
        </w:trPr>
        <w:tc>
          <w:tcPr>
            <w:tcW w:w="1252" w:type="dxa"/>
            <w:tcBorders>
              <w:top w:val="nil"/>
              <w:left w:val="single" w:sz="8" w:space="0" w:color="auto"/>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2022/23</w:t>
            </w:r>
          </w:p>
        </w:tc>
        <w:tc>
          <w:tcPr>
            <w:tcW w:w="1857"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 44 982 268.20</w:t>
            </w:r>
          </w:p>
        </w:tc>
        <w:tc>
          <w:tcPr>
            <w:tcW w:w="1984"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rPr>
                <w:rFonts w:ascii="Arial" w:hAnsi="Arial" w:cs="Arial"/>
                <w:sz w:val="20"/>
                <w:szCs w:val="20"/>
                <w:lang w:eastAsia="en-ZA"/>
              </w:rPr>
            </w:pPr>
            <w:r w:rsidRPr="00D042BE">
              <w:rPr>
                <w:rFonts w:ascii="Arial" w:hAnsi="Arial" w:cs="Arial"/>
                <w:sz w:val="20"/>
                <w:szCs w:val="20"/>
                <w:lang w:eastAsia="en-ZA"/>
              </w:rPr>
              <w:t>R4 432 941.80</w:t>
            </w:r>
          </w:p>
        </w:tc>
        <w:tc>
          <w:tcPr>
            <w:tcW w:w="1005"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4.08</w:t>
            </w:r>
          </w:p>
        </w:tc>
        <w:tc>
          <w:tcPr>
            <w:tcW w:w="1217"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1</w:t>
            </w:r>
          </w:p>
        </w:tc>
        <w:tc>
          <w:tcPr>
            <w:tcW w:w="1361"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3670</w:t>
            </w:r>
          </w:p>
        </w:tc>
        <w:tc>
          <w:tcPr>
            <w:tcW w:w="970"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23</w:t>
            </w:r>
          </w:p>
        </w:tc>
        <w:tc>
          <w:tcPr>
            <w:tcW w:w="1005" w:type="dxa"/>
            <w:tcBorders>
              <w:top w:val="nil"/>
              <w:left w:val="nil"/>
              <w:bottom w:val="single" w:sz="8" w:space="0" w:color="auto"/>
              <w:right w:val="single" w:sz="8" w:space="0" w:color="auto"/>
            </w:tcBorders>
            <w:shd w:val="clear" w:color="auto" w:fill="auto"/>
            <w:vAlign w:val="center"/>
          </w:tcPr>
          <w:p w:rsidR="00D042BE" w:rsidRPr="00D042BE" w:rsidRDefault="00D042BE" w:rsidP="009C238F">
            <w:pPr>
              <w:spacing w:after="0" w:line="240" w:lineRule="auto"/>
              <w:jc w:val="center"/>
              <w:rPr>
                <w:rFonts w:ascii="Arial" w:hAnsi="Arial" w:cs="Arial"/>
                <w:color w:val="000000"/>
                <w:sz w:val="20"/>
                <w:szCs w:val="20"/>
                <w:lang w:eastAsia="en-ZA"/>
              </w:rPr>
            </w:pPr>
            <w:r w:rsidRPr="00D042BE">
              <w:rPr>
                <w:rFonts w:ascii="Arial" w:hAnsi="Arial" w:cs="Arial"/>
                <w:color w:val="000000"/>
                <w:sz w:val="20"/>
                <w:szCs w:val="20"/>
                <w:lang w:eastAsia="en-ZA"/>
              </w:rPr>
              <w:t>10</w:t>
            </w:r>
          </w:p>
        </w:tc>
      </w:tr>
      <w:tr w:rsidR="00D042BE" w:rsidRPr="00D042BE" w:rsidTr="00D042BE">
        <w:trPr>
          <w:trHeight w:val="397"/>
          <w:jc w:val="center"/>
        </w:trPr>
        <w:tc>
          <w:tcPr>
            <w:tcW w:w="1252" w:type="dxa"/>
            <w:tcBorders>
              <w:top w:val="nil"/>
              <w:left w:val="single" w:sz="8" w:space="0" w:color="auto"/>
              <w:bottom w:val="single" w:sz="8" w:space="0" w:color="auto"/>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Sub Total</w:t>
            </w:r>
          </w:p>
        </w:tc>
        <w:tc>
          <w:tcPr>
            <w:tcW w:w="1857"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color w:val="000000"/>
                <w:sz w:val="20"/>
                <w:szCs w:val="20"/>
                <w:lang w:eastAsia="en-ZA"/>
              </w:rPr>
              <w:t>R 147 862 655.00</w:t>
            </w:r>
          </w:p>
        </w:tc>
        <w:tc>
          <w:tcPr>
            <w:tcW w:w="1984"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color w:val="000000"/>
                <w:sz w:val="20"/>
                <w:szCs w:val="20"/>
                <w:lang w:eastAsia="en-ZA"/>
              </w:rPr>
              <w:t>R18 259 762.10</w:t>
            </w:r>
          </w:p>
        </w:tc>
        <w:tc>
          <w:tcPr>
            <w:tcW w:w="1005"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color w:val="000000"/>
                <w:sz w:val="20"/>
                <w:szCs w:val="20"/>
                <w:lang w:eastAsia="en-ZA"/>
              </w:rPr>
              <w:t>5</w:t>
            </w:r>
          </w:p>
        </w:tc>
        <w:tc>
          <w:tcPr>
            <w:tcW w:w="1217"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b/>
                <w:bCs/>
                <w:color w:val="000000"/>
                <w:sz w:val="20"/>
                <w:szCs w:val="20"/>
                <w:lang w:eastAsia="en-ZA"/>
              </w:rPr>
              <w:t>7</w:t>
            </w:r>
          </w:p>
        </w:tc>
        <w:tc>
          <w:tcPr>
            <w:tcW w:w="1361"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color w:val="000000"/>
                <w:sz w:val="20"/>
                <w:szCs w:val="20"/>
                <w:lang w:eastAsia="en-ZA"/>
              </w:rPr>
              <w:t>11750</w:t>
            </w:r>
          </w:p>
        </w:tc>
        <w:tc>
          <w:tcPr>
            <w:tcW w:w="970"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b/>
                <w:bCs/>
                <w:color w:val="000000"/>
                <w:sz w:val="20"/>
                <w:szCs w:val="20"/>
                <w:lang w:eastAsia="en-ZA"/>
              </w:rPr>
              <w:t>71</w:t>
            </w:r>
          </w:p>
        </w:tc>
        <w:tc>
          <w:tcPr>
            <w:tcW w:w="1005"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color w:val="000000"/>
                <w:sz w:val="20"/>
                <w:szCs w:val="20"/>
                <w:lang w:eastAsia="en-ZA"/>
              </w:rPr>
              <w:t>10</w:t>
            </w:r>
          </w:p>
        </w:tc>
      </w:tr>
      <w:tr w:rsidR="00D042BE" w:rsidRPr="00D042BE" w:rsidTr="00D042BE">
        <w:trPr>
          <w:trHeight w:val="397"/>
          <w:jc w:val="center"/>
        </w:trPr>
        <w:tc>
          <w:tcPr>
            <w:tcW w:w="1252" w:type="dxa"/>
            <w:tcBorders>
              <w:top w:val="nil"/>
              <w:left w:val="single" w:sz="8" w:space="0" w:color="auto"/>
              <w:bottom w:val="single" w:sz="8" w:space="0" w:color="auto"/>
              <w:right w:val="single" w:sz="8" w:space="0" w:color="auto"/>
            </w:tcBorders>
            <w:shd w:val="clear" w:color="000000" w:fill="BFBFBF"/>
            <w:vAlign w:val="center"/>
            <w:hideMark/>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lastRenderedPageBreak/>
              <w:t>Grand Total</w:t>
            </w:r>
          </w:p>
        </w:tc>
        <w:tc>
          <w:tcPr>
            <w:tcW w:w="1857"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color w:val="000000"/>
                <w:sz w:val="20"/>
                <w:szCs w:val="20"/>
                <w:lang w:eastAsia="en-ZA"/>
              </w:rPr>
              <w:t>R 331 987 483.90</w:t>
            </w:r>
          </w:p>
        </w:tc>
        <w:tc>
          <w:tcPr>
            <w:tcW w:w="1984"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color w:val="000000"/>
                <w:sz w:val="20"/>
                <w:szCs w:val="20"/>
                <w:lang w:eastAsia="en-ZA"/>
              </w:rPr>
              <w:t>R112 441 022.83</w:t>
            </w:r>
          </w:p>
        </w:tc>
        <w:tc>
          <w:tcPr>
            <w:tcW w:w="1005"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b/>
                <w:bCs/>
                <w:color w:val="000000"/>
                <w:sz w:val="20"/>
                <w:szCs w:val="20"/>
                <w:lang w:eastAsia="en-ZA"/>
              </w:rPr>
              <w:t>29.08</w:t>
            </w:r>
          </w:p>
        </w:tc>
        <w:tc>
          <w:tcPr>
            <w:tcW w:w="1217"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b/>
                <w:bCs/>
                <w:color w:val="000000"/>
                <w:sz w:val="20"/>
                <w:szCs w:val="20"/>
                <w:lang w:eastAsia="en-ZA"/>
              </w:rPr>
              <w:t>8</w:t>
            </w:r>
          </w:p>
        </w:tc>
        <w:tc>
          <w:tcPr>
            <w:tcW w:w="1361"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b/>
                <w:bCs/>
                <w:color w:val="000000"/>
                <w:sz w:val="20"/>
                <w:szCs w:val="20"/>
                <w:lang w:eastAsia="en-ZA"/>
              </w:rPr>
              <w:t>65674</w:t>
            </w:r>
          </w:p>
        </w:tc>
        <w:tc>
          <w:tcPr>
            <w:tcW w:w="970"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rPr>
                <w:rFonts w:ascii="Arial" w:hAnsi="Arial" w:cs="Arial"/>
                <w:b/>
                <w:bCs/>
                <w:color w:val="000000"/>
                <w:sz w:val="20"/>
                <w:szCs w:val="20"/>
                <w:lang w:eastAsia="en-ZA"/>
              </w:rPr>
            </w:pPr>
            <w:r w:rsidRPr="00D042BE">
              <w:rPr>
                <w:rFonts w:ascii="Arial" w:hAnsi="Arial" w:cs="Arial"/>
                <w:b/>
                <w:bCs/>
                <w:color w:val="000000"/>
                <w:sz w:val="20"/>
                <w:szCs w:val="20"/>
                <w:lang w:eastAsia="en-ZA"/>
              </w:rPr>
              <w:t>1433</w:t>
            </w:r>
          </w:p>
        </w:tc>
        <w:tc>
          <w:tcPr>
            <w:tcW w:w="1005" w:type="dxa"/>
            <w:tcBorders>
              <w:top w:val="nil"/>
              <w:left w:val="nil"/>
              <w:bottom w:val="single" w:sz="8" w:space="0" w:color="auto"/>
              <w:right w:val="single" w:sz="8" w:space="0" w:color="auto"/>
            </w:tcBorders>
            <w:shd w:val="clear" w:color="000000" w:fill="BFBFBF"/>
            <w:vAlign w:val="center"/>
          </w:tcPr>
          <w:p w:rsidR="00D042BE" w:rsidRPr="00D042BE" w:rsidRDefault="00D042BE" w:rsidP="009C238F">
            <w:pPr>
              <w:spacing w:after="0" w:line="240" w:lineRule="auto"/>
              <w:jc w:val="center"/>
              <w:rPr>
                <w:rFonts w:ascii="Arial" w:hAnsi="Arial" w:cs="Arial"/>
                <w:b/>
                <w:bCs/>
                <w:color w:val="000000"/>
                <w:sz w:val="20"/>
                <w:szCs w:val="20"/>
                <w:lang w:eastAsia="en-ZA"/>
              </w:rPr>
            </w:pPr>
            <w:r w:rsidRPr="00D042BE">
              <w:rPr>
                <w:rFonts w:ascii="Arial" w:hAnsi="Arial" w:cs="Arial"/>
                <w:color w:val="000000"/>
                <w:sz w:val="20"/>
                <w:szCs w:val="20"/>
                <w:lang w:eastAsia="en-ZA"/>
              </w:rPr>
              <w:t>10</w:t>
            </w:r>
          </w:p>
        </w:tc>
      </w:tr>
    </w:tbl>
    <w:p w:rsidR="00D042BE" w:rsidRPr="00D042BE" w:rsidRDefault="00D042BE" w:rsidP="00646487">
      <w:pPr>
        <w:spacing w:after="0"/>
        <w:rPr>
          <w:rFonts w:ascii="Arial" w:hAnsi="Arial" w:cs="Arial"/>
          <w:noProof/>
          <w:color w:val="FF0000"/>
        </w:rPr>
      </w:pPr>
    </w:p>
    <w:p w:rsidR="00D042BE" w:rsidRPr="00D042BE" w:rsidRDefault="00D042BE" w:rsidP="00D042BE">
      <w:pPr>
        <w:rPr>
          <w:rFonts w:ascii="Arial" w:hAnsi="Arial" w:cs="Arial"/>
          <w:b/>
          <w:noProof/>
          <w:color w:val="FF0000"/>
        </w:rPr>
      </w:pPr>
      <w:r w:rsidRPr="00D042BE">
        <w:rPr>
          <w:rFonts w:ascii="Arial" w:hAnsi="Arial" w:cs="Arial"/>
        </w:rPr>
        <w:t>The general project information is as follows:</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6297"/>
      </w:tblGrid>
      <w:tr w:rsidR="00D042BE" w:rsidRPr="00D042BE" w:rsidTr="00646487">
        <w:trPr>
          <w:trHeight w:val="154"/>
        </w:trPr>
        <w:tc>
          <w:tcPr>
            <w:tcW w:w="10632" w:type="dxa"/>
            <w:gridSpan w:val="2"/>
            <w:shd w:val="clear" w:color="auto" w:fill="C0C0C0"/>
            <w:vAlign w:val="center"/>
          </w:tcPr>
          <w:p w:rsidR="00D042BE" w:rsidRPr="00646487" w:rsidRDefault="00D042BE" w:rsidP="009C238F">
            <w:pPr>
              <w:spacing w:after="0" w:line="360" w:lineRule="auto"/>
              <w:ind w:left="34"/>
              <w:jc w:val="both"/>
              <w:rPr>
                <w:rFonts w:ascii="Arial" w:eastAsia="Times New Roman" w:hAnsi="Arial" w:cs="Arial"/>
                <w:b/>
                <w:sz w:val="20"/>
              </w:rPr>
            </w:pPr>
            <w:r w:rsidRPr="00646487">
              <w:rPr>
                <w:rFonts w:ascii="Arial" w:eastAsia="Times New Roman" w:hAnsi="Arial" w:cs="Arial"/>
                <w:b/>
                <w:sz w:val="20"/>
              </w:rPr>
              <w:t>GENERAL PROJECT INFORMATION</w:t>
            </w:r>
          </w:p>
        </w:tc>
      </w:tr>
      <w:tr w:rsidR="00D042BE" w:rsidRPr="00D042BE" w:rsidTr="00646487">
        <w:trPr>
          <w:trHeight w:val="262"/>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Extent of Project (Region)</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Mtandeni to Maphumulo– (King Shaka)</w:t>
            </w:r>
          </w:p>
        </w:tc>
      </w:tr>
      <w:tr w:rsidR="00D042BE" w:rsidRPr="00D042BE" w:rsidTr="00646487">
        <w:trPr>
          <w:trHeight w:val="877"/>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Project Description (Technical, Social, Developmental)</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To upgrade the corridor between Maphumulo and Stanger/ Tongaat and the DubeTradeport. To facilitate the development in the area</w:t>
            </w:r>
          </w:p>
        </w:tc>
      </w:tr>
      <w:tr w:rsidR="00D042BE" w:rsidRPr="00D042BE" w:rsidTr="00646487">
        <w:trPr>
          <w:trHeight w:val="475"/>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Latest Total Project Budget Estimate</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R 444 428 506.73</w:t>
            </w:r>
          </w:p>
        </w:tc>
      </w:tr>
      <w:tr w:rsidR="00D042BE" w:rsidRPr="00D042BE" w:rsidTr="00646487">
        <w:trPr>
          <w:trHeight w:val="326"/>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Total No of kms of Project</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29.080 kms</w:t>
            </w:r>
          </w:p>
        </w:tc>
      </w:tr>
      <w:tr w:rsidR="00D042BE" w:rsidRPr="00D042BE" w:rsidTr="00646487">
        <w:trPr>
          <w:trHeight w:val="344"/>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Start Date (Design year)</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October 2010</w:t>
            </w:r>
          </w:p>
        </w:tc>
      </w:tr>
      <w:tr w:rsidR="00D042BE" w:rsidRPr="00D042BE" w:rsidTr="00646487">
        <w:trPr>
          <w:trHeight w:val="334"/>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b/>
                <w:sz w:val="20"/>
              </w:rPr>
            </w:pPr>
            <w:r w:rsidRPr="00646487">
              <w:rPr>
                <w:rFonts w:ascii="Arial" w:eastAsia="Times New Roman" w:hAnsi="Arial" w:cs="Arial"/>
                <w:b/>
                <w:sz w:val="20"/>
              </w:rPr>
              <w:t>Start Date (Construction year)</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July 2011</w:t>
            </w:r>
          </w:p>
        </w:tc>
      </w:tr>
      <w:tr w:rsidR="00D042BE" w:rsidRPr="00D042BE" w:rsidTr="00646487">
        <w:trPr>
          <w:trHeight w:val="199"/>
        </w:trPr>
        <w:tc>
          <w:tcPr>
            <w:tcW w:w="4335" w:type="dxa"/>
            <w:shd w:val="clear" w:color="auto" w:fill="C0C0C0"/>
            <w:vAlign w:val="center"/>
          </w:tcPr>
          <w:p w:rsidR="00D042BE" w:rsidRPr="00646487" w:rsidRDefault="00D042BE" w:rsidP="009C238F">
            <w:pPr>
              <w:spacing w:after="0" w:line="360" w:lineRule="auto"/>
              <w:rPr>
                <w:rFonts w:ascii="Arial" w:eastAsia="Times New Roman" w:hAnsi="Arial" w:cs="Arial"/>
                <w:sz w:val="20"/>
              </w:rPr>
            </w:pPr>
            <w:r w:rsidRPr="00646487">
              <w:rPr>
                <w:rFonts w:ascii="Arial" w:eastAsia="Times New Roman" w:hAnsi="Arial" w:cs="Arial"/>
                <w:sz w:val="20"/>
              </w:rPr>
              <w:t>Anticipated construction completion</w:t>
            </w:r>
          </w:p>
        </w:tc>
        <w:tc>
          <w:tcPr>
            <w:tcW w:w="6297" w:type="dxa"/>
            <w:vAlign w:val="center"/>
          </w:tcPr>
          <w:p w:rsidR="00D042BE" w:rsidRPr="00646487" w:rsidRDefault="00D042BE" w:rsidP="009C238F">
            <w:pPr>
              <w:spacing w:after="0" w:line="360" w:lineRule="auto"/>
              <w:jc w:val="center"/>
              <w:rPr>
                <w:rFonts w:ascii="Arial" w:eastAsia="Times New Roman" w:hAnsi="Arial" w:cs="Arial"/>
                <w:sz w:val="20"/>
              </w:rPr>
            </w:pPr>
            <w:r w:rsidRPr="00646487">
              <w:rPr>
                <w:rFonts w:ascii="Arial" w:eastAsia="Times New Roman" w:hAnsi="Arial" w:cs="Arial"/>
                <w:sz w:val="20"/>
              </w:rPr>
              <w:t>July 2022</w:t>
            </w:r>
          </w:p>
        </w:tc>
      </w:tr>
    </w:tbl>
    <w:p w:rsidR="00D042BE" w:rsidRPr="00D042BE" w:rsidRDefault="00D042BE" w:rsidP="00D042BE">
      <w:pPr>
        <w:jc w:val="both"/>
        <w:rPr>
          <w:rFonts w:ascii="Arial" w:hAnsi="Arial" w:cs="Arial"/>
          <w:b/>
          <w:noProof/>
        </w:rPr>
      </w:pPr>
    </w:p>
    <w:p w:rsidR="00D042BE" w:rsidRPr="00646487" w:rsidRDefault="00D042BE" w:rsidP="00D042BE">
      <w:pPr>
        <w:jc w:val="both"/>
        <w:rPr>
          <w:rFonts w:ascii="Arial" w:hAnsi="Arial" w:cs="Arial"/>
          <w:b/>
          <w:noProof/>
        </w:rPr>
      </w:pPr>
      <w:r w:rsidRPr="00646487">
        <w:rPr>
          <w:rFonts w:ascii="Arial" w:hAnsi="Arial" w:cs="Arial"/>
          <w:b/>
          <w:noProof/>
        </w:rPr>
        <w:t>( 1)  Backround information on P100 (Upgrade Projects)</w:t>
      </w:r>
    </w:p>
    <w:p w:rsidR="00D042BE" w:rsidRPr="00D042BE" w:rsidRDefault="00D042BE" w:rsidP="00646487">
      <w:pPr>
        <w:spacing w:line="360" w:lineRule="auto"/>
        <w:ind w:left="567"/>
        <w:jc w:val="both"/>
        <w:rPr>
          <w:rFonts w:ascii="Arial" w:eastAsia="Calibri" w:hAnsi="Arial" w:cs="Arial"/>
        </w:rPr>
      </w:pPr>
      <w:r w:rsidRPr="00D042BE">
        <w:rPr>
          <w:rFonts w:ascii="Arial" w:eastAsia="Calibri" w:hAnsi="Arial" w:cs="Arial"/>
        </w:rPr>
        <w:t>P100 will be designed from km 15+400 to the end at km 45+192, at the uMzinyathi River Bridge. The existing portion of the route requiring upgrading extends from the Mdloti River Bridge in the north to the uMzinyathi River Bridge in the south. The proposed alignment closely follows the existing alignment, with both horizontal and vertical realignments proposed to meet the minimum geometric standards required. The road has been classified as a Secondary Road (SR), catering for medium to long distance movements between primary roads, towns and agricultural areas. The design and construction of uMzinyathi River Bridge will include the realignment of the bridge, use of the existing structure as a temporary deviation, construction of a new bridge and the removal of the existing bridge.</w:t>
      </w:r>
    </w:p>
    <w:p w:rsidR="00D042BE" w:rsidRPr="00D042BE" w:rsidRDefault="00D042BE" w:rsidP="00646487">
      <w:pPr>
        <w:spacing w:after="0"/>
        <w:jc w:val="both"/>
        <w:rPr>
          <w:rFonts w:ascii="Arial" w:hAnsi="Arial" w:cs="Arial"/>
          <w:b/>
          <w:noProof/>
        </w:rPr>
      </w:pPr>
      <w:r w:rsidRPr="00D042BE">
        <w:rPr>
          <w:rFonts w:ascii="Arial" w:hAnsi="Arial" w:cs="Arial"/>
          <w:noProof/>
        </w:rPr>
        <w:t>Projected budget expenditure &amp; output</w:t>
      </w:r>
    </w:p>
    <w:tbl>
      <w:tblPr>
        <w:tblW w:w="10491" w:type="dxa"/>
        <w:tblInd w:w="-436" w:type="dxa"/>
        <w:tblLook w:val="04A0"/>
      </w:tblPr>
      <w:tblGrid>
        <w:gridCol w:w="1214"/>
        <w:gridCol w:w="1762"/>
        <w:gridCol w:w="1678"/>
        <w:gridCol w:w="987"/>
        <w:gridCol w:w="1217"/>
        <w:gridCol w:w="1088"/>
        <w:gridCol w:w="1174"/>
        <w:gridCol w:w="1371"/>
      </w:tblGrid>
      <w:tr w:rsidR="00646487" w:rsidRPr="00D042BE" w:rsidTr="00913E9A">
        <w:trPr>
          <w:trHeight w:val="315"/>
        </w:trPr>
        <w:tc>
          <w:tcPr>
            <w:tcW w:w="121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Financial Year</w:t>
            </w:r>
          </w:p>
        </w:tc>
        <w:tc>
          <w:tcPr>
            <w:tcW w:w="176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Budget Required on Construction</w:t>
            </w:r>
          </w:p>
        </w:tc>
        <w:tc>
          <w:tcPr>
            <w:tcW w:w="16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Budget Required on Design</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Km Outputs</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Major Structures</w:t>
            </w:r>
          </w:p>
        </w:tc>
        <w:tc>
          <w:tcPr>
            <w:tcW w:w="108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Persons days</w:t>
            </w:r>
          </w:p>
        </w:tc>
        <w:tc>
          <w:tcPr>
            <w:tcW w:w="117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Jobs created</w:t>
            </w:r>
          </w:p>
        </w:tc>
        <w:tc>
          <w:tcPr>
            <w:tcW w:w="1371" w:type="dxa"/>
            <w:tcBorders>
              <w:top w:val="single" w:sz="8" w:space="0" w:color="auto"/>
              <w:left w:val="nil"/>
              <w:bottom w:val="nil"/>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FF0000"/>
                <w:sz w:val="20"/>
                <w:lang w:eastAsia="en-ZA"/>
              </w:rPr>
            </w:pPr>
            <w:r w:rsidRPr="00646487">
              <w:rPr>
                <w:rFonts w:ascii="Arial" w:eastAsia="Times New Roman" w:hAnsi="Arial" w:cs="Arial"/>
                <w:b/>
                <w:bCs/>
                <w:color w:val="FF0000"/>
                <w:sz w:val="20"/>
                <w:lang w:eastAsia="en-ZA"/>
              </w:rPr>
              <w:t> </w:t>
            </w:r>
          </w:p>
        </w:tc>
      </w:tr>
      <w:tr w:rsidR="00D042BE" w:rsidRPr="00D042BE" w:rsidTr="00913E9A">
        <w:trPr>
          <w:trHeight w:val="315"/>
        </w:trPr>
        <w:tc>
          <w:tcPr>
            <w:tcW w:w="1214"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762"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678"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088"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p>
        </w:tc>
        <w:tc>
          <w:tcPr>
            <w:tcW w:w="1371"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line="240" w:lineRule="auto"/>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Training</w:t>
            </w:r>
          </w:p>
        </w:tc>
      </w:tr>
      <w:tr w:rsidR="00D042BE" w:rsidRPr="00D042BE" w:rsidTr="00913E9A">
        <w:trPr>
          <w:trHeight w:val="397"/>
        </w:trPr>
        <w:tc>
          <w:tcPr>
            <w:tcW w:w="1214" w:type="dxa"/>
            <w:tcBorders>
              <w:top w:val="nil"/>
              <w:left w:val="single" w:sz="8" w:space="0" w:color="auto"/>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2020/21</w:t>
            </w:r>
          </w:p>
        </w:tc>
        <w:tc>
          <w:tcPr>
            <w:tcW w:w="1762"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R64 570 445.25</w:t>
            </w:r>
          </w:p>
        </w:tc>
        <w:tc>
          <w:tcPr>
            <w:tcW w:w="1678"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R6 410 593.35</w:t>
            </w:r>
          </w:p>
        </w:tc>
        <w:tc>
          <w:tcPr>
            <w:tcW w:w="987"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3.78</w:t>
            </w:r>
          </w:p>
        </w:tc>
        <w:tc>
          <w:tcPr>
            <w:tcW w:w="1217"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2</w:t>
            </w:r>
          </w:p>
        </w:tc>
        <w:tc>
          <w:tcPr>
            <w:tcW w:w="1088"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2960</w:t>
            </w:r>
          </w:p>
        </w:tc>
        <w:tc>
          <w:tcPr>
            <w:tcW w:w="1174"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22</w:t>
            </w:r>
          </w:p>
        </w:tc>
        <w:tc>
          <w:tcPr>
            <w:tcW w:w="1371" w:type="dxa"/>
            <w:tcBorders>
              <w:top w:val="nil"/>
              <w:left w:val="nil"/>
              <w:bottom w:val="single" w:sz="8" w:space="0" w:color="auto"/>
              <w:right w:val="single" w:sz="8" w:space="0" w:color="auto"/>
            </w:tcBorders>
            <w:shd w:val="clear" w:color="auto" w:fill="auto"/>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10</w:t>
            </w:r>
          </w:p>
        </w:tc>
      </w:tr>
      <w:tr w:rsidR="00D042BE" w:rsidRPr="00D042BE" w:rsidTr="00913E9A">
        <w:trPr>
          <w:trHeight w:val="397"/>
        </w:trPr>
        <w:tc>
          <w:tcPr>
            <w:tcW w:w="1214" w:type="dxa"/>
            <w:tcBorders>
              <w:top w:val="nil"/>
              <w:left w:val="single" w:sz="8" w:space="0" w:color="auto"/>
              <w:bottom w:val="single" w:sz="8" w:space="0" w:color="auto"/>
              <w:right w:val="single" w:sz="8" w:space="0" w:color="auto"/>
            </w:tcBorders>
            <w:shd w:val="clear" w:color="000000" w:fill="BFBFBF"/>
            <w:vAlign w:val="center"/>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2021/22</w:t>
            </w:r>
          </w:p>
        </w:tc>
        <w:tc>
          <w:tcPr>
            <w:tcW w:w="1762"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R16 267 597.85</w:t>
            </w:r>
          </w:p>
        </w:tc>
        <w:tc>
          <w:tcPr>
            <w:tcW w:w="1678"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R4 273 728.90</w:t>
            </w:r>
          </w:p>
        </w:tc>
        <w:tc>
          <w:tcPr>
            <w:tcW w:w="987"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0.412</w:t>
            </w:r>
          </w:p>
        </w:tc>
        <w:tc>
          <w:tcPr>
            <w:tcW w:w="1217"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1</w:t>
            </w:r>
          </w:p>
        </w:tc>
        <w:tc>
          <w:tcPr>
            <w:tcW w:w="1088"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990</w:t>
            </w:r>
          </w:p>
        </w:tc>
        <w:tc>
          <w:tcPr>
            <w:tcW w:w="1174"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45</w:t>
            </w:r>
          </w:p>
        </w:tc>
        <w:tc>
          <w:tcPr>
            <w:tcW w:w="1371" w:type="dxa"/>
            <w:tcBorders>
              <w:top w:val="nil"/>
              <w:left w:val="nil"/>
              <w:bottom w:val="single" w:sz="8" w:space="0" w:color="auto"/>
              <w:right w:val="single" w:sz="8" w:space="0" w:color="auto"/>
            </w:tcBorders>
            <w:shd w:val="clear" w:color="auto" w:fill="auto"/>
            <w:vAlign w:val="center"/>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10</w:t>
            </w:r>
          </w:p>
        </w:tc>
      </w:tr>
      <w:tr w:rsidR="00646487" w:rsidRPr="00D042BE" w:rsidTr="00913E9A">
        <w:trPr>
          <w:trHeight w:val="397"/>
        </w:trPr>
        <w:tc>
          <w:tcPr>
            <w:tcW w:w="1214" w:type="dxa"/>
            <w:tcBorders>
              <w:top w:val="nil"/>
              <w:left w:val="single" w:sz="8" w:space="0" w:color="auto"/>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Sub Total</w:t>
            </w:r>
          </w:p>
        </w:tc>
        <w:tc>
          <w:tcPr>
            <w:tcW w:w="1762"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R80 838 043.10</w:t>
            </w:r>
          </w:p>
        </w:tc>
        <w:tc>
          <w:tcPr>
            <w:tcW w:w="1678"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R10 684 322.25</w:t>
            </w:r>
          </w:p>
        </w:tc>
        <w:tc>
          <w:tcPr>
            <w:tcW w:w="987"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4.192</w:t>
            </w:r>
          </w:p>
        </w:tc>
        <w:tc>
          <w:tcPr>
            <w:tcW w:w="1217"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3</w:t>
            </w:r>
          </w:p>
        </w:tc>
        <w:tc>
          <w:tcPr>
            <w:tcW w:w="1088"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3950</w:t>
            </w:r>
          </w:p>
        </w:tc>
        <w:tc>
          <w:tcPr>
            <w:tcW w:w="1174"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67</w:t>
            </w:r>
          </w:p>
        </w:tc>
        <w:tc>
          <w:tcPr>
            <w:tcW w:w="1371"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color w:val="000000"/>
                <w:sz w:val="20"/>
                <w:lang w:eastAsia="en-ZA"/>
              </w:rPr>
            </w:pPr>
            <w:r w:rsidRPr="00646487">
              <w:rPr>
                <w:rFonts w:ascii="Arial" w:eastAsia="Times New Roman" w:hAnsi="Arial" w:cs="Arial"/>
                <w:color w:val="000000"/>
                <w:sz w:val="20"/>
                <w:lang w:eastAsia="en-ZA"/>
              </w:rPr>
              <w:t>0</w:t>
            </w:r>
          </w:p>
        </w:tc>
      </w:tr>
      <w:tr w:rsidR="00646487" w:rsidRPr="00D042BE" w:rsidTr="00913E9A">
        <w:trPr>
          <w:trHeight w:val="397"/>
        </w:trPr>
        <w:tc>
          <w:tcPr>
            <w:tcW w:w="1214" w:type="dxa"/>
            <w:tcBorders>
              <w:top w:val="nil"/>
              <w:left w:val="single" w:sz="8" w:space="0" w:color="auto"/>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Grand Total</w:t>
            </w:r>
          </w:p>
        </w:tc>
        <w:tc>
          <w:tcPr>
            <w:tcW w:w="1762"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R473 451 595.16</w:t>
            </w:r>
          </w:p>
        </w:tc>
        <w:tc>
          <w:tcPr>
            <w:tcW w:w="1678"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R97 583 990.24</w:t>
            </w:r>
          </w:p>
        </w:tc>
        <w:tc>
          <w:tcPr>
            <w:tcW w:w="987"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34.42</w:t>
            </w:r>
          </w:p>
        </w:tc>
        <w:tc>
          <w:tcPr>
            <w:tcW w:w="1217"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12</w:t>
            </w:r>
          </w:p>
        </w:tc>
        <w:tc>
          <w:tcPr>
            <w:tcW w:w="1088"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164 567</w:t>
            </w:r>
          </w:p>
        </w:tc>
        <w:tc>
          <w:tcPr>
            <w:tcW w:w="1174"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3673</w:t>
            </w:r>
          </w:p>
        </w:tc>
        <w:tc>
          <w:tcPr>
            <w:tcW w:w="1371" w:type="dxa"/>
            <w:tcBorders>
              <w:top w:val="nil"/>
              <w:left w:val="nil"/>
              <w:bottom w:val="single" w:sz="8" w:space="0" w:color="auto"/>
              <w:right w:val="single" w:sz="8" w:space="0" w:color="auto"/>
            </w:tcBorders>
            <w:shd w:val="clear" w:color="000000" w:fill="BFBFBF"/>
            <w:vAlign w:val="center"/>
            <w:hideMark/>
          </w:tcPr>
          <w:p w:rsidR="00D042BE" w:rsidRPr="00646487" w:rsidRDefault="00D042BE" w:rsidP="009C238F">
            <w:pPr>
              <w:spacing w:after="0" w:line="240" w:lineRule="auto"/>
              <w:jc w:val="center"/>
              <w:rPr>
                <w:rFonts w:ascii="Arial" w:eastAsia="Times New Roman" w:hAnsi="Arial" w:cs="Arial"/>
                <w:b/>
                <w:bCs/>
                <w:color w:val="000000"/>
                <w:sz w:val="20"/>
                <w:lang w:eastAsia="en-ZA"/>
              </w:rPr>
            </w:pPr>
            <w:r w:rsidRPr="00646487">
              <w:rPr>
                <w:rFonts w:ascii="Arial" w:eastAsia="Times New Roman" w:hAnsi="Arial" w:cs="Arial"/>
                <w:b/>
                <w:bCs/>
                <w:color w:val="000000"/>
                <w:sz w:val="20"/>
                <w:lang w:eastAsia="en-ZA"/>
              </w:rPr>
              <w:t>10</w:t>
            </w:r>
          </w:p>
        </w:tc>
      </w:tr>
    </w:tbl>
    <w:p w:rsidR="00D042BE" w:rsidRPr="00D042BE" w:rsidRDefault="00D042BE" w:rsidP="00D042BE">
      <w:pPr>
        <w:rPr>
          <w:rFonts w:ascii="Arial" w:hAnsi="Arial" w:cs="Arial"/>
          <w:b/>
          <w:noProof/>
          <w:color w:val="FF0000"/>
        </w:rPr>
      </w:pPr>
    </w:p>
    <w:p w:rsidR="00D042BE" w:rsidRPr="00D042BE" w:rsidRDefault="00D042BE" w:rsidP="00D042BE">
      <w:pPr>
        <w:pStyle w:val="ListParagraph"/>
        <w:rPr>
          <w:rFonts w:ascii="Arial" w:hAnsi="Arial" w:cs="Arial"/>
          <w:b/>
          <w:noProof/>
          <w:color w:val="FF0000"/>
        </w:rPr>
      </w:pPr>
      <w:r w:rsidRPr="00D042BE">
        <w:rPr>
          <w:rFonts w:ascii="Arial" w:hAnsi="Arial" w:cs="Arial"/>
        </w:rPr>
        <w:t>The general project information is as follows:</w:t>
      </w:r>
    </w:p>
    <w:p w:rsidR="00D042BE" w:rsidRPr="00D042BE" w:rsidRDefault="00D042BE" w:rsidP="00D042BE">
      <w:pPr>
        <w:pStyle w:val="ListParagraph"/>
        <w:rPr>
          <w:rFonts w:ascii="Arial" w:hAnsi="Arial" w:cs="Arial"/>
          <w:b/>
          <w:noProof/>
          <w:color w:val="FF0000"/>
        </w:rPr>
      </w:pPr>
    </w:p>
    <w:tbl>
      <w:tblPr>
        <w:tblW w:w="10632" w:type="dxa"/>
        <w:tblInd w:w="-572" w:type="dxa"/>
        <w:tblLook w:val="04A0"/>
      </w:tblPr>
      <w:tblGrid>
        <w:gridCol w:w="3999"/>
        <w:gridCol w:w="6633"/>
      </w:tblGrid>
      <w:tr w:rsidR="00D042BE" w:rsidRPr="00D042BE" w:rsidTr="009C238F">
        <w:trPr>
          <w:trHeight w:val="233"/>
        </w:trPr>
        <w:tc>
          <w:tcPr>
            <w:tcW w:w="10632"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D042BE" w:rsidRPr="00913E9A" w:rsidRDefault="00D042BE" w:rsidP="009C238F">
            <w:pPr>
              <w:spacing w:after="0" w:line="360" w:lineRule="auto"/>
              <w:ind w:firstLine="37"/>
              <w:rPr>
                <w:rFonts w:ascii="Arial" w:hAnsi="Arial" w:cs="Arial"/>
                <w:b/>
                <w:bCs/>
                <w:sz w:val="20"/>
                <w:lang w:eastAsia="en-ZA"/>
              </w:rPr>
            </w:pPr>
            <w:bookmarkStart w:id="1" w:name="RANGE!A59"/>
            <w:r w:rsidRPr="00913E9A">
              <w:rPr>
                <w:rFonts w:ascii="Arial" w:hAnsi="Arial" w:cs="Arial"/>
                <w:b/>
                <w:bCs/>
                <w:sz w:val="20"/>
                <w:lang w:eastAsia="en-ZA"/>
              </w:rPr>
              <w:lastRenderedPageBreak/>
              <w:t>GENERAL PROJECT INFORMATION</w:t>
            </w:r>
            <w:bookmarkEnd w:id="1"/>
          </w:p>
        </w:tc>
      </w:tr>
      <w:tr w:rsidR="00D042BE" w:rsidRPr="00D042BE" w:rsidTr="009C238F">
        <w:trPr>
          <w:trHeight w:val="367"/>
        </w:trPr>
        <w:tc>
          <w:tcPr>
            <w:tcW w:w="3999"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Extent of Project (Region)</w:t>
            </w:r>
          </w:p>
        </w:tc>
        <w:tc>
          <w:tcPr>
            <w:tcW w:w="6633" w:type="dxa"/>
            <w:tcBorders>
              <w:top w:val="single" w:sz="4" w:space="0" w:color="auto"/>
              <w:left w:val="nil"/>
              <w:bottom w:val="single" w:sz="4" w:space="0" w:color="auto"/>
              <w:right w:val="single" w:sz="4" w:space="0" w:color="auto"/>
            </w:tcBorders>
            <w:shd w:val="clear" w:color="auto" w:fill="FFFFFF"/>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Ndwedwe to Inanda</w:t>
            </w:r>
          </w:p>
        </w:tc>
      </w:tr>
      <w:tr w:rsidR="00D042BE" w:rsidRPr="00D042BE" w:rsidTr="009C238F">
        <w:trPr>
          <w:trHeight w:val="981"/>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Project Description (Technical, Social, Developmental)</w:t>
            </w:r>
          </w:p>
        </w:tc>
        <w:tc>
          <w:tcPr>
            <w:tcW w:w="6633" w:type="dxa"/>
            <w:tcBorders>
              <w:top w:val="single" w:sz="4" w:space="0" w:color="auto"/>
              <w:left w:val="nil"/>
              <w:bottom w:val="single" w:sz="4" w:space="0" w:color="auto"/>
              <w:right w:val="single" w:sz="4" w:space="0" w:color="auto"/>
            </w:tcBorders>
            <w:shd w:val="clear" w:color="auto" w:fill="FFFFFF"/>
            <w:vAlign w:val="center"/>
            <w:hideMark/>
          </w:tcPr>
          <w:p w:rsidR="00D042BE" w:rsidRPr="00913E9A" w:rsidRDefault="00D042BE" w:rsidP="009C238F">
            <w:pPr>
              <w:spacing w:after="0" w:line="360" w:lineRule="auto"/>
              <w:jc w:val="both"/>
              <w:rPr>
                <w:rFonts w:ascii="Arial" w:hAnsi="Arial" w:cs="Arial"/>
                <w:sz w:val="20"/>
                <w:lang w:eastAsia="en-ZA"/>
              </w:rPr>
            </w:pPr>
            <w:r w:rsidRPr="00913E9A">
              <w:rPr>
                <w:rFonts w:ascii="Arial" w:hAnsi="Arial" w:cs="Arial"/>
                <w:sz w:val="20"/>
                <w:lang w:eastAsia="en-ZA"/>
              </w:rPr>
              <w:t>Type 3: Secondary Road. 6.5m wide, 2-lane, black-topped surfaced road, traversing generally mountainous terrain with climbing and passing lanes due to percentage of heavies. Highly urbanized for a portion, catalyst for development due to proximity to Inanda, Ntuzuma&amp;KwaMashu, Development potential for opening agricultural areas and access to schools, clinics and housing.</w:t>
            </w:r>
          </w:p>
        </w:tc>
      </w:tr>
      <w:tr w:rsidR="00D042BE" w:rsidRPr="00D042BE" w:rsidTr="009C238F">
        <w:trPr>
          <w:trHeight w:val="207"/>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Latest Total Project Budget Estimate</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D042BE" w:rsidRPr="00913E9A" w:rsidRDefault="00D042BE" w:rsidP="009C238F">
            <w:pPr>
              <w:spacing w:after="0" w:line="360" w:lineRule="auto"/>
              <w:rPr>
                <w:rFonts w:ascii="Arial" w:hAnsi="Arial" w:cs="Arial"/>
                <w:b/>
                <w:sz w:val="20"/>
                <w:lang w:eastAsia="en-ZA"/>
              </w:rPr>
            </w:pPr>
            <w:r w:rsidRPr="00913E9A">
              <w:rPr>
                <w:rFonts w:ascii="Arial" w:hAnsi="Arial" w:cs="Arial"/>
                <w:b/>
                <w:sz w:val="20"/>
                <w:lang w:eastAsia="en-ZA"/>
              </w:rPr>
              <w:t>R 571 035 585.41</w:t>
            </w:r>
          </w:p>
        </w:tc>
      </w:tr>
      <w:tr w:rsidR="00D042BE" w:rsidRPr="00D042BE" w:rsidTr="009C238F">
        <w:trPr>
          <w:trHeight w:val="338"/>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Total Length of Project</w:t>
            </w:r>
          </w:p>
        </w:tc>
        <w:tc>
          <w:tcPr>
            <w:tcW w:w="6633" w:type="dxa"/>
            <w:tcBorders>
              <w:top w:val="single" w:sz="4" w:space="0" w:color="auto"/>
              <w:left w:val="nil"/>
              <w:bottom w:val="single" w:sz="4" w:space="0" w:color="auto"/>
              <w:right w:val="single" w:sz="4" w:space="0" w:color="auto"/>
            </w:tcBorders>
            <w:shd w:val="clear" w:color="auto" w:fill="FFFFFF"/>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29.72 km</w:t>
            </w:r>
          </w:p>
        </w:tc>
      </w:tr>
      <w:tr w:rsidR="00D042BE" w:rsidRPr="00D042BE" w:rsidTr="009C238F">
        <w:trPr>
          <w:trHeight w:val="327"/>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Start Date (Design year)</w:t>
            </w:r>
          </w:p>
        </w:tc>
        <w:tc>
          <w:tcPr>
            <w:tcW w:w="6633" w:type="dxa"/>
            <w:tcBorders>
              <w:top w:val="single" w:sz="4" w:space="0" w:color="auto"/>
              <w:left w:val="nil"/>
              <w:bottom w:val="single" w:sz="4" w:space="0" w:color="auto"/>
              <w:right w:val="single" w:sz="4" w:space="0" w:color="000000"/>
            </w:tcBorders>
            <w:shd w:val="clear" w:color="auto" w:fill="FFFFFF"/>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2001</w:t>
            </w:r>
          </w:p>
        </w:tc>
      </w:tr>
      <w:tr w:rsidR="00D042BE" w:rsidRPr="00D042BE" w:rsidTr="009C238F">
        <w:trPr>
          <w:trHeight w:val="316"/>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Start Date (Construction year)</w:t>
            </w:r>
          </w:p>
        </w:tc>
        <w:tc>
          <w:tcPr>
            <w:tcW w:w="6633" w:type="dxa"/>
            <w:tcBorders>
              <w:top w:val="single" w:sz="4" w:space="0" w:color="auto"/>
              <w:left w:val="nil"/>
              <w:bottom w:val="single" w:sz="4" w:space="0" w:color="auto"/>
              <w:right w:val="single" w:sz="4" w:space="0" w:color="000000"/>
            </w:tcBorders>
            <w:shd w:val="clear" w:color="auto" w:fill="FFFFFF"/>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April 2003</w:t>
            </w:r>
          </w:p>
        </w:tc>
      </w:tr>
      <w:tr w:rsidR="00D042BE" w:rsidRPr="00D042BE" w:rsidTr="009C238F">
        <w:trPr>
          <w:trHeight w:val="207"/>
        </w:trPr>
        <w:tc>
          <w:tcPr>
            <w:tcW w:w="39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42BE" w:rsidRPr="00913E9A" w:rsidRDefault="00D042BE" w:rsidP="009C238F">
            <w:pPr>
              <w:spacing w:after="0" w:line="360" w:lineRule="auto"/>
              <w:rPr>
                <w:rFonts w:ascii="Arial" w:hAnsi="Arial" w:cs="Arial"/>
                <w:sz w:val="20"/>
                <w:lang w:eastAsia="en-ZA"/>
              </w:rPr>
            </w:pPr>
            <w:r w:rsidRPr="00913E9A">
              <w:rPr>
                <w:rFonts w:ascii="Arial" w:hAnsi="Arial" w:cs="Arial"/>
                <w:sz w:val="20"/>
                <w:lang w:eastAsia="en-ZA"/>
              </w:rPr>
              <w:t>Anticipated Construction Completion Date</w:t>
            </w:r>
          </w:p>
        </w:tc>
        <w:tc>
          <w:tcPr>
            <w:tcW w:w="6633" w:type="dxa"/>
            <w:tcBorders>
              <w:top w:val="single" w:sz="4" w:space="0" w:color="auto"/>
              <w:left w:val="nil"/>
              <w:bottom w:val="single" w:sz="4" w:space="0" w:color="auto"/>
              <w:right w:val="single" w:sz="4" w:space="0" w:color="000000"/>
            </w:tcBorders>
            <w:shd w:val="clear" w:color="auto" w:fill="FFFFFF"/>
            <w:vAlign w:val="center"/>
            <w:hideMark/>
          </w:tcPr>
          <w:p w:rsidR="00D042BE" w:rsidRPr="00913E9A" w:rsidRDefault="00D042BE" w:rsidP="009C238F">
            <w:pPr>
              <w:spacing w:after="0" w:line="360" w:lineRule="auto"/>
              <w:rPr>
                <w:rFonts w:ascii="Arial" w:hAnsi="Arial" w:cs="Arial"/>
                <w:sz w:val="20"/>
                <w:lang w:eastAsia="en-ZA"/>
              </w:rPr>
            </w:pPr>
            <w:bookmarkStart w:id="2" w:name="_Hlk54338888"/>
            <w:r w:rsidRPr="00913E9A">
              <w:rPr>
                <w:rFonts w:ascii="Arial" w:hAnsi="Arial" w:cs="Arial"/>
                <w:sz w:val="20"/>
                <w:lang w:eastAsia="en-ZA"/>
              </w:rPr>
              <w:t>March 2022</w:t>
            </w:r>
            <w:bookmarkEnd w:id="2"/>
          </w:p>
        </w:tc>
      </w:tr>
    </w:tbl>
    <w:p w:rsidR="00D042BE" w:rsidRPr="00D042BE" w:rsidRDefault="00D042BE" w:rsidP="00D042BE">
      <w:pPr>
        <w:jc w:val="both"/>
        <w:rPr>
          <w:rFonts w:ascii="Arial" w:hAnsi="Arial" w:cs="Arial"/>
          <w:i/>
          <w:noProof/>
        </w:rPr>
      </w:pPr>
    </w:p>
    <w:p w:rsidR="00913E9A" w:rsidRDefault="00913E9A" w:rsidP="00D042BE">
      <w:pPr>
        <w:jc w:val="both"/>
        <w:rPr>
          <w:rFonts w:ascii="Arial" w:hAnsi="Arial" w:cs="Arial"/>
          <w:i/>
          <w:noProof/>
        </w:rPr>
      </w:pPr>
    </w:p>
    <w:p w:rsidR="00D042BE" w:rsidRDefault="00D042BE" w:rsidP="00913E9A">
      <w:pPr>
        <w:spacing w:after="0"/>
        <w:jc w:val="both"/>
        <w:rPr>
          <w:rFonts w:ascii="Arial" w:hAnsi="Arial" w:cs="Arial"/>
          <w:noProof/>
        </w:rPr>
      </w:pPr>
      <w:r w:rsidRPr="00913E9A">
        <w:rPr>
          <w:rFonts w:ascii="Arial" w:hAnsi="Arial" w:cs="Arial"/>
          <w:noProof/>
        </w:rPr>
        <w:t xml:space="preserve">(2)       (a) why has the construction of the specified roads taken so long and </w:t>
      </w:r>
      <w:bookmarkStart w:id="3" w:name="_Hlk54338562"/>
    </w:p>
    <w:p w:rsidR="00913E9A" w:rsidRPr="00913E9A" w:rsidRDefault="00913E9A" w:rsidP="00913E9A">
      <w:pPr>
        <w:spacing w:after="0"/>
        <w:jc w:val="both"/>
        <w:rPr>
          <w:rFonts w:ascii="Arial" w:hAnsi="Arial" w:cs="Arial"/>
          <w:noProof/>
        </w:rPr>
      </w:pPr>
    </w:p>
    <w:p w:rsidR="00D042BE" w:rsidRPr="00913E9A" w:rsidRDefault="00D042BE" w:rsidP="00913E9A">
      <w:pPr>
        <w:spacing w:after="0"/>
        <w:ind w:left="720"/>
        <w:jc w:val="both"/>
        <w:rPr>
          <w:rFonts w:ascii="Arial" w:hAnsi="Arial" w:cs="Arial"/>
          <w:noProof/>
        </w:rPr>
      </w:pPr>
      <w:bookmarkStart w:id="4" w:name="_Hlk54338301"/>
      <w:bookmarkEnd w:id="3"/>
      <w:r w:rsidRPr="00913E9A">
        <w:rPr>
          <w:rFonts w:ascii="Arial" w:hAnsi="Arial" w:cs="Arial"/>
          <w:noProof/>
        </w:rPr>
        <w:t xml:space="preserve">The construction of this road takes so long due to the following challenges: </w:t>
      </w:r>
    </w:p>
    <w:tbl>
      <w:tblPr>
        <w:tblW w:w="10773" w:type="dxa"/>
        <w:tblInd w:w="-572" w:type="dxa"/>
        <w:tblLook w:val="04A0"/>
      </w:tblPr>
      <w:tblGrid>
        <w:gridCol w:w="3544"/>
        <w:gridCol w:w="7229"/>
      </w:tblGrid>
      <w:tr w:rsidR="00D042BE" w:rsidRPr="00D042BE" w:rsidTr="00913E9A">
        <w:trPr>
          <w:trHeight w:val="223"/>
        </w:trPr>
        <w:tc>
          <w:tcPr>
            <w:tcW w:w="354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bookmarkEnd w:id="4"/>
          <w:p w:rsidR="00D042BE" w:rsidRPr="00D042BE" w:rsidRDefault="00D042BE" w:rsidP="009C238F">
            <w:pPr>
              <w:jc w:val="center"/>
              <w:rPr>
                <w:rFonts w:ascii="Arial" w:hAnsi="Arial" w:cs="Arial"/>
                <w:b/>
                <w:bCs/>
                <w:lang w:eastAsia="en-ZA"/>
              </w:rPr>
            </w:pPr>
            <w:r w:rsidRPr="00D042BE">
              <w:rPr>
                <w:rFonts w:ascii="Arial" w:hAnsi="Arial" w:cs="Arial"/>
                <w:b/>
                <w:bCs/>
                <w:lang w:eastAsia="en-ZA"/>
              </w:rPr>
              <w:t>Challenges</w:t>
            </w:r>
          </w:p>
        </w:tc>
        <w:tc>
          <w:tcPr>
            <w:tcW w:w="7229" w:type="dxa"/>
            <w:tcBorders>
              <w:top w:val="single" w:sz="4" w:space="0" w:color="auto"/>
              <w:left w:val="nil"/>
              <w:bottom w:val="single" w:sz="4" w:space="0" w:color="auto"/>
              <w:right w:val="single" w:sz="4" w:space="0" w:color="auto"/>
            </w:tcBorders>
            <w:shd w:val="clear" w:color="000000" w:fill="C0C0C0"/>
            <w:noWrap/>
            <w:vAlign w:val="center"/>
            <w:hideMark/>
          </w:tcPr>
          <w:p w:rsidR="00D042BE" w:rsidRPr="00D042BE" w:rsidRDefault="00D042BE" w:rsidP="009C238F">
            <w:pPr>
              <w:jc w:val="center"/>
              <w:rPr>
                <w:rFonts w:ascii="Arial" w:hAnsi="Arial" w:cs="Arial"/>
                <w:b/>
                <w:bCs/>
                <w:lang w:eastAsia="en-ZA"/>
              </w:rPr>
            </w:pPr>
            <w:r w:rsidRPr="00D042BE">
              <w:rPr>
                <w:rFonts w:ascii="Arial" w:hAnsi="Arial" w:cs="Arial"/>
                <w:b/>
                <w:bCs/>
                <w:lang w:eastAsia="en-ZA"/>
              </w:rPr>
              <w:t>Remedial Measures</w:t>
            </w:r>
          </w:p>
        </w:tc>
      </w:tr>
      <w:tr w:rsidR="00D042BE" w:rsidRPr="00D042BE" w:rsidTr="00913E9A">
        <w:trPr>
          <w:trHeight w:val="334"/>
        </w:trPr>
        <w:tc>
          <w:tcPr>
            <w:tcW w:w="3544"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 xml:space="preserve">The contractor’s slow rate of progress </w:t>
            </w:r>
          </w:p>
        </w:tc>
        <w:tc>
          <w:tcPr>
            <w:tcW w:w="7229"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The contractor was issued with two contractual notifications highlighting slow rate progress. The contractor has not increased productivity therefore, this contract is currently following the termination process within the department. The annual contract ZNT4198 has been planned and submitted to the department for approval, should the current contract be terminated, in order to complete the remaining works on P711 between Km 9.080 to Km 14.080.</w:t>
            </w:r>
          </w:p>
        </w:tc>
      </w:tr>
      <w:tr w:rsidR="00D042BE" w:rsidRPr="00D042BE" w:rsidTr="00913E9A">
        <w:trPr>
          <w:trHeight w:val="334"/>
        </w:trPr>
        <w:tc>
          <w:tcPr>
            <w:tcW w:w="3544"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The unmarked grave sites within the road reserve</w:t>
            </w:r>
          </w:p>
        </w:tc>
        <w:tc>
          <w:tcPr>
            <w:tcW w:w="7229"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Ongoing consultation with local community members</w:t>
            </w:r>
          </w:p>
        </w:tc>
      </w:tr>
      <w:tr w:rsidR="00D042BE" w:rsidRPr="00D042BE" w:rsidTr="00913E9A">
        <w:trPr>
          <w:trHeight w:val="772"/>
        </w:trPr>
        <w:tc>
          <w:tcPr>
            <w:tcW w:w="3544"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 xml:space="preserve">The relocation of ilembe water main affects approximately 1,2km of the existing road. </w:t>
            </w:r>
          </w:p>
        </w:tc>
        <w:tc>
          <w:tcPr>
            <w:tcW w:w="7229"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The contractor has been instructed to provide a programme of works in order to complete the relocation.</w:t>
            </w:r>
          </w:p>
        </w:tc>
      </w:tr>
      <w:tr w:rsidR="00D042BE" w:rsidRPr="00D042BE" w:rsidTr="00913E9A">
        <w:trPr>
          <w:trHeight w:val="772"/>
        </w:trPr>
        <w:tc>
          <w:tcPr>
            <w:tcW w:w="3544"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Community Protests due to non-payment to sub-contractors by the main contractor</w:t>
            </w:r>
          </w:p>
        </w:tc>
        <w:tc>
          <w:tcPr>
            <w:tcW w:w="7229"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13E9A">
            <w:pPr>
              <w:spacing w:line="240" w:lineRule="auto"/>
              <w:jc w:val="both"/>
              <w:rPr>
                <w:rFonts w:ascii="Arial" w:hAnsi="Arial" w:cs="Arial"/>
                <w:lang w:eastAsia="en-ZA"/>
              </w:rPr>
            </w:pPr>
            <w:r w:rsidRPr="00D042BE">
              <w:rPr>
                <w:rFonts w:ascii="Arial" w:hAnsi="Arial" w:cs="Arial"/>
                <w:lang w:eastAsia="en-ZA"/>
              </w:rPr>
              <w:t>Ongoing engagement with the main contractor and community at PLC and special meetings.</w:t>
            </w:r>
          </w:p>
        </w:tc>
      </w:tr>
    </w:tbl>
    <w:p w:rsidR="00D042BE" w:rsidRPr="00D042BE" w:rsidRDefault="00D042BE" w:rsidP="00D042BE">
      <w:pPr>
        <w:jc w:val="both"/>
        <w:rPr>
          <w:rFonts w:ascii="Arial" w:hAnsi="Arial" w:cs="Arial"/>
          <w:noProof/>
        </w:rPr>
      </w:pPr>
    </w:p>
    <w:p w:rsidR="00D042BE" w:rsidRPr="00913E9A" w:rsidRDefault="00D042BE" w:rsidP="00D042BE">
      <w:pPr>
        <w:jc w:val="both"/>
        <w:rPr>
          <w:rFonts w:ascii="Arial" w:hAnsi="Arial" w:cs="Arial"/>
          <w:noProof/>
        </w:rPr>
      </w:pPr>
      <w:r w:rsidRPr="00D042BE">
        <w:rPr>
          <w:rFonts w:ascii="Arial" w:hAnsi="Arial" w:cs="Arial"/>
          <w:i/>
          <w:noProof/>
        </w:rPr>
        <w:t>(2</w:t>
      </w:r>
      <w:r w:rsidRPr="00913E9A">
        <w:rPr>
          <w:rFonts w:ascii="Arial" w:hAnsi="Arial" w:cs="Arial"/>
          <w:noProof/>
        </w:rPr>
        <w:t xml:space="preserve">)  (a) why has the construction of the specified roads taken so long? </w:t>
      </w:r>
    </w:p>
    <w:p w:rsidR="00D042BE" w:rsidRPr="00913E9A" w:rsidRDefault="00D042BE" w:rsidP="00913E9A">
      <w:pPr>
        <w:jc w:val="both"/>
        <w:rPr>
          <w:rFonts w:ascii="Arial" w:hAnsi="Arial" w:cs="Arial"/>
          <w:noProof/>
        </w:rPr>
      </w:pPr>
      <w:r w:rsidRPr="00913E9A">
        <w:rPr>
          <w:rFonts w:ascii="Arial" w:hAnsi="Arial" w:cs="Arial"/>
          <w:noProof/>
        </w:rPr>
        <w:t xml:space="preserve">The construction of this road takes so long due to the following challenges: </w:t>
      </w:r>
    </w:p>
    <w:p w:rsidR="00D042BE" w:rsidRPr="00D042BE" w:rsidRDefault="00D042BE" w:rsidP="00D042BE">
      <w:pPr>
        <w:ind w:left="644"/>
        <w:contextualSpacing/>
        <w:rPr>
          <w:rFonts w:ascii="Arial" w:eastAsia="Times New Roman" w:hAnsi="Arial" w:cs="Arial"/>
          <w:b/>
          <w:u w:val="single"/>
        </w:rPr>
      </w:pPr>
    </w:p>
    <w:tbl>
      <w:tblPr>
        <w:tblW w:w="10773" w:type="dxa"/>
        <w:tblInd w:w="-572" w:type="dxa"/>
        <w:tblLook w:val="04A0"/>
      </w:tblPr>
      <w:tblGrid>
        <w:gridCol w:w="3828"/>
        <w:gridCol w:w="6945"/>
      </w:tblGrid>
      <w:tr w:rsidR="00D042BE" w:rsidRPr="00D042BE" w:rsidTr="00913E9A">
        <w:trPr>
          <w:trHeight w:val="335"/>
        </w:trPr>
        <w:tc>
          <w:tcPr>
            <w:tcW w:w="38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042BE" w:rsidRPr="00D042BE" w:rsidRDefault="00D042BE" w:rsidP="009C238F">
            <w:pPr>
              <w:jc w:val="center"/>
              <w:rPr>
                <w:rFonts w:ascii="Arial" w:eastAsia="Calibri" w:hAnsi="Arial" w:cs="Arial"/>
                <w:b/>
                <w:bCs/>
                <w:lang w:eastAsia="en-ZA"/>
              </w:rPr>
            </w:pPr>
            <w:r w:rsidRPr="00D042BE">
              <w:rPr>
                <w:rFonts w:ascii="Arial" w:eastAsia="Calibri" w:hAnsi="Arial" w:cs="Arial"/>
                <w:b/>
                <w:bCs/>
                <w:lang w:eastAsia="en-ZA"/>
              </w:rPr>
              <w:t>Challenges</w:t>
            </w:r>
          </w:p>
        </w:tc>
        <w:tc>
          <w:tcPr>
            <w:tcW w:w="6945" w:type="dxa"/>
            <w:tcBorders>
              <w:top w:val="single" w:sz="4" w:space="0" w:color="auto"/>
              <w:left w:val="nil"/>
              <w:bottom w:val="single" w:sz="4" w:space="0" w:color="auto"/>
              <w:right w:val="single" w:sz="4" w:space="0" w:color="auto"/>
            </w:tcBorders>
            <w:shd w:val="clear" w:color="000000" w:fill="C0C0C0"/>
            <w:noWrap/>
            <w:vAlign w:val="center"/>
            <w:hideMark/>
          </w:tcPr>
          <w:p w:rsidR="00D042BE" w:rsidRPr="00D042BE" w:rsidRDefault="00D042BE" w:rsidP="009C238F">
            <w:pPr>
              <w:jc w:val="center"/>
              <w:rPr>
                <w:rFonts w:ascii="Arial" w:eastAsia="Calibri" w:hAnsi="Arial" w:cs="Arial"/>
                <w:b/>
                <w:bCs/>
                <w:lang w:eastAsia="en-ZA"/>
              </w:rPr>
            </w:pPr>
            <w:r w:rsidRPr="00D042BE">
              <w:rPr>
                <w:rFonts w:ascii="Arial" w:eastAsia="Calibri" w:hAnsi="Arial" w:cs="Arial"/>
                <w:b/>
                <w:bCs/>
                <w:lang w:eastAsia="en-ZA"/>
              </w:rPr>
              <w:t>Remedial Measures</w:t>
            </w:r>
          </w:p>
        </w:tc>
      </w:tr>
      <w:tr w:rsidR="00D042BE" w:rsidRPr="00D042BE" w:rsidTr="00913E9A">
        <w:trPr>
          <w:trHeight w:val="501"/>
        </w:trPr>
        <w:tc>
          <w:tcPr>
            <w:tcW w:w="3828"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C238F">
            <w:pPr>
              <w:spacing w:line="360" w:lineRule="auto"/>
              <w:ind w:left="-680" w:firstLine="680"/>
              <w:rPr>
                <w:rFonts w:ascii="Arial" w:eastAsia="Calibri" w:hAnsi="Arial" w:cs="Arial"/>
                <w:lang w:eastAsia="en-ZA"/>
              </w:rPr>
            </w:pPr>
            <w:r w:rsidRPr="00D042BE">
              <w:rPr>
                <w:rFonts w:ascii="Arial" w:eastAsia="Calibri" w:hAnsi="Arial" w:cs="Arial"/>
                <w:lang w:eastAsia="en-ZA"/>
              </w:rPr>
              <w:lastRenderedPageBreak/>
              <w:t xml:space="preserve">The contractor’s slow rate of progress </w:t>
            </w:r>
          </w:p>
        </w:tc>
        <w:tc>
          <w:tcPr>
            <w:tcW w:w="6945"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C238F">
            <w:pPr>
              <w:spacing w:line="360" w:lineRule="auto"/>
              <w:jc w:val="both"/>
              <w:rPr>
                <w:rFonts w:ascii="Arial" w:eastAsia="Calibri" w:hAnsi="Arial" w:cs="Arial"/>
                <w:lang w:eastAsia="en-ZA"/>
              </w:rPr>
            </w:pPr>
            <w:r w:rsidRPr="00D042BE">
              <w:rPr>
                <w:rFonts w:ascii="Arial" w:eastAsia="Calibri" w:hAnsi="Arial" w:cs="Arial"/>
                <w:lang w:eastAsia="en-ZA"/>
              </w:rPr>
              <w:t>The Contractor was issued with two contractual notifications highlighting slow rate progress. The contractor has not increased productivity therefore, this contract is currently following the Termination process within the Department. The annual contract ZNT4198 has been planned and submitted to the Department for approval, should the current contract be Terminated, in order to complete the remaining works on P100.</w:t>
            </w:r>
          </w:p>
        </w:tc>
      </w:tr>
      <w:tr w:rsidR="00D042BE" w:rsidRPr="00D042BE" w:rsidTr="00913E9A">
        <w:trPr>
          <w:trHeight w:val="501"/>
        </w:trPr>
        <w:tc>
          <w:tcPr>
            <w:tcW w:w="3828" w:type="dxa"/>
            <w:tcBorders>
              <w:top w:val="single" w:sz="4" w:space="0" w:color="auto"/>
              <w:left w:val="single" w:sz="4" w:space="0" w:color="auto"/>
              <w:bottom w:val="single" w:sz="4" w:space="0" w:color="auto"/>
              <w:right w:val="single" w:sz="4" w:space="0" w:color="000000"/>
            </w:tcBorders>
            <w:shd w:val="clear" w:color="000000" w:fill="FFFFFF"/>
            <w:hideMark/>
          </w:tcPr>
          <w:p w:rsidR="00D042BE" w:rsidRPr="00D042BE" w:rsidRDefault="00D042BE" w:rsidP="009C238F">
            <w:pPr>
              <w:spacing w:line="360" w:lineRule="auto"/>
              <w:rPr>
                <w:rFonts w:ascii="Arial" w:eastAsia="Calibri" w:hAnsi="Arial" w:cs="Arial"/>
                <w:lang w:eastAsia="en-ZA"/>
              </w:rPr>
            </w:pPr>
            <w:r w:rsidRPr="00D042BE">
              <w:rPr>
                <w:rFonts w:ascii="Arial" w:eastAsia="Calibri" w:hAnsi="Arial" w:cs="Arial"/>
                <w:lang w:eastAsia="en-ZA"/>
              </w:rPr>
              <w:t>The relocation of external services within the road reserve</w:t>
            </w:r>
          </w:p>
        </w:tc>
        <w:tc>
          <w:tcPr>
            <w:tcW w:w="6945" w:type="dxa"/>
            <w:tcBorders>
              <w:top w:val="single" w:sz="4" w:space="0" w:color="auto"/>
              <w:left w:val="nil"/>
              <w:bottom w:val="single" w:sz="4" w:space="0" w:color="auto"/>
              <w:right w:val="single" w:sz="4" w:space="0" w:color="000000"/>
            </w:tcBorders>
            <w:shd w:val="clear" w:color="000000" w:fill="FFFFFF"/>
            <w:hideMark/>
          </w:tcPr>
          <w:p w:rsidR="00D042BE" w:rsidRPr="00D042BE" w:rsidRDefault="00D042BE" w:rsidP="009C238F">
            <w:pPr>
              <w:spacing w:line="360" w:lineRule="auto"/>
              <w:jc w:val="both"/>
              <w:rPr>
                <w:rFonts w:ascii="Arial" w:eastAsia="Calibri" w:hAnsi="Arial" w:cs="Arial"/>
                <w:lang w:eastAsia="en-ZA"/>
              </w:rPr>
            </w:pPr>
            <w:r w:rsidRPr="00D042BE">
              <w:rPr>
                <w:rFonts w:ascii="Arial" w:eastAsia="Calibri" w:hAnsi="Arial" w:cs="Arial"/>
                <w:lang w:eastAsia="en-ZA"/>
              </w:rPr>
              <w:t>Ongoing consultation with external service providers</w:t>
            </w:r>
          </w:p>
        </w:tc>
      </w:tr>
      <w:tr w:rsidR="00D042BE" w:rsidRPr="00D042BE" w:rsidTr="00913E9A">
        <w:trPr>
          <w:trHeight w:val="603"/>
        </w:trPr>
        <w:tc>
          <w:tcPr>
            <w:tcW w:w="3828"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C238F">
            <w:pPr>
              <w:spacing w:line="360" w:lineRule="auto"/>
              <w:rPr>
                <w:rFonts w:ascii="Arial" w:eastAsia="Calibri" w:hAnsi="Arial" w:cs="Arial"/>
                <w:lang w:eastAsia="en-ZA"/>
              </w:rPr>
            </w:pPr>
            <w:r w:rsidRPr="00D042BE">
              <w:rPr>
                <w:rFonts w:ascii="Arial" w:eastAsia="Calibri" w:hAnsi="Arial" w:cs="Arial"/>
                <w:lang w:eastAsia="en-ZA"/>
              </w:rPr>
              <w:t>Community Protests due to non-payment to sub-contractors by the main contractor</w:t>
            </w:r>
          </w:p>
        </w:tc>
        <w:tc>
          <w:tcPr>
            <w:tcW w:w="6945"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C238F">
            <w:pPr>
              <w:spacing w:line="360" w:lineRule="auto"/>
              <w:rPr>
                <w:rFonts w:ascii="Arial" w:eastAsia="Calibri" w:hAnsi="Arial" w:cs="Arial"/>
                <w:lang w:eastAsia="en-ZA"/>
              </w:rPr>
            </w:pPr>
            <w:r w:rsidRPr="00D042BE">
              <w:rPr>
                <w:rFonts w:ascii="Arial" w:eastAsia="Calibri" w:hAnsi="Arial" w:cs="Arial"/>
                <w:lang w:eastAsia="en-ZA"/>
              </w:rPr>
              <w:t>Ongoing engagement with the main contractor and community at PLC and special meetings.</w:t>
            </w:r>
          </w:p>
        </w:tc>
      </w:tr>
      <w:tr w:rsidR="00D042BE" w:rsidRPr="00D042BE" w:rsidTr="00913E9A">
        <w:trPr>
          <w:trHeight w:val="1158"/>
        </w:trPr>
        <w:tc>
          <w:tcPr>
            <w:tcW w:w="3828" w:type="dxa"/>
            <w:tcBorders>
              <w:top w:val="single" w:sz="4" w:space="0" w:color="auto"/>
              <w:left w:val="single" w:sz="4" w:space="0" w:color="auto"/>
              <w:bottom w:val="single" w:sz="4" w:space="0" w:color="auto"/>
              <w:right w:val="single" w:sz="4" w:space="0" w:color="000000"/>
            </w:tcBorders>
            <w:shd w:val="clear" w:color="000000" w:fill="FFFFFF"/>
          </w:tcPr>
          <w:p w:rsidR="00D042BE" w:rsidRPr="00D042BE" w:rsidRDefault="00D042BE" w:rsidP="009C238F">
            <w:pPr>
              <w:spacing w:line="360" w:lineRule="auto"/>
              <w:rPr>
                <w:rFonts w:ascii="Arial" w:eastAsia="Calibri" w:hAnsi="Arial" w:cs="Arial"/>
                <w:lang w:eastAsia="en-ZA"/>
              </w:rPr>
            </w:pPr>
            <w:r w:rsidRPr="00D042BE">
              <w:rPr>
                <w:rFonts w:ascii="Arial" w:eastAsia="Calibri" w:hAnsi="Arial" w:cs="Arial"/>
                <w:lang w:eastAsia="en-ZA"/>
              </w:rPr>
              <w:t>The maximisation of CPG opportunities in a contract that does not have a CPG allocation due to the tender being advertised in 2015 and engagement with the respective local business forums</w:t>
            </w:r>
          </w:p>
        </w:tc>
        <w:tc>
          <w:tcPr>
            <w:tcW w:w="6945" w:type="dxa"/>
            <w:tcBorders>
              <w:top w:val="single" w:sz="4" w:space="0" w:color="auto"/>
              <w:left w:val="nil"/>
              <w:bottom w:val="single" w:sz="4" w:space="0" w:color="auto"/>
              <w:right w:val="single" w:sz="4" w:space="0" w:color="000000"/>
            </w:tcBorders>
            <w:shd w:val="clear" w:color="000000" w:fill="FFFFFF"/>
          </w:tcPr>
          <w:p w:rsidR="00D042BE" w:rsidRPr="00D042BE" w:rsidRDefault="00D042BE" w:rsidP="009C238F">
            <w:pPr>
              <w:spacing w:line="360" w:lineRule="auto"/>
              <w:rPr>
                <w:rFonts w:ascii="Arial" w:eastAsia="Calibri" w:hAnsi="Arial" w:cs="Arial"/>
                <w:lang w:eastAsia="en-ZA"/>
              </w:rPr>
            </w:pPr>
            <w:r w:rsidRPr="00D042BE">
              <w:rPr>
                <w:rFonts w:ascii="Arial" w:eastAsia="Calibri" w:hAnsi="Arial" w:cs="Arial"/>
                <w:lang w:eastAsia="en-ZA"/>
              </w:rPr>
              <w:t>This is being addressed through PLC meetings and ongoing discussions with the contractor.</w:t>
            </w:r>
          </w:p>
        </w:tc>
      </w:tr>
    </w:tbl>
    <w:p w:rsidR="00D042BE" w:rsidRPr="00D042BE" w:rsidRDefault="00D042BE" w:rsidP="00D042BE">
      <w:pPr>
        <w:jc w:val="both"/>
        <w:rPr>
          <w:rFonts w:ascii="Arial" w:hAnsi="Arial" w:cs="Arial"/>
          <w:noProof/>
        </w:rPr>
      </w:pPr>
    </w:p>
    <w:sectPr w:rsidR="00D042BE" w:rsidRPr="00D042BE"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21" w:rsidRDefault="00C75E21" w:rsidP="00DB1508">
      <w:pPr>
        <w:spacing w:after="0" w:line="240" w:lineRule="auto"/>
      </w:pPr>
      <w:r>
        <w:separator/>
      </w:r>
    </w:p>
  </w:endnote>
  <w:endnote w:type="continuationSeparator" w:id="1">
    <w:p w:rsidR="00C75E21" w:rsidRDefault="00C75E21"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51283F">
        <w:pPr>
          <w:pStyle w:val="Footer"/>
          <w:jc w:val="right"/>
        </w:pPr>
        <w:r>
          <w:fldChar w:fldCharType="begin"/>
        </w:r>
        <w:r w:rsidR="00823FE7">
          <w:instrText xml:space="preserve"> PAGE   \* MERGEFORMAT </w:instrText>
        </w:r>
        <w:r>
          <w:fldChar w:fldCharType="separate"/>
        </w:r>
        <w:r w:rsidR="00D11CDE">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21" w:rsidRDefault="00C75E21" w:rsidP="00DB1508">
      <w:pPr>
        <w:spacing w:after="0" w:line="240" w:lineRule="auto"/>
      </w:pPr>
      <w:r>
        <w:separator/>
      </w:r>
    </w:p>
  </w:footnote>
  <w:footnote w:type="continuationSeparator" w:id="1">
    <w:p w:rsidR="00C75E21" w:rsidRDefault="00C75E21"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B3A44"/>
    <w:multiLevelType w:val="hybridMultilevel"/>
    <w:tmpl w:val="8D30D54C"/>
    <w:lvl w:ilvl="0" w:tplc="7C02E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26DD"/>
    <w:rsid w:val="00022725"/>
    <w:rsid w:val="00024BFC"/>
    <w:rsid w:val="00026012"/>
    <w:rsid w:val="00026FD9"/>
    <w:rsid w:val="00031989"/>
    <w:rsid w:val="00031F4A"/>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6E2"/>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1BB"/>
    <w:rsid w:val="00261D30"/>
    <w:rsid w:val="00275EB5"/>
    <w:rsid w:val="002800B5"/>
    <w:rsid w:val="002835D1"/>
    <w:rsid w:val="002838E4"/>
    <w:rsid w:val="00286F8A"/>
    <w:rsid w:val="0028789F"/>
    <w:rsid w:val="002922F6"/>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D6E"/>
    <w:rsid w:val="00337565"/>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9ED"/>
    <w:rsid w:val="00434B0A"/>
    <w:rsid w:val="0043590C"/>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D70BD"/>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1FC2"/>
    <w:rsid w:val="00507021"/>
    <w:rsid w:val="0051283F"/>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498E"/>
    <w:rsid w:val="0059674B"/>
    <w:rsid w:val="005A0BF1"/>
    <w:rsid w:val="005B1EBB"/>
    <w:rsid w:val="005B47CE"/>
    <w:rsid w:val="005C00E9"/>
    <w:rsid w:val="005C057E"/>
    <w:rsid w:val="005C3AA4"/>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4648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6F4451"/>
    <w:rsid w:val="00701E46"/>
    <w:rsid w:val="00703B2E"/>
    <w:rsid w:val="00704FB1"/>
    <w:rsid w:val="007074E2"/>
    <w:rsid w:val="00710D02"/>
    <w:rsid w:val="007118B7"/>
    <w:rsid w:val="00711CC5"/>
    <w:rsid w:val="00713E4B"/>
    <w:rsid w:val="007151CA"/>
    <w:rsid w:val="00717E17"/>
    <w:rsid w:val="00721731"/>
    <w:rsid w:val="00721850"/>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41D9"/>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A7D2D"/>
    <w:rsid w:val="008B2E50"/>
    <w:rsid w:val="008B3E7C"/>
    <w:rsid w:val="008B4716"/>
    <w:rsid w:val="008B47D4"/>
    <w:rsid w:val="008B5508"/>
    <w:rsid w:val="008B7B8C"/>
    <w:rsid w:val="008C0374"/>
    <w:rsid w:val="008C07F2"/>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9A"/>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04583"/>
    <w:rsid w:val="00A11BD6"/>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A723E"/>
    <w:rsid w:val="00AB24D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4695"/>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DC"/>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75E21"/>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042BE"/>
    <w:rsid w:val="00D10224"/>
    <w:rsid w:val="00D11CDE"/>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16D3"/>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31F"/>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0EF3-D529-413C-A78F-2B12FB20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2020-10-23T10:32:00Z</cp:lastPrinted>
  <dcterms:created xsi:type="dcterms:W3CDTF">2020-11-02T16:19:00Z</dcterms:created>
  <dcterms:modified xsi:type="dcterms:W3CDTF">2020-11-02T16:19:00Z</dcterms:modified>
</cp:coreProperties>
</file>