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0177" w:rsidRPr="00842D53" w:rsidRDefault="00A40177" w:rsidP="00956885">
      <w:pPr>
        <w:ind w:left="720" w:hanging="720"/>
        <w:jc w:val="right"/>
        <w:outlineLvl w:val="0"/>
        <w:rPr>
          <w:rFonts w:ascii="Arial" w:hAnsi="Arial" w:cs="Arial"/>
          <w:b/>
        </w:rPr>
      </w:pPr>
      <w:r w:rsidRPr="00842D53">
        <w:rPr>
          <w:rFonts w:ascii="Arial" w:hAnsi="Arial" w:cs="Arial"/>
          <w:b/>
        </w:rPr>
        <w:t>36/1/4/1/2015</w:t>
      </w:r>
      <w:r>
        <w:rPr>
          <w:rFonts w:ascii="Arial" w:hAnsi="Arial" w:cs="Arial"/>
          <w:b/>
        </w:rPr>
        <w:t>00187</w:t>
      </w:r>
    </w:p>
    <w:p w:rsidR="00A40177" w:rsidRPr="00842D53" w:rsidRDefault="00A40177" w:rsidP="00956885">
      <w:pPr>
        <w:ind w:left="720" w:hanging="720"/>
        <w:jc w:val="center"/>
        <w:outlineLvl w:val="0"/>
        <w:rPr>
          <w:rFonts w:ascii="Arial" w:hAnsi="Arial" w:cs="Arial"/>
          <w:b/>
        </w:rPr>
      </w:pPr>
      <w:r w:rsidRPr="00842D53">
        <w:rPr>
          <w:rFonts w:ascii="Arial" w:hAnsi="Arial" w:cs="Arial"/>
          <w:b/>
        </w:rPr>
        <w:t>NATIONAL ASSEMBLY</w:t>
      </w:r>
    </w:p>
    <w:p w:rsidR="00A40177" w:rsidRPr="00842D53" w:rsidRDefault="00A40177" w:rsidP="00956885">
      <w:pPr>
        <w:ind w:left="720" w:hanging="720"/>
        <w:jc w:val="both"/>
        <w:outlineLvl w:val="0"/>
        <w:rPr>
          <w:rFonts w:ascii="Arial" w:hAnsi="Arial" w:cs="Arial"/>
          <w:b/>
          <w:u w:val="single"/>
        </w:rPr>
      </w:pPr>
    </w:p>
    <w:p w:rsidR="00A40177" w:rsidRPr="00842D53" w:rsidRDefault="00A40177" w:rsidP="00956885">
      <w:pPr>
        <w:ind w:left="720" w:hanging="720"/>
        <w:jc w:val="both"/>
        <w:outlineLvl w:val="0"/>
        <w:rPr>
          <w:rFonts w:ascii="Arial" w:hAnsi="Arial" w:cs="Arial"/>
          <w:b/>
          <w:u w:val="single"/>
        </w:rPr>
      </w:pPr>
      <w:r w:rsidRPr="00842D53">
        <w:rPr>
          <w:rFonts w:ascii="Arial" w:hAnsi="Arial" w:cs="Arial"/>
          <w:b/>
          <w:u w:val="single"/>
        </w:rPr>
        <w:t>FOR WRITTEN REPLY</w:t>
      </w:r>
    </w:p>
    <w:p w:rsidR="00A40177" w:rsidRPr="00842D53" w:rsidRDefault="00A40177" w:rsidP="00956885">
      <w:pPr>
        <w:ind w:left="720" w:hanging="720"/>
        <w:jc w:val="both"/>
        <w:outlineLvl w:val="0"/>
        <w:rPr>
          <w:rFonts w:ascii="Arial" w:hAnsi="Arial" w:cs="Arial"/>
          <w:b/>
          <w:u w:val="single"/>
        </w:rPr>
      </w:pPr>
    </w:p>
    <w:p w:rsidR="00A40177" w:rsidRPr="00842D53" w:rsidRDefault="00A40177" w:rsidP="00956885">
      <w:pPr>
        <w:ind w:left="720" w:hanging="720"/>
        <w:jc w:val="both"/>
        <w:outlineLvl w:val="0"/>
        <w:rPr>
          <w:rFonts w:ascii="Arial" w:hAnsi="Arial" w:cs="Arial"/>
          <w:b/>
          <w:u w:val="single"/>
        </w:rPr>
      </w:pPr>
      <w:r w:rsidRPr="00842D53">
        <w:rPr>
          <w:rFonts w:ascii="Arial" w:hAnsi="Arial" w:cs="Arial"/>
          <w:b/>
          <w:u w:val="single"/>
        </w:rPr>
        <w:t xml:space="preserve">QUESTION </w:t>
      </w:r>
      <w:r>
        <w:rPr>
          <w:rFonts w:ascii="Arial" w:hAnsi="Arial" w:cs="Arial"/>
          <w:b/>
          <w:u w:val="single"/>
        </w:rPr>
        <w:t>2386</w:t>
      </w:r>
    </w:p>
    <w:p w:rsidR="00A40177" w:rsidRPr="00842D53" w:rsidRDefault="00A40177" w:rsidP="00956885">
      <w:pPr>
        <w:ind w:left="720" w:hanging="720"/>
        <w:jc w:val="center"/>
        <w:outlineLvl w:val="0"/>
        <w:rPr>
          <w:rFonts w:ascii="Arial" w:hAnsi="Arial" w:cs="Arial"/>
          <w:b/>
          <w:u w:val="single"/>
        </w:rPr>
      </w:pPr>
    </w:p>
    <w:p w:rsidR="00A40177" w:rsidRPr="00842D53" w:rsidRDefault="00A40177" w:rsidP="00956885">
      <w:pPr>
        <w:ind w:left="720" w:hanging="720"/>
        <w:jc w:val="center"/>
        <w:outlineLvl w:val="0"/>
        <w:rPr>
          <w:rFonts w:ascii="Arial" w:hAnsi="Arial" w:cs="Arial"/>
          <w:b/>
          <w:u w:val="single"/>
        </w:rPr>
      </w:pPr>
      <w:r w:rsidRPr="00842D53">
        <w:rPr>
          <w:rFonts w:ascii="Arial" w:hAnsi="Arial" w:cs="Arial"/>
          <w:b/>
          <w:u w:val="single"/>
        </w:rPr>
        <w:t xml:space="preserve">DATE OF PUBLICATION IN INTERNAL QUESTION PAPER: </w:t>
      </w:r>
      <w:r>
        <w:rPr>
          <w:rFonts w:ascii="Arial" w:hAnsi="Arial" w:cs="Arial"/>
          <w:b/>
          <w:u w:val="single"/>
        </w:rPr>
        <w:t xml:space="preserve">19 </w:t>
      </w:r>
      <w:r w:rsidRPr="00842D53">
        <w:rPr>
          <w:rFonts w:ascii="Arial" w:hAnsi="Arial" w:cs="Arial"/>
          <w:b/>
          <w:u w:val="single"/>
        </w:rPr>
        <w:t>JUNE 2015</w:t>
      </w:r>
    </w:p>
    <w:p w:rsidR="00A40177" w:rsidRPr="00842D53" w:rsidRDefault="00A40177" w:rsidP="00956885">
      <w:pPr>
        <w:jc w:val="center"/>
        <w:rPr>
          <w:rFonts w:ascii="Arial" w:hAnsi="Arial" w:cs="Arial"/>
          <w:b/>
          <w:u w:val="single"/>
        </w:rPr>
      </w:pPr>
    </w:p>
    <w:p w:rsidR="00A40177" w:rsidRPr="00842D53" w:rsidRDefault="00A40177" w:rsidP="00956885">
      <w:pPr>
        <w:jc w:val="center"/>
        <w:rPr>
          <w:rFonts w:ascii="Arial" w:hAnsi="Arial" w:cs="Arial"/>
        </w:rPr>
      </w:pPr>
      <w:r w:rsidRPr="00842D53">
        <w:rPr>
          <w:rFonts w:ascii="Arial" w:hAnsi="Arial" w:cs="Arial"/>
          <w:b/>
          <w:u w:val="single"/>
        </w:rPr>
        <w:t xml:space="preserve">(INTERNAL QUESTION PAPER NO </w:t>
      </w:r>
      <w:r>
        <w:rPr>
          <w:rFonts w:ascii="Arial" w:hAnsi="Arial" w:cs="Arial"/>
          <w:b/>
          <w:u w:val="single"/>
        </w:rPr>
        <w:t>22</w:t>
      </w:r>
      <w:r w:rsidRPr="00842D53">
        <w:rPr>
          <w:rFonts w:ascii="Arial" w:hAnsi="Arial" w:cs="Arial"/>
          <w:b/>
          <w:u w:val="single"/>
        </w:rPr>
        <w:t>-2015)</w:t>
      </w:r>
    </w:p>
    <w:p w:rsidR="00A40177" w:rsidRDefault="00A40177" w:rsidP="000C0331">
      <w:pPr>
        <w:spacing w:before="100" w:beforeAutospacing="1" w:after="100" w:afterAutospacing="1"/>
        <w:ind w:left="851" w:hanging="851"/>
        <w:jc w:val="both"/>
        <w:outlineLvl w:val="0"/>
        <w:rPr>
          <w:rFonts w:ascii="Arial" w:hAnsi="Arial" w:cs="Arial"/>
          <w:b/>
        </w:rPr>
      </w:pPr>
    </w:p>
    <w:p w:rsidR="00A40177" w:rsidRPr="000C0331" w:rsidRDefault="00A40177" w:rsidP="000C0331">
      <w:pPr>
        <w:spacing w:before="100" w:beforeAutospacing="1" w:after="100" w:afterAutospacing="1"/>
        <w:ind w:left="851" w:hanging="851"/>
        <w:jc w:val="both"/>
        <w:outlineLvl w:val="0"/>
        <w:rPr>
          <w:rFonts w:ascii="Arial" w:hAnsi="Arial" w:cs="Arial"/>
          <w:b/>
        </w:rPr>
      </w:pPr>
      <w:r w:rsidRPr="000C0331">
        <w:rPr>
          <w:rFonts w:ascii="Arial" w:hAnsi="Arial" w:cs="Arial"/>
          <w:b/>
        </w:rPr>
        <w:t>2386.</w:t>
      </w:r>
      <w:r w:rsidRPr="000C0331">
        <w:rPr>
          <w:rFonts w:ascii="Arial" w:hAnsi="Arial" w:cs="Arial"/>
          <w:b/>
        </w:rPr>
        <w:tab/>
        <w:t>Ms D Kohler (DA) to ask the Minister of Police:</w:t>
      </w:r>
    </w:p>
    <w:p w:rsidR="00A40177" w:rsidRPr="000C0331" w:rsidRDefault="00A40177" w:rsidP="000C0331">
      <w:pPr>
        <w:spacing w:before="100" w:beforeAutospacing="1" w:after="100" w:afterAutospacing="1"/>
        <w:ind w:left="567" w:hanging="567"/>
        <w:jc w:val="both"/>
        <w:outlineLvl w:val="0"/>
        <w:rPr>
          <w:rFonts w:ascii="Arial" w:hAnsi="Arial" w:cs="Arial"/>
          <w:lang w:eastAsia="en-ZA"/>
        </w:rPr>
      </w:pPr>
      <w:r w:rsidRPr="000C0331">
        <w:rPr>
          <w:rFonts w:ascii="Arial" w:hAnsi="Arial" w:cs="Arial"/>
        </w:rPr>
        <w:t>(1)</w:t>
      </w:r>
      <w:r w:rsidRPr="000C0331">
        <w:rPr>
          <w:rFonts w:ascii="Arial" w:hAnsi="Arial" w:cs="Arial"/>
        </w:rPr>
        <w:tab/>
      </w:r>
      <w:r w:rsidRPr="000C0331">
        <w:rPr>
          <w:rFonts w:ascii="Arial" w:hAnsi="Arial" w:cs="Arial"/>
          <w:lang w:eastAsia="en-ZA"/>
        </w:rPr>
        <w:t xml:space="preserve">What are the relevant details of all expenditure that was found to have been (a) </w:t>
      </w:r>
      <w:r w:rsidRPr="000C0331">
        <w:rPr>
          <w:rFonts w:ascii="Arial" w:hAnsi="Arial" w:cs="Arial"/>
        </w:rPr>
        <w:t>irregular</w:t>
      </w:r>
      <w:r w:rsidRPr="000C0331">
        <w:rPr>
          <w:rFonts w:ascii="Arial" w:hAnsi="Arial" w:cs="Arial"/>
          <w:lang w:eastAsia="en-ZA"/>
        </w:rPr>
        <w:t xml:space="preserve"> and (b) wasteful in his department (i) in the 2014-15 financial year and (ii) from 1 April 2015 up to the latest specified date for which information is available; </w:t>
      </w:r>
    </w:p>
    <w:p w:rsidR="00A40177" w:rsidRPr="000C0331" w:rsidRDefault="00A40177" w:rsidP="000C0331">
      <w:pPr>
        <w:spacing w:before="100" w:beforeAutospacing="1" w:after="100" w:afterAutospacing="1"/>
        <w:ind w:left="567" w:hanging="567"/>
        <w:jc w:val="both"/>
        <w:outlineLvl w:val="0"/>
        <w:rPr>
          <w:rFonts w:ascii="Arial" w:hAnsi="Arial" w:cs="Arial"/>
          <w:lang w:eastAsia="en-ZA"/>
        </w:rPr>
      </w:pPr>
      <w:r w:rsidRPr="000C0331">
        <w:rPr>
          <w:rFonts w:ascii="Arial" w:hAnsi="Arial" w:cs="Arial"/>
        </w:rPr>
        <w:t>(2)</w:t>
      </w:r>
      <w:r w:rsidRPr="000C0331">
        <w:rPr>
          <w:rFonts w:ascii="Arial" w:hAnsi="Arial" w:cs="Arial"/>
        </w:rPr>
        <w:tab/>
      </w:r>
      <w:r w:rsidRPr="000C0331">
        <w:rPr>
          <w:rFonts w:ascii="Arial" w:hAnsi="Arial" w:cs="Arial"/>
          <w:lang w:eastAsia="en-ZA"/>
        </w:rPr>
        <w:t xml:space="preserve">in respect of each such finding of (a) irregular and (b) wasteful </w:t>
      </w:r>
      <w:r w:rsidRPr="000C0331">
        <w:rPr>
          <w:rFonts w:ascii="Arial" w:hAnsi="Arial" w:cs="Arial"/>
        </w:rPr>
        <w:t>expenditure</w:t>
      </w:r>
      <w:r w:rsidRPr="000C0331">
        <w:rPr>
          <w:rFonts w:ascii="Arial" w:hAnsi="Arial" w:cs="Arial"/>
          <w:lang w:eastAsia="en-ZA"/>
        </w:rPr>
        <w:t>, (i) what (aa) is the description thereof, (bb) is the value thereof and (cc) action has been taken against the persons accountable for such expenditure and (ii)(aa) what amount of such expenditure has been recovered and (</w:t>
      </w:r>
      <w:r w:rsidRPr="000C0331">
        <w:rPr>
          <w:rFonts w:ascii="Arial" w:hAnsi="Arial" w:cs="Arial"/>
        </w:rPr>
        <w:t>bb</w:t>
      </w:r>
      <w:r w:rsidRPr="000C0331">
        <w:rPr>
          <w:rFonts w:ascii="Arial" w:hAnsi="Arial" w:cs="Arial"/>
          <w:lang w:eastAsia="en-ZA"/>
        </w:rPr>
        <w:t>) from whom has it been recovered?</w:t>
      </w:r>
    </w:p>
    <w:p w:rsidR="00A40177" w:rsidRPr="000C0331" w:rsidRDefault="00A40177" w:rsidP="000C0331">
      <w:pPr>
        <w:spacing w:before="100" w:beforeAutospacing="1" w:after="100" w:afterAutospacing="1"/>
        <w:ind w:left="567" w:hanging="567"/>
        <w:jc w:val="right"/>
        <w:outlineLvl w:val="0"/>
        <w:rPr>
          <w:rFonts w:ascii="Arial" w:hAnsi="Arial" w:cs="Arial"/>
          <w:lang w:eastAsia="en-ZA"/>
        </w:rPr>
      </w:pPr>
      <w:r w:rsidRPr="000C0331">
        <w:rPr>
          <w:rFonts w:ascii="Arial" w:hAnsi="Arial" w:cs="Arial"/>
        </w:rPr>
        <w:t>NW2751E</w:t>
      </w:r>
    </w:p>
    <w:p w:rsidR="00A40177" w:rsidRPr="00842D53" w:rsidRDefault="00A40177" w:rsidP="00956885">
      <w:pPr>
        <w:spacing w:before="100" w:beforeAutospacing="1" w:after="100" w:afterAutospacing="1"/>
        <w:ind w:left="720" w:hanging="720"/>
        <w:jc w:val="both"/>
        <w:outlineLvl w:val="0"/>
        <w:rPr>
          <w:rFonts w:ascii="Arial" w:hAnsi="Arial" w:cs="Arial"/>
          <w:b/>
        </w:rPr>
      </w:pPr>
      <w:r w:rsidRPr="00842D53">
        <w:rPr>
          <w:rFonts w:ascii="Arial" w:hAnsi="Arial" w:cs="Arial"/>
          <w:b/>
        </w:rPr>
        <w:t>REPLY:</w:t>
      </w:r>
    </w:p>
    <w:p w:rsidR="00A40177" w:rsidRPr="003E262F" w:rsidRDefault="00A40177" w:rsidP="00D5245E">
      <w:pPr>
        <w:spacing w:before="100" w:beforeAutospacing="1" w:after="100" w:afterAutospacing="1"/>
        <w:jc w:val="both"/>
        <w:outlineLvl w:val="0"/>
        <w:rPr>
          <w:rFonts w:ascii="Arial" w:hAnsi="Arial" w:cs="Arial"/>
        </w:rPr>
      </w:pPr>
      <w:r w:rsidRPr="003E262F">
        <w:rPr>
          <w:rFonts w:ascii="Arial" w:hAnsi="Arial" w:cs="Arial"/>
        </w:rPr>
        <w:t>(1)(a)(i) and (ii) and (2)(a)(i)(aa), (bb), (cc) and (ii)(aa) and (bb).</w:t>
      </w:r>
    </w:p>
    <w:p w:rsidR="00A40177" w:rsidRPr="003E262F" w:rsidRDefault="00A40177" w:rsidP="00D5245E">
      <w:pPr>
        <w:spacing w:before="100" w:beforeAutospacing="1" w:after="100" w:afterAutospacing="1"/>
        <w:jc w:val="both"/>
        <w:outlineLvl w:val="0"/>
        <w:rPr>
          <w:rFonts w:ascii="Arial" w:hAnsi="Arial" w:cs="Arial"/>
        </w:rPr>
      </w:pPr>
      <w:r w:rsidRPr="003E262F">
        <w:rPr>
          <w:rFonts w:ascii="Arial" w:hAnsi="Arial" w:cs="Arial"/>
        </w:rPr>
        <w:t xml:space="preserve">The following details are applicable in respect of expenditure found to be irregular expenditure in the 2014/2015 financial year: </w:t>
      </w:r>
    </w:p>
    <w:tbl>
      <w:tblPr>
        <w:tblW w:w="0" w:type="auto"/>
        <w:tblInd w:w="93" w:type="dxa"/>
        <w:tblLook w:val="00A0"/>
      </w:tblPr>
      <w:tblGrid>
        <w:gridCol w:w="2693"/>
        <w:gridCol w:w="728"/>
        <w:gridCol w:w="1686"/>
        <w:gridCol w:w="2763"/>
        <w:gridCol w:w="1279"/>
      </w:tblGrid>
      <w:tr w:rsidR="00A40177" w:rsidRPr="000966FC" w:rsidTr="00E92724">
        <w:trPr>
          <w:trHeight w:val="900"/>
        </w:trPr>
        <w:tc>
          <w:tcPr>
            <w:tcW w:w="0" w:type="auto"/>
            <w:tcBorders>
              <w:top w:val="nil"/>
              <w:left w:val="nil"/>
              <w:bottom w:val="nil"/>
              <w:right w:val="nil"/>
            </w:tcBorders>
            <w:vAlign w:val="bottom"/>
          </w:tcPr>
          <w:p w:rsidR="00A40177" w:rsidRPr="000966FC" w:rsidRDefault="00A40177" w:rsidP="00E92724">
            <w:pPr>
              <w:jc w:val="center"/>
              <w:rPr>
                <w:rFonts w:ascii="Calibri" w:hAnsi="Calibri" w:cs="Calibri"/>
                <w:b/>
                <w:bCs/>
                <w:color w:val="000000"/>
                <w:lang w:val="en-ZA" w:eastAsia="en-ZA"/>
              </w:rPr>
            </w:pPr>
            <w:r>
              <w:rPr>
                <w:rFonts w:ascii="Calibri" w:hAnsi="Calibri" w:cs="Calibri"/>
                <w:b/>
                <w:bCs/>
                <w:color w:val="000000"/>
                <w:sz w:val="22"/>
                <w:szCs w:val="22"/>
                <w:lang w:val="en-ZA" w:eastAsia="en-ZA"/>
              </w:rPr>
              <w:t>D</w:t>
            </w:r>
            <w:r w:rsidRPr="000966FC">
              <w:rPr>
                <w:rFonts w:ascii="Calibri" w:hAnsi="Calibri" w:cs="Calibri"/>
                <w:b/>
                <w:bCs/>
                <w:color w:val="000000"/>
                <w:sz w:val="22"/>
                <w:szCs w:val="22"/>
                <w:lang w:val="en-ZA" w:eastAsia="en-ZA"/>
              </w:rPr>
              <w:t>etails of irregular expenditure</w:t>
            </w:r>
          </w:p>
        </w:tc>
        <w:tc>
          <w:tcPr>
            <w:tcW w:w="0" w:type="auto"/>
            <w:tcBorders>
              <w:top w:val="nil"/>
              <w:left w:val="nil"/>
              <w:bottom w:val="nil"/>
              <w:right w:val="nil"/>
            </w:tcBorders>
            <w:noWrap/>
            <w:vAlign w:val="bottom"/>
          </w:tcPr>
          <w:p w:rsidR="00A40177" w:rsidRPr="000966FC" w:rsidRDefault="00A40177" w:rsidP="00E92724">
            <w:pPr>
              <w:jc w:val="center"/>
              <w:rPr>
                <w:rFonts w:ascii="Calibri" w:hAnsi="Calibri" w:cs="Calibri"/>
                <w:b/>
                <w:bCs/>
                <w:color w:val="000000"/>
                <w:lang w:val="en-ZA" w:eastAsia="en-ZA"/>
              </w:rPr>
            </w:pPr>
            <w:r w:rsidRPr="000966FC">
              <w:rPr>
                <w:rFonts w:ascii="Calibri" w:hAnsi="Calibri" w:cs="Calibri"/>
                <w:b/>
                <w:bCs/>
                <w:color w:val="000000"/>
                <w:sz w:val="22"/>
                <w:szCs w:val="22"/>
                <w:lang w:val="en-ZA" w:eastAsia="en-ZA"/>
              </w:rPr>
              <w:t>Cases</w:t>
            </w:r>
          </w:p>
        </w:tc>
        <w:tc>
          <w:tcPr>
            <w:tcW w:w="0" w:type="auto"/>
            <w:tcBorders>
              <w:top w:val="nil"/>
              <w:left w:val="nil"/>
              <w:bottom w:val="nil"/>
              <w:right w:val="nil"/>
            </w:tcBorders>
            <w:noWrap/>
            <w:vAlign w:val="bottom"/>
          </w:tcPr>
          <w:p w:rsidR="00A40177" w:rsidRPr="000966FC" w:rsidRDefault="00A40177" w:rsidP="00E92724">
            <w:pPr>
              <w:jc w:val="center"/>
              <w:rPr>
                <w:rFonts w:ascii="Calibri" w:hAnsi="Calibri" w:cs="Calibri"/>
                <w:b/>
                <w:bCs/>
                <w:color w:val="000000"/>
                <w:lang w:val="en-ZA" w:eastAsia="en-ZA"/>
              </w:rPr>
            </w:pPr>
            <w:r w:rsidRPr="000966FC">
              <w:rPr>
                <w:rFonts w:ascii="Calibri" w:hAnsi="Calibri" w:cs="Calibri"/>
                <w:b/>
                <w:bCs/>
                <w:color w:val="000000"/>
                <w:sz w:val="22"/>
                <w:szCs w:val="22"/>
                <w:lang w:val="en-ZA" w:eastAsia="en-ZA"/>
              </w:rPr>
              <w:t>Actions taken</w:t>
            </w:r>
          </w:p>
        </w:tc>
        <w:tc>
          <w:tcPr>
            <w:tcW w:w="0" w:type="auto"/>
            <w:tcBorders>
              <w:top w:val="nil"/>
              <w:left w:val="nil"/>
              <w:bottom w:val="nil"/>
              <w:right w:val="nil"/>
            </w:tcBorders>
            <w:vAlign w:val="bottom"/>
          </w:tcPr>
          <w:p w:rsidR="00A40177" w:rsidRPr="000966FC" w:rsidRDefault="00A40177" w:rsidP="00E92724">
            <w:pPr>
              <w:jc w:val="center"/>
              <w:rPr>
                <w:rFonts w:ascii="Calibri" w:hAnsi="Calibri" w:cs="Calibri"/>
                <w:b/>
                <w:bCs/>
                <w:color w:val="000000"/>
                <w:lang w:val="en-ZA" w:eastAsia="en-ZA"/>
              </w:rPr>
            </w:pPr>
            <w:r w:rsidRPr="000966FC">
              <w:rPr>
                <w:rFonts w:ascii="Calibri" w:hAnsi="Calibri" w:cs="Calibri"/>
                <w:b/>
                <w:bCs/>
                <w:color w:val="000000"/>
                <w:sz w:val="22"/>
                <w:szCs w:val="22"/>
                <w:lang w:val="en-ZA" w:eastAsia="en-ZA"/>
              </w:rPr>
              <w:t>Amount recovered from employees</w:t>
            </w:r>
          </w:p>
        </w:tc>
        <w:tc>
          <w:tcPr>
            <w:tcW w:w="0" w:type="auto"/>
            <w:tcBorders>
              <w:top w:val="nil"/>
              <w:left w:val="nil"/>
              <w:bottom w:val="nil"/>
              <w:right w:val="nil"/>
            </w:tcBorders>
            <w:noWrap/>
            <w:vAlign w:val="bottom"/>
          </w:tcPr>
          <w:p w:rsidR="00A40177" w:rsidRPr="000966FC" w:rsidRDefault="00A40177" w:rsidP="00E92724">
            <w:pPr>
              <w:rPr>
                <w:rFonts w:ascii="Calibri" w:hAnsi="Calibri" w:cs="Calibri"/>
                <w:b/>
                <w:bCs/>
                <w:color w:val="000000"/>
                <w:lang w:val="en-ZA" w:eastAsia="en-ZA"/>
              </w:rPr>
            </w:pPr>
            <w:r w:rsidRPr="000966FC">
              <w:rPr>
                <w:rFonts w:ascii="Calibri" w:hAnsi="Calibri" w:cs="Calibri"/>
                <w:b/>
                <w:bCs/>
                <w:color w:val="000000"/>
                <w:sz w:val="22"/>
                <w:szCs w:val="22"/>
                <w:lang w:val="en-ZA" w:eastAsia="en-ZA"/>
              </w:rPr>
              <w:t>2014/2015</w:t>
            </w:r>
            <w:r>
              <w:rPr>
                <w:rFonts w:ascii="Calibri" w:hAnsi="Calibri" w:cs="Calibri"/>
                <w:b/>
                <w:bCs/>
                <w:color w:val="000000"/>
                <w:sz w:val="22"/>
                <w:szCs w:val="22"/>
                <w:lang w:val="en-ZA" w:eastAsia="en-ZA"/>
              </w:rPr>
              <w:t xml:space="preserve"> </w:t>
            </w:r>
          </w:p>
        </w:tc>
      </w:tr>
      <w:tr w:rsidR="00A40177" w:rsidRPr="000966FC" w:rsidTr="00E92724">
        <w:trPr>
          <w:trHeight w:val="300"/>
        </w:trPr>
        <w:tc>
          <w:tcPr>
            <w:tcW w:w="0" w:type="auto"/>
            <w:tcBorders>
              <w:top w:val="nil"/>
              <w:left w:val="nil"/>
              <w:bottom w:val="nil"/>
              <w:right w:val="nil"/>
            </w:tcBorders>
            <w:noWrap/>
            <w:vAlign w:val="bottom"/>
          </w:tcPr>
          <w:p w:rsidR="00A40177" w:rsidRPr="000966FC" w:rsidRDefault="00A40177" w:rsidP="00E92724">
            <w:pPr>
              <w:rPr>
                <w:rFonts w:ascii="Calibri" w:hAnsi="Calibri" w:cs="Calibri"/>
                <w:color w:val="000000"/>
                <w:lang w:val="en-ZA" w:eastAsia="en-ZA"/>
              </w:rPr>
            </w:pPr>
            <w:r w:rsidRPr="000966FC">
              <w:rPr>
                <w:rFonts w:ascii="Calibri" w:hAnsi="Calibri" w:cs="Calibri"/>
                <w:color w:val="000000"/>
                <w:sz w:val="22"/>
                <w:szCs w:val="22"/>
                <w:lang w:val="en-ZA" w:eastAsia="en-ZA"/>
              </w:rPr>
              <w:t>Catering</w:t>
            </w:r>
          </w:p>
        </w:tc>
        <w:tc>
          <w:tcPr>
            <w:tcW w:w="0" w:type="auto"/>
            <w:tcBorders>
              <w:top w:val="nil"/>
              <w:left w:val="nil"/>
              <w:bottom w:val="nil"/>
              <w:right w:val="nil"/>
            </w:tcBorders>
            <w:noWrap/>
            <w:vAlign w:val="bottom"/>
          </w:tcPr>
          <w:p w:rsidR="00A40177" w:rsidRPr="000966FC" w:rsidRDefault="00A40177" w:rsidP="00E92724">
            <w:pPr>
              <w:jc w:val="center"/>
              <w:rPr>
                <w:rFonts w:ascii="Calibri" w:hAnsi="Calibri" w:cs="Calibri"/>
                <w:color w:val="000000"/>
                <w:lang w:val="en-ZA" w:eastAsia="en-ZA"/>
              </w:rPr>
            </w:pPr>
            <w:r w:rsidRPr="000966FC">
              <w:rPr>
                <w:rFonts w:ascii="Calibri" w:hAnsi="Calibri" w:cs="Calibri"/>
                <w:color w:val="000000"/>
                <w:sz w:val="22"/>
                <w:szCs w:val="22"/>
                <w:lang w:val="en-ZA" w:eastAsia="en-ZA"/>
              </w:rPr>
              <w:t>1</w:t>
            </w:r>
          </w:p>
        </w:tc>
        <w:tc>
          <w:tcPr>
            <w:tcW w:w="0" w:type="auto"/>
            <w:tcBorders>
              <w:top w:val="nil"/>
              <w:left w:val="nil"/>
              <w:bottom w:val="nil"/>
              <w:right w:val="nil"/>
            </w:tcBorders>
            <w:noWrap/>
            <w:vAlign w:val="bottom"/>
          </w:tcPr>
          <w:p w:rsidR="00A40177" w:rsidRPr="000966FC" w:rsidRDefault="00A40177" w:rsidP="00E92724">
            <w:pPr>
              <w:rPr>
                <w:rFonts w:ascii="Calibri" w:hAnsi="Calibri" w:cs="Calibri"/>
                <w:color w:val="000000"/>
                <w:lang w:val="en-ZA" w:eastAsia="en-ZA"/>
              </w:rPr>
            </w:pPr>
            <w:r>
              <w:rPr>
                <w:rFonts w:ascii="Calibri" w:hAnsi="Calibri" w:cs="Calibri"/>
                <w:color w:val="000000"/>
                <w:sz w:val="22"/>
                <w:szCs w:val="22"/>
                <w:lang w:val="en-ZA" w:eastAsia="en-ZA"/>
              </w:rPr>
              <w:t>Verbal warning</w:t>
            </w:r>
          </w:p>
        </w:tc>
        <w:tc>
          <w:tcPr>
            <w:tcW w:w="0" w:type="auto"/>
            <w:tcBorders>
              <w:top w:val="nil"/>
              <w:left w:val="nil"/>
              <w:bottom w:val="nil"/>
              <w:right w:val="nil"/>
            </w:tcBorders>
            <w:noWrap/>
            <w:vAlign w:val="bottom"/>
          </w:tcPr>
          <w:p w:rsidR="00A40177" w:rsidRPr="000966FC" w:rsidRDefault="00A40177" w:rsidP="00E92724">
            <w:pPr>
              <w:jc w:val="right"/>
              <w:rPr>
                <w:rFonts w:ascii="Calibri" w:hAnsi="Calibri" w:cs="Calibri"/>
                <w:color w:val="000000"/>
                <w:lang w:val="en-ZA" w:eastAsia="en-ZA"/>
              </w:rPr>
            </w:pPr>
            <w:r w:rsidRPr="000966FC">
              <w:rPr>
                <w:rFonts w:ascii="Calibri" w:hAnsi="Calibri" w:cs="Calibri"/>
                <w:color w:val="000000"/>
                <w:sz w:val="22"/>
                <w:szCs w:val="22"/>
                <w:lang w:val="en-ZA" w:eastAsia="en-ZA"/>
              </w:rPr>
              <w:t>R 0.00</w:t>
            </w:r>
          </w:p>
        </w:tc>
        <w:tc>
          <w:tcPr>
            <w:tcW w:w="0" w:type="auto"/>
            <w:tcBorders>
              <w:top w:val="nil"/>
              <w:left w:val="nil"/>
              <w:bottom w:val="nil"/>
              <w:right w:val="nil"/>
            </w:tcBorders>
            <w:noWrap/>
            <w:vAlign w:val="bottom"/>
          </w:tcPr>
          <w:p w:rsidR="00A40177" w:rsidRPr="000966FC" w:rsidRDefault="00A40177" w:rsidP="00E92724">
            <w:pPr>
              <w:jc w:val="right"/>
              <w:rPr>
                <w:rFonts w:ascii="Calibri" w:hAnsi="Calibri" w:cs="Calibri"/>
                <w:color w:val="000000"/>
                <w:lang w:val="en-ZA" w:eastAsia="en-ZA"/>
              </w:rPr>
            </w:pPr>
            <w:r w:rsidRPr="000966FC">
              <w:rPr>
                <w:rFonts w:ascii="Calibri" w:hAnsi="Calibri" w:cs="Calibri"/>
                <w:color w:val="000000"/>
                <w:sz w:val="22"/>
                <w:szCs w:val="22"/>
                <w:lang w:val="en-ZA" w:eastAsia="en-ZA"/>
              </w:rPr>
              <w:t>R 17 370.00</w:t>
            </w:r>
          </w:p>
        </w:tc>
      </w:tr>
      <w:tr w:rsidR="00A40177" w:rsidRPr="000966FC" w:rsidTr="00E92724">
        <w:trPr>
          <w:trHeight w:val="300"/>
        </w:trPr>
        <w:tc>
          <w:tcPr>
            <w:tcW w:w="0" w:type="auto"/>
            <w:tcBorders>
              <w:top w:val="nil"/>
              <w:left w:val="nil"/>
              <w:bottom w:val="nil"/>
              <w:right w:val="nil"/>
            </w:tcBorders>
            <w:noWrap/>
            <w:vAlign w:val="bottom"/>
          </w:tcPr>
          <w:p w:rsidR="00A40177" w:rsidRPr="000966FC" w:rsidRDefault="00A40177" w:rsidP="00E92724">
            <w:pPr>
              <w:rPr>
                <w:rFonts w:ascii="Calibri" w:hAnsi="Calibri" w:cs="Calibri"/>
                <w:color w:val="000000"/>
                <w:lang w:val="en-ZA" w:eastAsia="en-ZA"/>
              </w:rPr>
            </w:pPr>
            <w:r w:rsidRPr="000966FC">
              <w:rPr>
                <w:rFonts w:ascii="Calibri" w:hAnsi="Calibri" w:cs="Calibri"/>
                <w:color w:val="000000"/>
                <w:sz w:val="22"/>
                <w:szCs w:val="22"/>
                <w:lang w:val="en-ZA" w:eastAsia="en-ZA"/>
              </w:rPr>
              <w:t>Food &amp; Beverages</w:t>
            </w:r>
          </w:p>
        </w:tc>
        <w:tc>
          <w:tcPr>
            <w:tcW w:w="0" w:type="auto"/>
            <w:tcBorders>
              <w:top w:val="nil"/>
              <w:left w:val="nil"/>
              <w:bottom w:val="nil"/>
              <w:right w:val="nil"/>
            </w:tcBorders>
            <w:noWrap/>
            <w:vAlign w:val="bottom"/>
          </w:tcPr>
          <w:p w:rsidR="00A40177" w:rsidRPr="000966FC" w:rsidRDefault="00A40177" w:rsidP="00E92724">
            <w:pPr>
              <w:jc w:val="center"/>
              <w:rPr>
                <w:rFonts w:ascii="Calibri" w:hAnsi="Calibri" w:cs="Calibri"/>
                <w:color w:val="000000"/>
                <w:lang w:val="en-ZA" w:eastAsia="en-ZA"/>
              </w:rPr>
            </w:pPr>
            <w:r w:rsidRPr="000966FC">
              <w:rPr>
                <w:rFonts w:ascii="Calibri" w:hAnsi="Calibri" w:cs="Calibri"/>
                <w:color w:val="000000"/>
                <w:sz w:val="22"/>
                <w:szCs w:val="22"/>
                <w:lang w:val="en-ZA" w:eastAsia="en-ZA"/>
              </w:rPr>
              <w:t>1</w:t>
            </w:r>
          </w:p>
        </w:tc>
        <w:tc>
          <w:tcPr>
            <w:tcW w:w="0" w:type="auto"/>
            <w:tcBorders>
              <w:top w:val="nil"/>
              <w:left w:val="nil"/>
              <w:bottom w:val="nil"/>
              <w:right w:val="nil"/>
            </w:tcBorders>
            <w:noWrap/>
            <w:vAlign w:val="bottom"/>
          </w:tcPr>
          <w:p w:rsidR="00A40177" w:rsidRPr="000966FC" w:rsidRDefault="00A40177" w:rsidP="00E92724">
            <w:pPr>
              <w:rPr>
                <w:rFonts w:ascii="Calibri" w:hAnsi="Calibri" w:cs="Calibri"/>
                <w:color w:val="000000"/>
                <w:lang w:val="en-ZA" w:eastAsia="en-ZA"/>
              </w:rPr>
            </w:pPr>
            <w:r>
              <w:rPr>
                <w:rFonts w:ascii="Calibri" w:hAnsi="Calibri" w:cs="Calibri"/>
                <w:color w:val="000000"/>
                <w:sz w:val="22"/>
                <w:szCs w:val="22"/>
                <w:lang w:val="en-ZA" w:eastAsia="en-ZA"/>
              </w:rPr>
              <w:t>Written warning</w:t>
            </w:r>
          </w:p>
        </w:tc>
        <w:tc>
          <w:tcPr>
            <w:tcW w:w="0" w:type="auto"/>
            <w:tcBorders>
              <w:top w:val="nil"/>
              <w:left w:val="nil"/>
              <w:bottom w:val="nil"/>
              <w:right w:val="nil"/>
            </w:tcBorders>
            <w:noWrap/>
            <w:vAlign w:val="bottom"/>
          </w:tcPr>
          <w:p w:rsidR="00A40177" w:rsidRPr="000966FC" w:rsidRDefault="00A40177" w:rsidP="00E92724">
            <w:pPr>
              <w:jc w:val="right"/>
              <w:rPr>
                <w:rFonts w:ascii="Calibri" w:hAnsi="Calibri" w:cs="Calibri"/>
                <w:color w:val="000000"/>
                <w:lang w:val="en-ZA" w:eastAsia="en-ZA"/>
              </w:rPr>
            </w:pPr>
            <w:r w:rsidRPr="000966FC">
              <w:rPr>
                <w:rFonts w:ascii="Calibri" w:hAnsi="Calibri" w:cs="Calibri"/>
                <w:color w:val="000000"/>
                <w:sz w:val="22"/>
                <w:szCs w:val="22"/>
                <w:lang w:val="en-ZA" w:eastAsia="en-ZA"/>
              </w:rPr>
              <w:t>R 0.00</w:t>
            </w:r>
          </w:p>
        </w:tc>
        <w:tc>
          <w:tcPr>
            <w:tcW w:w="0" w:type="auto"/>
            <w:tcBorders>
              <w:top w:val="nil"/>
              <w:left w:val="nil"/>
              <w:bottom w:val="nil"/>
              <w:right w:val="nil"/>
            </w:tcBorders>
            <w:noWrap/>
            <w:vAlign w:val="bottom"/>
          </w:tcPr>
          <w:p w:rsidR="00A40177" w:rsidRPr="000966FC" w:rsidRDefault="00A40177" w:rsidP="00E92724">
            <w:pPr>
              <w:jc w:val="right"/>
              <w:rPr>
                <w:rFonts w:ascii="Calibri" w:hAnsi="Calibri" w:cs="Calibri"/>
                <w:color w:val="000000"/>
                <w:lang w:val="en-ZA" w:eastAsia="en-ZA"/>
              </w:rPr>
            </w:pPr>
            <w:r w:rsidRPr="000966FC">
              <w:rPr>
                <w:rFonts w:ascii="Calibri" w:hAnsi="Calibri" w:cs="Calibri"/>
                <w:color w:val="000000"/>
                <w:sz w:val="22"/>
                <w:szCs w:val="22"/>
                <w:lang w:val="en-ZA" w:eastAsia="en-ZA"/>
              </w:rPr>
              <w:t>R 25 229.58</w:t>
            </w:r>
          </w:p>
        </w:tc>
      </w:tr>
      <w:tr w:rsidR="00A40177" w:rsidRPr="000966FC" w:rsidTr="00E92724">
        <w:trPr>
          <w:trHeight w:val="300"/>
        </w:trPr>
        <w:tc>
          <w:tcPr>
            <w:tcW w:w="0" w:type="auto"/>
            <w:tcBorders>
              <w:top w:val="nil"/>
              <w:left w:val="nil"/>
              <w:bottom w:val="nil"/>
              <w:right w:val="nil"/>
            </w:tcBorders>
            <w:noWrap/>
            <w:vAlign w:val="bottom"/>
          </w:tcPr>
          <w:p w:rsidR="00A40177" w:rsidRPr="000966FC" w:rsidRDefault="00A40177" w:rsidP="00E92724">
            <w:pPr>
              <w:rPr>
                <w:rFonts w:ascii="Calibri" w:hAnsi="Calibri" w:cs="Calibri"/>
                <w:color w:val="000000"/>
                <w:lang w:val="en-ZA" w:eastAsia="en-ZA"/>
              </w:rPr>
            </w:pPr>
            <w:r w:rsidRPr="000966FC">
              <w:rPr>
                <w:rFonts w:ascii="Calibri" w:hAnsi="Calibri" w:cs="Calibri"/>
                <w:color w:val="000000"/>
                <w:sz w:val="22"/>
                <w:szCs w:val="22"/>
                <w:lang w:val="en-ZA" w:eastAsia="en-ZA"/>
              </w:rPr>
              <w:t>Furniture</w:t>
            </w:r>
          </w:p>
        </w:tc>
        <w:tc>
          <w:tcPr>
            <w:tcW w:w="0" w:type="auto"/>
            <w:tcBorders>
              <w:top w:val="nil"/>
              <w:left w:val="nil"/>
              <w:bottom w:val="nil"/>
              <w:right w:val="nil"/>
            </w:tcBorders>
            <w:noWrap/>
            <w:vAlign w:val="bottom"/>
          </w:tcPr>
          <w:p w:rsidR="00A40177" w:rsidRPr="000966FC" w:rsidRDefault="00A40177" w:rsidP="00E92724">
            <w:pPr>
              <w:jc w:val="center"/>
              <w:rPr>
                <w:rFonts w:ascii="Calibri" w:hAnsi="Calibri" w:cs="Calibri"/>
                <w:color w:val="000000"/>
                <w:lang w:val="en-ZA" w:eastAsia="en-ZA"/>
              </w:rPr>
            </w:pPr>
            <w:r w:rsidRPr="000966FC">
              <w:rPr>
                <w:rFonts w:ascii="Calibri" w:hAnsi="Calibri" w:cs="Calibri"/>
                <w:color w:val="000000"/>
                <w:sz w:val="22"/>
                <w:szCs w:val="22"/>
                <w:lang w:val="en-ZA" w:eastAsia="en-ZA"/>
              </w:rPr>
              <w:t>1</w:t>
            </w:r>
          </w:p>
        </w:tc>
        <w:tc>
          <w:tcPr>
            <w:tcW w:w="0" w:type="auto"/>
            <w:tcBorders>
              <w:top w:val="nil"/>
              <w:left w:val="nil"/>
              <w:bottom w:val="nil"/>
              <w:right w:val="nil"/>
            </w:tcBorders>
            <w:noWrap/>
            <w:vAlign w:val="bottom"/>
          </w:tcPr>
          <w:p w:rsidR="00A40177" w:rsidRPr="000966FC" w:rsidRDefault="00A40177" w:rsidP="00E92724">
            <w:pPr>
              <w:rPr>
                <w:rFonts w:ascii="Calibri" w:hAnsi="Calibri" w:cs="Calibri"/>
                <w:color w:val="000000"/>
                <w:lang w:val="en-ZA" w:eastAsia="en-ZA"/>
              </w:rPr>
            </w:pPr>
            <w:r>
              <w:rPr>
                <w:rFonts w:ascii="Calibri" w:hAnsi="Calibri" w:cs="Calibri"/>
                <w:color w:val="000000"/>
                <w:sz w:val="22"/>
                <w:szCs w:val="22"/>
                <w:lang w:val="en-ZA" w:eastAsia="en-ZA"/>
              </w:rPr>
              <w:t>Written warning</w:t>
            </w:r>
          </w:p>
        </w:tc>
        <w:tc>
          <w:tcPr>
            <w:tcW w:w="0" w:type="auto"/>
            <w:tcBorders>
              <w:top w:val="nil"/>
              <w:left w:val="nil"/>
              <w:bottom w:val="nil"/>
              <w:right w:val="nil"/>
            </w:tcBorders>
            <w:noWrap/>
            <w:vAlign w:val="bottom"/>
          </w:tcPr>
          <w:p w:rsidR="00A40177" w:rsidRPr="000966FC" w:rsidRDefault="00A40177" w:rsidP="00E92724">
            <w:pPr>
              <w:jc w:val="right"/>
              <w:rPr>
                <w:rFonts w:ascii="Calibri" w:hAnsi="Calibri" w:cs="Calibri"/>
                <w:color w:val="000000"/>
                <w:lang w:val="en-ZA" w:eastAsia="en-ZA"/>
              </w:rPr>
            </w:pPr>
            <w:r w:rsidRPr="000966FC">
              <w:rPr>
                <w:rFonts w:ascii="Calibri" w:hAnsi="Calibri" w:cs="Calibri"/>
                <w:color w:val="000000"/>
                <w:sz w:val="22"/>
                <w:szCs w:val="22"/>
                <w:lang w:val="en-ZA" w:eastAsia="en-ZA"/>
              </w:rPr>
              <w:t>R 0.00</w:t>
            </w:r>
          </w:p>
        </w:tc>
        <w:tc>
          <w:tcPr>
            <w:tcW w:w="0" w:type="auto"/>
            <w:tcBorders>
              <w:top w:val="nil"/>
              <w:left w:val="nil"/>
              <w:bottom w:val="nil"/>
              <w:right w:val="nil"/>
            </w:tcBorders>
            <w:noWrap/>
            <w:vAlign w:val="bottom"/>
          </w:tcPr>
          <w:p w:rsidR="00A40177" w:rsidRPr="000966FC" w:rsidRDefault="00A40177" w:rsidP="00E92724">
            <w:pPr>
              <w:jc w:val="right"/>
              <w:rPr>
                <w:rFonts w:ascii="Calibri" w:hAnsi="Calibri" w:cs="Calibri"/>
                <w:color w:val="000000"/>
                <w:lang w:val="en-ZA" w:eastAsia="en-ZA"/>
              </w:rPr>
            </w:pPr>
            <w:r w:rsidRPr="000966FC">
              <w:rPr>
                <w:rFonts w:ascii="Calibri" w:hAnsi="Calibri" w:cs="Calibri"/>
                <w:color w:val="000000"/>
                <w:sz w:val="22"/>
                <w:szCs w:val="22"/>
                <w:lang w:val="en-ZA" w:eastAsia="en-ZA"/>
              </w:rPr>
              <w:t>R 9 102.00</w:t>
            </w:r>
          </w:p>
        </w:tc>
      </w:tr>
      <w:tr w:rsidR="00A40177" w:rsidRPr="000966FC" w:rsidTr="00E92724">
        <w:trPr>
          <w:trHeight w:val="300"/>
        </w:trPr>
        <w:tc>
          <w:tcPr>
            <w:tcW w:w="0" w:type="auto"/>
            <w:tcBorders>
              <w:top w:val="nil"/>
              <w:left w:val="nil"/>
              <w:bottom w:val="nil"/>
              <w:right w:val="nil"/>
            </w:tcBorders>
            <w:noWrap/>
            <w:vAlign w:val="bottom"/>
          </w:tcPr>
          <w:p w:rsidR="00A40177" w:rsidRPr="000966FC" w:rsidRDefault="00A40177" w:rsidP="00E92724">
            <w:pPr>
              <w:rPr>
                <w:rFonts w:ascii="Calibri" w:hAnsi="Calibri" w:cs="Calibri"/>
                <w:color w:val="000000"/>
                <w:lang w:val="en-ZA" w:eastAsia="en-ZA"/>
              </w:rPr>
            </w:pPr>
            <w:r w:rsidRPr="000966FC">
              <w:rPr>
                <w:rFonts w:ascii="Calibri" w:hAnsi="Calibri" w:cs="Calibri"/>
                <w:color w:val="000000"/>
                <w:sz w:val="22"/>
                <w:szCs w:val="22"/>
                <w:lang w:val="en-ZA" w:eastAsia="en-ZA"/>
              </w:rPr>
              <w:t>Repairs</w:t>
            </w:r>
          </w:p>
        </w:tc>
        <w:tc>
          <w:tcPr>
            <w:tcW w:w="0" w:type="auto"/>
            <w:tcBorders>
              <w:top w:val="nil"/>
              <w:left w:val="nil"/>
              <w:bottom w:val="nil"/>
              <w:right w:val="nil"/>
            </w:tcBorders>
            <w:noWrap/>
            <w:vAlign w:val="bottom"/>
          </w:tcPr>
          <w:p w:rsidR="00A40177" w:rsidRPr="000966FC" w:rsidRDefault="00A40177" w:rsidP="00E92724">
            <w:pPr>
              <w:jc w:val="center"/>
              <w:rPr>
                <w:rFonts w:ascii="Calibri" w:hAnsi="Calibri" w:cs="Calibri"/>
                <w:color w:val="000000"/>
                <w:lang w:val="en-ZA" w:eastAsia="en-ZA"/>
              </w:rPr>
            </w:pPr>
            <w:r w:rsidRPr="000966FC">
              <w:rPr>
                <w:rFonts w:ascii="Calibri" w:hAnsi="Calibri" w:cs="Calibri"/>
                <w:color w:val="000000"/>
                <w:sz w:val="22"/>
                <w:szCs w:val="22"/>
                <w:lang w:val="en-ZA" w:eastAsia="en-ZA"/>
              </w:rPr>
              <w:t>1</w:t>
            </w:r>
          </w:p>
        </w:tc>
        <w:tc>
          <w:tcPr>
            <w:tcW w:w="0" w:type="auto"/>
            <w:tcBorders>
              <w:top w:val="nil"/>
              <w:left w:val="nil"/>
              <w:bottom w:val="nil"/>
              <w:right w:val="nil"/>
            </w:tcBorders>
            <w:noWrap/>
            <w:vAlign w:val="bottom"/>
          </w:tcPr>
          <w:p w:rsidR="00A40177" w:rsidRPr="000966FC" w:rsidRDefault="00A40177" w:rsidP="00E92724">
            <w:pPr>
              <w:rPr>
                <w:rFonts w:ascii="Calibri" w:hAnsi="Calibri" w:cs="Calibri"/>
                <w:color w:val="000000"/>
                <w:lang w:val="en-ZA" w:eastAsia="en-ZA"/>
              </w:rPr>
            </w:pPr>
            <w:r>
              <w:rPr>
                <w:rFonts w:ascii="Calibri" w:hAnsi="Calibri" w:cs="Calibri"/>
                <w:color w:val="000000"/>
                <w:sz w:val="22"/>
                <w:szCs w:val="22"/>
                <w:lang w:val="en-ZA" w:eastAsia="en-ZA"/>
              </w:rPr>
              <w:t>Verbal warning</w:t>
            </w:r>
          </w:p>
        </w:tc>
        <w:tc>
          <w:tcPr>
            <w:tcW w:w="0" w:type="auto"/>
            <w:tcBorders>
              <w:top w:val="nil"/>
              <w:left w:val="nil"/>
              <w:bottom w:val="nil"/>
              <w:right w:val="nil"/>
            </w:tcBorders>
            <w:noWrap/>
            <w:vAlign w:val="bottom"/>
          </w:tcPr>
          <w:p w:rsidR="00A40177" w:rsidRPr="000966FC" w:rsidRDefault="00A40177" w:rsidP="00E92724">
            <w:pPr>
              <w:jc w:val="right"/>
              <w:rPr>
                <w:rFonts w:ascii="Calibri" w:hAnsi="Calibri" w:cs="Calibri"/>
                <w:color w:val="000000"/>
                <w:lang w:val="en-ZA" w:eastAsia="en-ZA"/>
              </w:rPr>
            </w:pPr>
            <w:r w:rsidRPr="000966FC">
              <w:rPr>
                <w:rFonts w:ascii="Calibri" w:hAnsi="Calibri" w:cs="Calibri"/>
                <w:color w:val="000000"/>
                <w:sz w:val="22"/>
                <w:szCs w:val="22"/>
                <w:lang w:val="en-ZA" w:eastAsia="en-ZA"/>
              </w:rPr>
              <w:t>R 0.00</w:t>
            </w:r>
          </w:p>
        </w:tc>
        <w:tc>
          <w:tcPr>
            <w:tcW w:w="0" w:type="auto"/>
            <w:tcBorders>
              <w:top w:val="nil"/>
              <w:left w:val="nil"/>
              <w:bottom w:val="nil"/>
              <w:right w:val="nil"/>
            </w:tcBorders>
            <w:noWrap/>
            <w:vAlign w:val="bottom"/>
          </w:tcPr>
          <w:p w:rsidR="00A40177" w:rsidRPr="000966FC" w:rsidRDefault="00A40177" w:rsidP="00E92724">
            <w:pPr>
              <w:jc w:val="right"/>
              <w:rPr>
                <w:rFonts w:ascii="Calibri" w:hAnsi="Calibri" w:cs="Calibri"/>
                <w:color w:val="000000"/>
                <w:lang w:val="en-ZA" w:eastAsia="en-ZA"/>
              </w:rPr>
            </w:pPr>
            <w:r w:rsidRPr="000966FC">
              <w:rPr>
                <w:rFonts w:ascii="Calibri" w:hAnsi="Calibri" w:cs="Calibri"/>
                <w:color w:val="000000"/>
                <w:sz w:val="22"/>
                <w:szCs w:val="22"/>
                <w:lang w:val="en-ZA" w:eastAsia="en-ZA"/>
              </w:rPr>
              <w:t>R 24 453.00</w:t>
            </w:r>
          </w:p>
        </w:tc>
      </w:tr>
      <w:tr w:rsidR="00A40177" w:rsidRPr="000966FC" w:rsidTr="00E92724">
        <w:trPr>
          <w:trHeight w:val="300"/>
        </w:trPr>
        <w:tc>
          <w:tcPr>
            <w:tcW w:w="0" w:type="auto"/>
            <w:tcBorders>
              <w:top w:val="nil"/>
              <w:left w:val="nil"/>
              <w:bottom w:val="nil"/>
              <w:right w:val="nil"/>
            </w:tcBorders>
            <w:noWrap/>
            <w:vAlign w:val="bottom"/>
          </w:tcPr>
          <w:p w:rsidR="00A40177" w:rsidRPr="000966FC" w:rsidRDefault="00A40177" w:rsidP="00E92724">
            <w:pPr>
              <w:rPr>
                <w:rFonts w:ascii="Calibri" w:hAnsi="Calibri" w:cs="Calibri"/>
                <w:color w:val="000000"/>
                <w:lang w:val="en-ZA" w:eastAsia="en-ZA"/>
              </w:rPr>
            </w:pPr>
            <w:r w:rsidRPr="000966FC">
              <w:rPr>
                <w:rFonts w:ascii="Calibri" w:hAnsi="Calibri" w:cs="Calibri"/>
                <w:color w:val="000000"/>
                <w:sz w:val="22"/>
                <w:szCs w:val="22"/>
                <w:lang w:val="en-ZA" w:eastAsia="en-ZA"/>
              </w:rPr>
              <w:t>Security Services</w:t>
            </w:r>
          </w:p>
        </w:tc>
        <w:tc>
          <w:tcPr>
            <w:tcW w:w="0" w:type="auto"/>
            <w:tcBorders>
              <w:top w:val="nil"/>
              <w:left w:val="nil"/>
              <w:bottom w:val="nil"/>
              <w:right w:val="nil"/>
            </w:tcBorders>
            <w:noWrap/>
            <w:vAlign w:val="bottom"/>
          </w:tcPr>
          <w:p w:rsidR="00A40177" w:rsidRPr="000966FC" w:rsidRDefault="00A40177" w:rsidP="00E92724">
            <w:pPr>
              <w:jc w:val="center"/>
              <w:rPr>
                <w:rFonts w:ascii="Calibri" w:hAnsi="Calibri" w:cs="Calibri"/>
                <w:color w:val="000000"/>
                <w:lang w:val="en-ZA" w:eastAsia="en-ZA"/>
              </w:rPr>
            </w:pPr>
            <w:r w:rsidRPr="000966FC">
              <w:rPr>
                <w:rFonts w:ascii="Calibri" w:hAnsi="Calibri" w:cs="Calibri"/>
                <w:color w:val="000000"/>
                <w:sz w:val="22"/>
                <w:szCs w:val="22"/>
                <w:lang w:val="en-ZA" w:eastAsia="en-ZA"/>
              </w:rPr>
              <w:t>1</w:t>
            </w:r>
          </w:p>
        </w:tc>
        <w:tc>
          <w:tcPr>
            <w:tcW w:w="0" w:type="auto"/>
            <w:tcBorders>
              <w:top w:val="nil"/>
              <w:left w:val="nil"/>
              <w:bottom w:val="nil"/>
              <w:right w:val="nil"/>
            </w:tcBorders>
            <w:noWrap/>
            <w:vAlign w:val="bottom"/>
          </w:tcPr>
          <w:p w:rsidR="00A40177" w:rsidRPr="000966FC" w:rsidRDefault="00A40177" w:rsidP="00E92724">
            <w:pPr>
              <w:rPr>
                <w:rFonts w:ascii="Calibri" w:hAnsi="Calibri" w:cs="Calibri"/>
                <w:color w:val="000000"/>
                <w:lang w:val="en-ZA" w:eastAsia="en-ZA"/>
              </w:rPr>
            </w:pPr>
            <w:r>
              <w:rPr>
                <w:rFonts w:ascii="Calibri" w:hAnsi="Calibri" w:cs="Calibri"/>
                <w:color w:val="000000"/>
                <w:sz w:val="22"/>
                <w:szCs w:val="22"/>
                <w:lang w:val="en-ZA" w:eastAsia="en-ZA"/>
              </w:rPr>
              <w:t>Verbal warning</w:t>
            </w:r>
          </w:p>
        </w:tc>
        <w:tc>
          <w:tcPr>
            <w:tcW w:w="0" w:type="auto"/>
            <w:tcBorders>
              <w:top w:val="nil"/>
              <w:left w:val="nil"/>
              <w:bottom w:val="nil"/>
              <w:right w:val="nil"/>
            </w:tcBorders>
            <w:noWrap/>
            <w:vAlign w:val="bottom"/>
          </w:tcPr>
          <w:p w:rsidR="00A40177" w:rsidRPr="000966FC" w:rsidRDefault="00A40177" w:rsidP="00E92724">
            <w:pPr>
              <w:jc w:val="right"/>
              <w:rPr>
                <w:rFonts w:ascii="Calibri" w:hAnsi="Calibri" w:cs="Calibri"/>
                <w:color w:val="000000"/>
                <w:lang w:val="en-ZA" w:eastAsia="en-ZA"/>
              </w:rPr>
            </w:pPr>
            <w:r w:rsidRPr="000966FC">
              <w:rPr>
                <w:rFonts w:ascii="Calibri" w:hAnsi="Calibri" w:cs="Calibri"/>
                <w:color w:val="000000"/>
                <w:sz w:val="22"/>
                <w:szCs w:val="22"/>
                <w:lang w:val="en-ZA" w:eastAsia="en-ZA"/>
              </w:rPr>
              <w:t>R 0.00</w:t>
            </w:r>
          </w:p>
        </w:tc>
        <w:tc>
          <w:tcPr>
            <w:tcW w:w="0" w:type="auto"/>
            <w:tcBorders>
              <w:top w:val="nil"/>
              <w:left w:val="nil"/>
              <w:bottom w:val="nil"/>
              <w:right w:val="nil"/>
            </w:tcBorders>
            <w:noWrap/>
            <w:vAlign w:val="bottom"/>
          </w:tcPr>
          <w:p w:rsidR="00A40177" w:rsidRPr="000966FC" w:rsidRDefault="00A40177" w:rsidP="00E92724">
            <w:pPr>
              <w:jc w:val="right"/>
              <w:rPr>
                <w:rFonts w:ascii="Calibri" w:hAnsi="Calibri" w:cs="Calibri"/>
                <w:color w:val="000000"/>
                <w:lang w:val="en-ZA" w:eastAsia="en-ZA"/>
              </w:rPr>
            </w:pPr>
            <w:r w:rsidRPr="000966FC">
              <w:rPr>
                <w:rFonts w:ascii="Calibri" w:hAnsi="Calibri" w:cs="Calibri"/>
                <w:color w:val="000000"/>
                <w:sz w:val="22"/>
                <w:szCs w:val="22"/>
                <w:lang w:val="en-ZA" w:eastAsia="en-ZA"/>
              </w:rPr>
              <w:t>R 7 085.00</w:t>
            </w:r>
          </w:p>
        </w:tc>
      </w:tr>
      <w:tr w:rsidR="00A40177" w:rsidRPr="000966FC" w:rsidTr="00E92724">
        <w:trPr>
          <w:trHeight w:val="300"/>
        </w:trPr>
        <w:tc>
          <w:tcPr>
            <w:tcW w:w="0" w:type="auto"/>
            <w:tcBorders>
              <w:top w:val="nil"/>
              <w:left w:val="nil"/>
              <w:bottom w:val="nil"/>
              <w:right w:val="nil"/>
            </w:tcBorders>
            <w:noWrap/>
            <w:vAlign w:val="bottom"/>
          </w:tcPr>
          <w:p w:rsidR="00A40177" w:rsidRPr="000966FC" w:rsidRDefault="00A40177" w:rsidP="00E92724">
            <w:pPr>
              <w:rPr>
                <w:rFonts w:ascii="Calibri" w:hAnsi="Calibri" w:cs="Calibri"/>
                <w:color w:val="000000"/>
                <w:lang w:val="en-ZA" w:eastAsia="en-ZA"/>
              </w:rPr>
            </w:pPr>
            <w:r w:rsidRPr="000966FC">
              <w:rPr>
                <w:rFonts w:ascii="Calibri" w:hAnsi="Calibri" w:cs="Calibri"/>
                <w:color w:val="000000"/>
                <w:sz w:val="22"/>
                <w:szCs w:val="22"/>
                <w:lang w:val="en-ZA" w:eastAsia="en-ZA"/>
              </w:rPr>
              <w:t>Storage Fees</w:t>
            </w:r>
          </w:p>
        </w:tc>
        <w:tc>
          <w:tcPr>
            <w:tcW w:w="0" w:type="auto"/>
            <w:tcBorders>
              <w:top w:val="nil"/>
              <w:left w:val="nil"/>
              <w:bottom w:val="nil"/>
              <w:right w:val="nil"/>
            </w:tcBorders>
            <w:noWrap/>
            <w:vAlign w:val="bottom"/>
          </w:tcPr>
          <w:p w:rsidR="00A40177" w:rsidRPr="000966FC" w:rsidRDefault="00A40177" w:rsidP="00E92724">
            <w:pPr>
              <w:jc w:val="center"/>
              <w:rPr>
                <w:rFonts w:ascii="Calibri" w:hAnsi="Calibri" w:cs="Calibri"/>
                <w:color w:val="000000"/>
                <w:lang w:val="en-ZA" w:eastAsia="en-ZA"/>
              </w:rPr>
            </w:pPr>
            <w:r w:rsidRPr="000966FC">
              <w:rPr>
                <w:rFonts w:ascii="Calibri" w:hAnsi="Calibri" w:cs="Calibri"/>
                <w:color w:val="000000"/>
                <w:sz w:val="22"/>
                <w:szCs w:val="22"/>
                <w:lang w:val="en-ZA" w:eastAsia="en-ZA"/>
              </w:rPr>
              <w:t>1</w:t>
            </w:r>
          </w:p>
        </w:tc>
        <w:tc>
          <w:tcPr>
            <w:tcW w:w="0" w:type="auto"/>
            <w:tcBorders>
              <w:top w:val="nil"/>
              <w:left w:val="nil"/>
              <w:bottom w:val="nil"/>
              <w:right w:val="nil"/>
            </w:tcBorders>
            <w:noWrap/>
            <w:vAlign w:val="bottom"/>
          </w:tcPr>
          <w:p w:rsidR="00A40177" w:rsidRPr="000966FC" w:rsidRDefault="00A40177" w:rsidP="00E92724">
            <w:pPr>
              <w:rPr>
                <w:rFonts w:ascii="Calibri" w:hAnsi="Calibri" w:cs="Calibri"/>
                <w:color w:val="000000"/>
                <w:lang w:val="en-ZA" w:eastAsia="en-ZA"/>
              </w:rPr>
            </w:pPr>
            <w:r>
              <w:rPr>
                <w:rFonts w:ascii="Calibri" w:hAnsi="Calibri" w:cs="Calibri"/>
                <w:color w:val="000000"/>
                <w:sz w:val="22"/>
                <w:szCs w:val="22"/>
                <w:lang w:val="en-ZA" w:eastAsia="en-ZA"/>
              </w:rPr>
              <w:t>Verbal warning</w:t>
            </w:r>
          </w:p>
        </w:tc>
        <w:tc>
          <w:tcPr>
            <w:tcW w:w="0" w:type="auto"/>
            <w:tcBorders>
              <w:top w:val="nil"/>
              <w:left w:val="nil"/>
              <w:bottom w:val="nil"/>
              <w:right w:val="nil"/>
            </w:tcBorders>
            <w:noWrap/>
            <w:vAlign w:val="bottom"/>
          </w:tcPr>
          <w:p w:rsidR="00A40177" w:rsidRPr="000966FC" w:rsidRDefault="00A40177" w:rsidP="00E92724">
            <w:pPr>
              <w:jc w:val="right"/>
              <w:rPr>
                <w:rFonts w:ascii="Calibri" w:hAnsi="Calibri" w:cs="Calibri"/>
                <w:color w:val="000000"/>
                <w:lang w:val="en-ZA" w:eastAsia="en-ZA"/>
              </w:rPr>
            </w:pPr>
            <w:r w:rsidRPr="000966FC">
              <w:rPr>
                <w:rFonts w:ascii="Calibri" w:hAnsi="Calibri" w:cs="Calibri"/>
                <w:color w:val="000000"/>
                <w:sz w:val="22"/>
                <w:szCs w:val="22"/>
                <w:lang w:val="en-ZA" w:eastAsia="en-ZA"/>
              </w:rPr>
              <w:t>R 0.00</w:t>
            </w:r>
          </w:p>
        </w:tc>
        <w:tc>
          <w:tcPr>
            <w:tcW w:w="0" w:type="auto"/>
            <w:tcBorders>
              <w:top w:val="nil"/>
              <w:left w:val="nil"/>
              <w:bottom w:val="nil"/>
              <w:right w:val="nil"/>
            </w:tcBorders>
            <w:noWrap/>
            <w:vAlign w:val="bottom"/>
          </w:tcPr>
          <w:p w:rsidR="00A40177" w:rsidRPr="000966FC" w:rsidRDefault="00A40177" w:rsidP="00E92724">
            <w:pPr>
              <w:jc w:val="right"/>
              <w:rPr>
                <w:rFonts w:ascii="Calibri" w:hAnsi="Calibri" w:cs="Calibri"/>
                <w:color w:val="000000"/>
                <w:lang w:val="en-ZA" w:eastAsia="en-ZA"/>
              </w:rPr>
            </w:pPr>
            <w:r w:rsidRPr="000966FC">
              <w:rPr>
                <w:rFonts w:ascii="Calibri" w:hAnsi="Calibri" w:cs="Calibri"/>
                <w:color w:val="000000"/>
                <w:sz w:val="22"/>
                <w:szCs w:val="22"/>
                <w:lang w:val="en-ZA" w:eastAsia="en-ZA"/>
              </w:rPr>
              <w:t>R 3 657.50</w:t>
            </w:r>
          </w:p>
        </w:tc>
      </w:tr>
      <w:tr w:rsidR="00A40177" w:rsidRPr="000966FC" w:rsidTr="00E92724">
        <w:trPr>
          <w:trHeight w:val="315"/>
        </w:trPr>
        <w:tc>
          <w:tcPr>
            <w:tcW w:w="0" w:type="auto"/>
            <w:tcBorders>
              <w:top w:val="nil"/>
              <w:left w:val="nil"/>
              <w:bottom w:val="nil"/>
              <w:right w:val="nil"/>
            </w:tcBorders>
            <w:noWrap/>
            <w:vAlign w:val="bottom"/>
          </w:tcPr>
          <w:p w:rsidR="00A40177" w:rsidRPr="00D770C9" w:rsidRDefault="00A40177" w:rsidP="00E92724">
            <w:pPr>
              <w:rPr>
                <w:rFonts w:ascii="Calibri" w:hAnsi="Calibri" w:cs="Calibri"/>
                <w:b/>
                <w:color w:val="000000"/>
                <w:lang w:val="en-ZA" w:eastAsia="en-ZA"/>
              </w:rPr>
            </w:pPr>
            <w:r w:rsidRPr="00D770C9">
              <w:rPr>
                <w:rFonts w:ascii="Calibri" w:hAnsi="Calibri" w:cs="Calibri"/>
                <w:b/>
                <w:color w:val="000000"/>
                <w:sz w:val="22"/>
                <w:szCs w:val="22"/>
                <w:lang w:val="en-ZA" w:eastAsia="en-ZA"/>
              </w:rPr>
              <w:t>Total</w:t>
            </w:r>
          </w:p>
        </w:tc>
        <w:tc>
          <w:tcPr>
            <w:tcW w:w="0" w:type="auto"/>
            <w:tcBorders>
              <w:top w:val="nil"/>
              <w:left w:val="nil"/>
              <w:bottom w:val="nil"/>
              <w:right w:val="nil"/>
            </w:tcBorders>
            <w:noWrap/>
            <w:vAlign w:val="bottom"/>
          </w:tcPr>
          <w:p w:rsidR="00A40177" w:rsidRPr="00D770C9" w:rsidRDefault="00A40177" w:rsidP="00E92724">
            <w:pPr>
              <w:jc w:val="center"/>
              <w:rPr>
                <w:rFonts w:ascii="Calibri" w:hAnsi="Calibri" w:cs="Calibri"/>
                <w:b/>
                <w:color w:val="000000"/>
                <w:lang w:val="en-ZA" w:eastAsia="en-ZA"/>
              </w:rPr>
            </w:pPr>
            <w:r w:rsidRPr="00D770C9">
              <w:rPr>
                <w:rFonts w:ascii="Calibri" w:hAnsi="Calibri" w:cs="Calibri"/>
                <w:b/>
                <w:color w:val="000000"/>
                <w:sz w:val="22"/>
                <w:szCs w:val="22"/>
                <w:lang w:val="en-ZA" w:eastAsia="en-ZA"/>
              </w:rPr>
              <w:t>6</w:t>
            </w:r>
          </w:p>
        </w:tc>
        <w:tc>
          <w:tcPr>
            <w:tcW w:w="0" w:type="auto"/>
            <w:tcBorders>
              <w:top w:val="nil"/>
              <w:left w:val="nil"/>
              <w:bottom w:val="nil"/>
              <w:right w:val="nil"/>
            </w:tcBorders>
            <w:noWrap/>
            <w:vAlign w:val="bottom"/>
          </w:tcPr>
          <w:p w:rsidR="00A40177" w:rsidRPr="00D770C9" w:rsidRDefault="00A40177" w:rsidP="00E92724">
            <w:pPr>
              <w:rPr>
                <w:rFonts w:ascii="Calibri" w:hAnsi="Calibri" w:cs="Calibri"/>
                <w:b/>
                <w:color w:val="000000"/>
                <w:lang w:val="en-ZA" w:eastAsia="en-ZA"/>
              </w:rPr>
            </w:pPr>
          </w:p>
        </w:tc>
        <w:tc>
          <w:tcPr>
            <w:tcW w:w="0" w:type="auto"/>
            <w:tcBorders>
              <w:top w:val="single" w:sz="4" w:space="0" w:color="auto"/>
              <w:left w:val="nil"/>
              <w:bottom w:val="double" w:sz="6" w:space="0" w:color="auto"/>
              <w:right w:val="nil"/>
            </w:tcBorders>
            <w:noWrap/>
            <w:vAlign w:val="bottom"/>
          </w:tcPr>
          <w:p w:rsidR="00A40177" w:rsidRPr="00D770C9" w:rsidRDefault="00A40177" w:rsidP="00E92724">
            <w:pPr>
              <w:jc w:val="right"/>
              <w:rPr>
                <w:rFonts w:ascii="Calibri" w:hAnsi="Calibri" w:cs="Calibri"/>
                <w:b/>
                <w:color w:val="000000"/>
                <w:lang w:val="en-ZA" w:eastAsia="en-ZA"/>
              </w:rPr>
            </w:pPr>
            <w:r w:rsidRPr="00D770C9">
              <w:rPr>
                <w:rFonts w:ascii="Calibri" w:hAnsi="Calibri" w:cs="Calibri"/>
                <w:b/>
                <w:color w:val="000000"/>
                <w:sz w:val="22"/>
                <w:szCs w:val="22"/>
                <w:lang w:val="en-ZA" w:eastAsia="en-ZA"/>
              </w:rPr>
              <w:t>R 0.00</w:t>
            </w:r>
          </w:p>
        </w:tc>
        <w:tc>
          <w:tcPr>
            <w:tcW w:w="0" w:type="auto"/>
            <w:tcBorders>
              <w:top w:val="single" w:sz="4" w:space="0" w:color="auto"/>
              <w:left w:val="nil"/>
              <w:bottom w:val="double" w:sz="6" w:space="0" w:color="auto"/>
              <w:right w:val="nil"/>
            </w:tcBorders>
            <w:noWrap/>
            <w:vAlign w:val="bottom"/>
          </w:tcPr>
          <w:p w:rsidR="00A40177" w:rsidRPr="00D770C9" w:rsidRDefault="00A40177" w:rsidP="00E92724">
            <w:pPr>
              <w:jc w:val="right"/>
              <w:rPr>
                <w:rFonts w:ascii="Calibri" w:hAnsi="Calibri" w:cs="Calibri"/>
                <w:b/>
                <w:color w:val="000000"/>
                <w:lang w:val="en-ZA" w:eastAsia="en-ZA"/>
              </w:rPr>
            </w:pPr>
            <w:r w:rsidRPr="00D770C9">
              <w:rPr>
                <w:rFonts w:ascii="Calibri" w:hAnsi="Calibri" w:cs="Calibri"/>
                <w:b/>
                <w:color w:val="000000"/>
                <w:sz w:val="22"/>
                <w:szCs w:val="22"/>
                <w:lang w:val="en-ZA" w:eastAsia="en-ZA"/>
              </w:rPr>
              <w:t>R 86 897.08</w:t>
            </w:r>
          </w:p>
        </w:tc>
      </w:tr>
    </w:tbl>
    <w:p w:rsidR="00A40177" w:rsidRDefault="00A40177" w:rsidP="00D5245E">
      <w:pPr>
        <w:spacing w:before="100" w:beforeAutospacing="1" w:after="100" w:afterAutospacing="1"/>
        <w:jc w:val="both"/>
        <w:outlineLvl w:val="0"/>
        <w:rPr>
          <w:rFonts w:ascii="Arial" w:hAnsi="Arial" w:cs="Arial"/>
        </w:rPr>
      </w:pPr>
      <w:r w:rsidRPr="003E262F">
        <w:rPr>
          <w:rFonts w:ascii="Arial" w:hAnsi="Arial" w:cs="Arial"/>
        </w:rPr>
        <w:t>For the period 1 April 2015 to date no irregular expenditure was found to be irregular of nature.</w:t>
      </w:r>
    </w:p>
    <w:p w:rsidR="00A40177" w:rsidRPr="003E262F" w:rsidRDefault="00A40177" w:rsidP="00D5245E">
      <w:pPr>
        <w:spacing w:before="100" w:beforeAutospacing="1" w:after="100" w:afterAutospacing="1"/>
        <w:jc w:val="both"/>
        <w:outlineLvl w:val="0"/>
        <w:rPr>
          <w:rFonts w:ascii="Arial" w:hAnsi="Arial" w:cs="Arial"/>
        </w:rPr>
      </w:pPr>
    </w:p>
    <w:p w:rsidR="00A40177" w:rsidRPr="003E262F" w:rsidRDefault="00A40177" w:rsidP="00D5245E">
      <w:pPr>
        <w:spacing w:before="100" w:beforeAutospacing="1" w:after="100" w:afterAutospacing="1"/>
        <w:jc w:val="both"/>
        <w:outlineLvl w:val="0"/>
        <w:rPr>
          <w:rFonts w:ascii="Arial" w:hAnsi="Arial" w:cs="Arial"/>
        </w:rPr>
      </w:pPr>
      <w:r w:rsidRPr="003E262F">
        <w:rPr>
          <w:rFonts w:ascii="Arial" w:hAnsi="Arial" w:cs="Arial"/>
        </w:rPr>
        <w:t>(1)(b)(i) and (ii) and (2)(b)(i)(aa), (bb), (cc) and (ii)(aa) and (bb).</w:t>
      </w:r>
    </w:p>
    <w:p w:rsidR="00A40177" w:rsidRDefault="00A40177" w:rsidP="00D5245E">
      <w:pPr>
        <w:spacing w:before="100" w:beforeAutospacing="1" w:after="100" w:afterAutospacing="1"/>
        <w:jc w:val="both"/>
        <w:outlineLvl w:val="0"/>
        <w:rPr>
          <w:rFonts w:ascii="Arial" w:hAnsi="Arial" w:cs="Arial"/>
        </w:rPr>
      </w:pPr>
      <w:r w:rsidRPr="003E262F">
        <w:rPr>
          <w:rFonts w:ascii="Arial" w:hAnsi="Arial" w:cs="Arial"/>
        </w:rPr>
        <w:t xml:space="preserve">The </w:t>
      </w:r>
      <w:r>
        <w:rPr>
          <w:rFonts w:ascii="Arial" w:hAnsi="Arial" w:cs="Arial"/>
        </w:rPr>
        <w:t xml:space="preserve">following details are relevant to </w:t>
      </w:r>
      <w:r w:rsidRPr="003E262F">
        <w:rPr>
          <w:rFonts w:ascii="Arial" w:hAnsi="Arial" w:cs="Arial"/>
        </w:rPr>
        <w:t xml:space="preserve">amounts </w:t>
      </w:r>
      <w:r>
        <w:rPr>
          <w:rFonts w:ascii="Arial" w:hAnsi="Arial" w:cs="Arial"/>
        </w:rPr>
        <w:t xml:space="preserve">found to be </w:t>
      </w:r>
      <w:r w:rsidRPr="003E262F">
        <w:rPr>
          <w:rFonts w:ascii="Arial" w:hAnsi="Arial" w:cs="Arial"/>
        </w:rPr>
        <w:t xml:space="preserve">fruitless and wasteful expenditure </w:t>
      </w:r>
      <w:r>
        <w:rPr>
          <w:rFonts w:ascii="Arial" w:hAnsi="Arial" w:cs="Arial"/>
        </w:rPr>
        <w:t>in</w:t>
      </w:r>
      <w:r w:rsidRPr="003E262F">
        <w:rPr>
          <w:rFonts w:ascii="Arial" w:hAnsi="Arial" w:cs="Arial"/>
        </w:rPr>
        <w:t xml:space="preserve"> the 2014/2015 financial year</w:t>
      </w:r>
      <w:r>
        <w:rPr>
          <w:rFonts w:ascii="Arial" w:hAnsi="Arial" w:cs="Arial"/>
        </w:rPr>
        <w:t>:</w:t>
      </w:r>
      <w:r w:rsidRPr="003E262F">
        <w:rPr>
          <w:rFonts w:ascii="Arial" w:hAnsi="Arial" w:cs="Arial"/>
        </w:rPr>
        <w:t xml:space="preserve"> </w:t>
      </w:r>
    </w:p>
    <w:tbl>
      <w:tblPr>
        <w:tblW w:w="8520" w:type="dxa"/>
        <w:tblInd w:w="93" w:type="dxa"/>
        <w:tblLayout w:type="fixed"/>
        <w:tblLook w:val="00A0"/>
      </w:tblPr>
      <w:tblGrid>
        <w:gridCol w:w="2279"/>
        <w:gridCol w:w="855"/>
        <w:gridCol w:w="2569"/>
        <w:gridCol w:w="1400"/>
        <w:gridCol w:w="1417"/>
      </w:tblGrid>
      <w:tr w:rsidR="00A40177" w:rsidRPr="000966FC" w:rsidTr="00E92724">
        <w:trPr>
          <w:trHeight w:val="900"/>
        </w:trPr>
        <w:tc>
          <w:tcPr>
            <w:tcW w:w="2279" w:type="dxa"/>
            <w:tcBorders>
              <w:top w:val="nil"/>
              <w:left w:val="nil"/>
              <w:bottom w:val="nil"/>
              <w:right w:val="nil"/>
            </w:tcBorders>
            <w:vAlign w:val="bottom"/>
          </w:tcPr>
          <w:p w:rsidR="00A40177" w:rsidRPr="000966FC" w:rsidRDefault="00A40177" w:rsidP="00E92724">
            <w:pPr>
              <w:jc w:val="center"/>
              <w:rPr>
                <w:rFonts w:ascii="Arial" w:hAnsi="Arial" w:cs="Arial"/>
                <w:b/>
                <w:bCs/>
                <w:sz w:val="20"/>
                <w:szCs w:val="20"/>
                <w:lang w:val="en-ZA" w:eastAsia="en-ZA"/>
              </w:rPr>
            </w:pPr>
            <w:r w:rsidRPr="000966FC">
              <w:rPr>
                <w:rFonts w:ascii="Arial" w:hAnsi="Arial" w:cs="Arial"/>
                <w:b/>
                <w:bCs/>
                <w:sz w:val="20"/>
                <w:szCs w:val="20"/>
                <w:lang w:val="en-ZA" w:eastAsia="en-ZA"/>
              </w:rPr>
              <w:t>Details of fruitless and wasteful expenditure</w:t>
            </w:r>
          </w:p>
        </w:tc>
        <w:tc>
          <w:tcPr>
            <w:tcW w:w="855" w:type="dxa"/>
            <w:tcBorders>
              <w:top w:val="nil"/>
              <w:left w:val="nil"/>
              <w:bottom w:val="nil"/>
              <w:right w:val="nil"/>
            </w:tcBorders>
            <w:noWrap/>
            <w:vAlign w:val="bottom"/>
          </w:tcPr>
          <w:p w:rsidR="00A40177" w:rsidRPr="000966FC" w:rsidRDefault="00A40177" w:rsidP="00E92724">
            <w:pPr>
              <w:jc w:val="center"/>
              <w:rPr>
                <w:rFonts w:ascii="Arial" w:hAnsi="Arial" w:cs="Arial"/>
                <w:b/>
                <w:bCs/>
                <w:sz w:val="20"/>
                <w:szCs w:val="20"/>
                <w:lang w:val="en-ZA" w:eastAsia="en-ZA"/>
              </w:rPr>
            </w:pPr>
            <w:r w:rsidRPr="000966FC">
              <w:rPr>
                <w:rFonts w:ascii="Arial" w:hAnsi="Arial" w:cs="Arial"/>
                <w:b/>
                <w:bCs/>
                <w:sz w:val="20"/>
                <w:szCs w:val="20"/>
                <w:lang w:val="en-ZA" w:eastAsia="en-ZA"/>
              </w:rPr>
              <w:t>Cases</w:t>
            </w:r>
          </w:p>
        </w:tc>
        <w:tc>
          <w:tcPr>
            <w:tcW w:w="2569" w:type="dxa"/>
            <w:tcBorders>
              <w:top w:val="nil"/>
              <w:left w:val="nil"/>
              <w:bottom w:val="nil"/>
              <w:right w:val="nil"/>
            </w:tcBorders>
            <w:noWrap/>
            <w:vAlign w:val="bottom"/>
          </w:tcPr>
          <w:p w:rsidR="00A40177" w:rsidRPr="000966FC" w:rsidRDefault="00A40177" w:rsidP="00E92724">
            <w:pPr>
              <w:jc w:val="center"/>
              <w:rPr>
                <w:rFonts w:ascii="Calibri" w:hAnsi="Calibri" w:cs="Calibri"/>
                <w:b/>
                <w:bCs/>
                <w:color w:val="000000"/>
                <w:lang w:val="en-ZA" w:eastAsia="en-ZA"/>
              </w:rPr>
            </w:pPr>
            <w:r w:rsidRPr="000966FC">
              <w:rPr>
                <w:rFonts w:ascii="Calibri" w:hAnsi="Calibri" w:cs="Calibri"/>
                <w:b/>
                <w:bCs/>
                <w:color w:val="000000"/>
                <w:sz w:val="22"/>
                <w:szCs w:val="22"/>
                <w:lang w:val="en-ZA" w:eastAsia="en-ZA"/>
              </w:rPr>
              <w:t>Actions taken</w:t>
            </w:r>
          </w:p>
        </w:tc>
        <w:tc>
          <w:tcPr>
            <w:tcW w:w="1400" w:type="dxa"/>
            <w:tcBorders>
              <w:top w:val="nil"/>
              <w:left w:val="nil"/>
              <w:bottom w:val="nil"/>
              <w:right w:val="nil"/>
            </w:tcBorders>
            <w:vAlign w:val="bottom"/>
          </w:tcPr>
          <w:p w:rsidR="00A40177" w:rsidRPr="000966FC" w:rsidRDefault="00A40177" w:rsidP="00E92724">
            <w:pPr>
              <w:jc w:val="center"/>
              <w:rPr>
                <w:rFonts w:ascii="Calibri" w:hAnsi="Calibri" w:cs="Calibri"/>
                <w:b/>
                <w:bCs/>
                <w:color w:val="000000"/>
                <w:lang w:val="en-ZA" w:eastAsia="en-ZA"/>
              </w:rPr>
            </w:pPr>
            <w:r w:rsidRPr="000966FC">
              <w:rPr>
                <w:rFonts w:ascii="Calibri" w:hAnsi="Calibri" w:cs="Calibri"/>
                <w:b/>
                <w:bCs/>
                <w:color w:val="000000"/>
                <w:sz w:val="22"/>
                <w:szCs w:val="22"/>
                <w:lang w:val="en-ZA" w:eastAsia="en-ZA"/>
              </w:rPr>
              <w:t>Amount recovered from employees</w:t>
            </w:r>
          </w:p>
        </w:tc>
        <w:tc>
          <w:tcPr>
            <w:tcW w:w="1417" w:type="dxa"/>
            <w:tcBorders>
              <w:top w:val="nil"/>
              <w:left w:val="nil"/>
              <w:bottom w:val="nil"/>
              <w:right w:val="nil"/>
            </w:tcBorders>
            <w:noWrap/>
            <w:vAlign w:val="bottom"/>
          </w:tcPr>
          <w:p w:rsidR="00A40177" w:rsidRPr="000966FC" w:rsidRDefault="00A40177" w:rsidP="00E92724">
            <w:pPr>
              <w:rPr>
                <w:rFonts w:ascii="Arial" w:hAnsi="Arial" w:cs="Arial"/>
                <w:b/>
                <w:bCs/>
                <w:sz w:val="20"/>
                <w:szCs w:val="20"/>
                <w:lang w:val="en-ZA" w:eastAsia="en-ZA"/>
              </w:rPr>
            </w:pPr>
            <w:r w:rsidRPr="000966FC">
              <w:rPr>
                <w:rFonts w:ascii="Arial" w:hAnsi="Arial" w:cs="Arial"/>
                <w:b/>
                <w:bCs/>
                <w:sz w:val="20"/>
                <w:szCs w:val="20"/>
                <w:lang w:val="en-ZA" w:eastAsia="en-ZA"/>
              </w:rPr>
              <w:t>2014/2015</w:t>
            </w:r>
          </w:p>
        </w:tc>
      </w:tr>
      <w:tr w:rsidR="00A40177" w:rsidRPr="000966FC" w:rsidTr="00E92724">
        <w:trPr>
          <w:trHeight w:val="300"/>
        </w:trPr>
        <w:tc>
          <w:tcPr>
            <w:tcW w:w="2279" w:type="dxa"/>
            <w:tcBorders>
              <w:top w:val="nil"/>
              <w:left w:val="nil"/>
              <w:bottom w:val="nil"/>
              <w:right w:val="nil"/>
            </w:tcBorders>
            <w:noWrap/>
            <w:vAlign w:val="bottom"/>
          </w:tcPr>
          <w:p w:rsidR="00A40177" w:rsidRPr="000966FC" w:rsidRDefault="00A40177" w:rsidP="00E92724">
            <w:pPr>
              <w:rPr>
                <w:rFonts w:ascii="Calibri" w:hAnsi="Calibri" w:cs="Calibri"/>
                <w:color w:val="000000"/>
                <w:lang w:val="en-ZA" w:eastAsia="en-ZA"/>
              </w:rPr>
            </w:pPr>
            <w:r w:rsidRPr="000966FC">
              <w:rPr>
                <w:rFonts w:ascii="Calibri" w:hAnsi="Calibri" w:cs="Calibri"/>
                <w:color w:val="000000"/>
                <w:sz w:val="22"/>
                <w:szCs w:val="22"/>
                <w:lang w:val="en-ZA" w:eastAsia="en-ZA"/>
              </w:rPr>
              <w:t>Penalties on License Fees</w:t>
            </w:r>
          </w:p>
        </w:tc>
        <w:tc>
          <w:tcPr>
            <w:tcW w:w="855" w:type="dxa"/>
            <w:tcBorders>
              <w:top w:val="nil"/>
              <w:left w:val="nil"/>
              <w:bottom w:val="nil"/>
              <w:right w:val="nil"/>
            </w:tcBorders>
            <w:noWrap/>
            <w:vAlign w:val="bottom"/>
          </w:tcPr>
          <w:p w:rsidR="00A40177" w:rsidRPr="000966FC" w:rsidRDefault="00A40177" w:rsidP="00E92724">
            <w:pPr>
              <w:jc w:val="center"/>
              <w:rPr>
                <w:rFonts w:ascii="Calibri" w:hAnsi="Calibri" w:cs="Calibri"/>
                <w:color w:val="000000"/>
                <w:lang w:val="en-ZA" w:eastAsia="en-ZA"/>
              </w:rPr>
            </w:pPr>
            <w:r w:rsidRPr="000966FC">
              <w:rPr>
                <w:rFonts w:ascii="Calibri" w:hAnsi="Calibri" w:cs="Calibri"/>
                <w:color w:val="000000"/>
                <w:sz w:val="22"/>
                <w:szCs w:val="22"/>
                <w:lang w:val="en-ZA" w:eastAsia="en-ZA"/>
              </w:rPr>
              <w:t>42</w:t>
            </w:r>
          </w:p>
        </w:tc>
        <w:tc>
          <w:tcPr>
            <w:tcW w:w="2569" w:type="dxa"/>
            <w:tcBorders>
              <w:top w:val="nil"/>
              <w:left w:val="nil"/>
              <w:bottom w:val="nil"/>
              <w:right w:val="nil"/>
            </w:tcBorders>
            <w:noWrap/>
            <w:vAlign w:val="bottom"/>
          </w:tcPr>
          <w:p w:rsidR="00A40177" w:rsidRPr="000966FC" w:rsidRDefault="00A40177" w:rsidP="00E92724">
            <w:pPr>
              <w:rPr>
                <w:rFonts w:ascii="Arial" w:hAnsi="Arial" w:cs="Arial"/>
                <w:sz w:val="20"/>
                <w:szCs w:val="20"/>
                <w:lang w:val="en-ZA" w:eastAsia="en-ZA"/>
              </w:rPr>
            </w:pPr>
            <w:r w:rsidRPr="000966FC">
              <w:rPr>
                <w:rFonts w:ascii="Arial" w:hAnsi="Arial" w:cs="Arial"/>
                <w:sz w:val="20"/>
                <w:szCs w:val="20"/>
                <w:lang w:val="en-ZA" w:eastAsia="en-ZA"/>
              </w:rPr>
              <w:t>Liability investigation conducted</w:t>
            </w:r>
            <w:r>
              <w:rPr>
                <w:rFonts w:ascii="Arial" w:hAnsi="Arial" w:cs="Arial"/>
                <w:sz w:val="20"/>
                <w:szCs w:val="20"/>
                <w:lang w:val="en-ZA" w:eastAsia="en-ZA"/>
              </w:rPr>
              <w:t xml:space="preserve"> to determine recoverability</w:t>
            </w:r>
          </w:p>
        </w:tc>
        <w:tc>
          <w:tcPr>
            <w:tcW w:w="1400" w:type="dxa"/>
            <w:tcBorders>
              <w:top w:val="nil"/>
              <w:left w:val="nil"/>
              <w:bottom w:val="nil"/>
              <w:right w:val="nil"/>
            </w:tcBorders>
            <w:vAlign w:val="bottom"/>
          </w:tcPr>
          <w:p w:rsidR="00A40177" w:rsidRPr="000966FC" w:rsidRDefault="00A40177" w:rsidP="00E92724">
            <w:pPr>
              <w:jc w:val="right"/>
              <w:rPr>
                <w:rFonts w:ascii="Arial" w:hAnsi="Arial" w:cs="Arial"/>
                <w:sz w:val="20"/>
                <w:szCs w:val="20"/>
                <w:lang w:val="en-ZA" w:eastAsia="en-ZA"/>
              </w:rPr>
            </w:pPr>
            <w:r w:rsidRPr="000966FC">
              <w:rPr>
                <w:rFonts w:ascii="Arial" w:hAnsi="Arial" w:cs="Arial"/>
                <w:sz w:val="20"/>
                <w:szCs w:val="20"/>
                <w:lang w:val="en-ZA" w:eastAsia="en-ZA"/>
              </w:rPr>
              <w:t>R 1 822.80</w:t>
            </w:r>
          </w:p>
        </w:tc>
        <w:tc>
          <w:tcPr>
            <w:tcW w:w="1417" w:type="dxa"/>
            <w:tcBorders>
              <w:top w:val="nil"/>
              <w:left w:val="nil"/>
              <w:bottom w:val="nil"/>
              <w:right w:val="nil"/>
            </w:tcBorders>
            <w:noWrap/>
            <w:vAlign w:val="bottom"/>
          </w:tcPr>
          <w:p w:rsidR="00A40177" w:rsidRPr="000966FC" w:rsidRDefault="00A40177" w:rsidP="00E92724">
            <w:pPr>
              <w:jc w:val="right"/>
              <w:rPr>
                <w:rFonts w:ascii="Calibri" w:hAnsi="Calibri" w:cs="Calibri"/>
                <w:color w:val="000000"/>
                <w:lang w:val="en-ZA" w:eastAsia="en-ZA"/>
              </w:rPr>
            </w:pPr>
            <w:r w:rsidRPr="000966FC">
              <w:rPr>
                <w:rFonts w:ascii="Calibri" w:hAnsi="Calibri" w:cs="Calibri"/>
                <w:color w:val="000000"/>
                <w:sz w:val="22"/>
                <w:szCs w:val="22"/>
                <w:lang w:val="en-ZA" w:eastAsia="en-ZA"/>
              </w:rPr>
              <w:t>R 72 357.25</w:t>
            </w:r>
          </w:p>
        </w:tc>
      </w:tr>
      <w:tr w:rsidR="00A40177" w:rsidRPr="000966FC" w:rsidTr="00E92724">
        <w:trPr>
          <w:trHeight w:val="300"/>
        </w:trPr>
        <w:tc>
          <w:tcPr>
            <w:tcW w:w="2279" w:type="dxa"/>
            <w:tcBorders>
              <w:top w:val="nil"/>
              <w:left w:val="nil"/>
              <w:bottom w:val="nil"/>
              <w:right w:val="nil"/>
            </w:tcBorders>
            <w:noWrap/>
            <w:vAlign w:val="bottom"/>
          </w:tcPr>
          <w:p w:rsidR="00A40177" w:rsidRPr="000966FC" w:rsidRDefault="00A40177" w:rsidP="00E92724">
            <w:pPr>
              <w:rPr>
                <w:rFonts w:ascii="Calibri" w:hAnsi="Calibri" w:cs="Calibri"/>
                <w:color w:val="000000"/>
                <w:lang w:val="en-ZA" w:eastAsia="en-ZA"/>
              </w:rPr>
            </w:pPr>
            <w:r w:rsidRPr="000966FC">
              <w:rPr>
                <w:rFonts w:ascii="Calibri" w:hAnsi="Calibri" w:cs="Calibri"/>
                <w:color w:val="000000"/>
                <w:sz w:val="22"/>
                <w:szCs w:val="22"/>
                <w:lang w:val="en-ZA" w:eastAsia="en-ZA"/>
              </w:rPr>
              <w:t>Accommodation</w:t>
            </w:r>
          </w:p>
        </w:tc>
        <w:tc>
          <w:tcPr>
            <w:tcW w:w="855" w:type="dxa"/>
            <w:tcBorders>
              <w:top w:val="nil"/>
              <w:left w:val="nil"/>
              <w:bottom w:val="nil"/>
              <w:right w:val="nil"/>
            </w:tcBorders>
            <w:noWrap/>
            <w:vAlign w:val="bottom"/>
          </w:tcPr>
          <w:p w:rsidR="00A40177" w:rsidRPr="000966FC" w:rsidRDefault="00A40177" w:rsidP="00E92724">
            <w:pPr>
              <w:jc w:val="center"/>
              <w:rPr>
                <w:rFonts w:ascii="Calibri" w:hAnsi="Calibri" w:cs="Calibri"/>
                <w:color w:val="000000"/>
                <w:lang w:val="en-ZA" w:eastAsia="en-ZA"/>
              </w:rPr>
            </w:pPr>
            <w:r w:rsidRPr="000966FC">
              <w:rPr>
                <w:rFonts w:ascii="Calibri" w:hAnsi="Calibri" w:cs="Calibri"/>
                <w:color w:val="000000"/>
                <w:sz w:val="22"/>
                <w:szCs w:val="22"/>
                <w:lang w:val="en-ZA" w:eastAsia="en-ZA"/>
              </w:rPr>
              <w:t>8</w:t>
            </w:r>
          </w:p>
        </w:tc>
        <w:tc>
          <w:tcPr>
            <w:tcW w:w="2569" w:type="dxa"/>
            <w:tcBorders>
              <w:top w:val="nil"/>
              <w:left w:val="nil"/>
              <w:bottom w:val="nil"/>
              <w:right w:val="nil"/>
            </w:tcBorders>
            <w:noWrap/>
            <w:vAlign w:val="bottom"/>
          </w:tcPr>
          <w:p w:rsidR="00A40177" w:rsidRPr="000966FC" w:rsidRDefault="00A40177" w:rsidP="00E92724">
            <w:pPr>
              <w:rPr>
                <w:rFonts w:ascii="Arial" w:hAnsi="Arial" w:cs="Arial"/>
                <w:sz w:val="20"/>
                <w:szCs w:val="20"/>
                <w:lang w:val="en-ZA" w:eastAsia="en-ZA"/>
              </w:rPr>
            </w:pPr>
            <w:r w:rsidRPr="000966FC">
              <w:rPr>
                <w:rFonts w:ascii="Arial" w:hAnsi="Arial" w:cs="Arial"/>
                <w:sz w:val="20"/>
                <w:szCs w:val="20"/>
                <w:lang w:val="en-ZA" w:eastAsia="en-ZA"/>
              </w:rPr>
              <w:t>Liability investigation conducted</w:t>
            </w:r>
            <w:r>
              <w:rPr>
                <w:rFonts w:ascii="Arial" w:hAnsi="Arial" w:cs="Arial"/>
                <w:sz w:val="20"/>
                <w:szCs w:val="20"/>
                <w:lang w:val="en-ZA" w:eastAsia="en-ZA"/>
              </w:rPr>
              <w:t xml:space="preserve"> to determine recoverability</w:t>
            </w:r>
          </w:p>
        </w:tc>
        <w:tc>
          <w:tcPr>
            <w:tcW w:w="1400" w:type="dxa"/>
            <w:tcBorders>
              <w:top w:val="nil"/>
              <w:left w:val="nil"/>
              <w:bottom w:val="nil"/>
              <w:right w:val="nil"/>
            </w:tcBorders>
            <w:noWrap/>
            <w:vAlign w:val="bottom"/>
          </w:tcPr>
          <w:p w:rsidR="00A40177" w:rsidRPr="000966FC" w:rsidRDefault="00A40177" w:rsidP="00E92724">
            <w:pPr>
              <w:jc w:val="right"/>
              <w:rPr>
                <w:rFonts w:ascii="Arial" w:hAnsi="Arial" w:cs="Arial"/>
                <w:sz w:val="20"/>
                <w:szCs w:val="20"/>
                <w:lang w:val="en-ZA" w:eastAsia="en-ZA"/>
              </w:rPr>
            </w:pPr>
          </w:p>
        </w:tc>
        <w:tc>
          <w:tcPr>
            <w:tcW w:w="1417" w:type="dxa"/>
            <w:tcBorders>
              <w:top w:val="nil"/>
              <w:left w:val="nil"/>
              <w:bottom w:val="nil"/>
              <w:right w:val="nil"/>
            </w:tcBorders>
            <w:noWrap/>
            <w:vAlign w:val="bottom"/>
          </w:tcPr>
          <w:p w:rsidR="00A40177" w:rsidRPr="000966FC" w:rsidRDefault="00A40177" w:rsidP="00E92724">
            <w:pPr>
              <w:jc w:val="right"/>
              <w:rPr>
                <w:rFonts w:ascii="Calibri" w:hAnsi="Calibri" w:cs="Calibri"/>
                <w:color w:val="000000"/>
                <w:lang w:val="en-ZA" w:eastAsia="en-ZA"/>
              </w:rPr>
            </w:pPr>
            <w:r w:rsidRPr="000966FC">
              <w:rPr>
                <w:rFonts w:ascii="Calibri" w:hAnsi="Calibri" w:cs="Calibri"/>
                <w:color w:val="000000"/>
                <w:sz w:val="22"/>
                <w:szCs w:val="22"/>
                <w:lang w:val="en-ZA" w:eastAsia="en-ZA"/>
              </w:rPr>
              <w:t>R 46 631.00</w:t>
            </w:r>
          </w:p>
        </w:tc>
      </w:tr>
      <w:tr w:rsidR="00A40177" w:rsidRPr="000966FC" w:rsidTr="00E92724">
        <w:trPr>
          <w:trHeight w:val="300"/>
        </w:trPr>
        <w:tc>
          <w:tcPr>
            <w:tcW w:w="2279" w:type="dxa"/>
            <w:tcBorders>
              <w:top w:val="nil"/>
              <w:left w:val="nil"/>
              <w:bottom w:val="nil"/>
              <w:right w:val="nil"/>
            </w:tcBorders>
            <w:noWrap/>
            <w:vAlign w:val="bottom"/>
          </w:tcPr>
          <w:p w:rsidR="00A40177" w:rsidRPr="000966FC" w:rsidRDefault="00A40177" w:rsidP="00E92724">
            <w:pPr>
              <w:rPr>
                <w:rFonts w:ascii="Calibri" w:hAnsi="Calibri" w:cs="Calibri"/>
                <w:color w:val="000000"/>
                <w:lang w:val="en-ZA" w:eastAsia="en-ZA"/>
              </w:rPr>
            </w:pPr>
            <w:r w:rsidRPr="000966FC">
              <w:rPr>
                <w:rFonts w:ascii="Calibri" w:hAnsi="Calibri" w:cs="Calibri"/>
                <w:color w:val="000000"/>
                <w:sz w:val="22"/>
                <w:szCs w:val="22"/>
                <w:lang w:val="en-ZA" w:eastAsia="en-ZA"/>
              </w:rPr>
              <w:t>Air/Bus Tickets</w:t>
            </w:r>
          </w:p>
        </w:tc>
        <w:tc>
          <w:tcPr>
            <w:tcW w:w="855" w:type="dxa"/>
            <w:tcBorders>
              <w:top w:val="nil"/>
              <w:left w:val="nil"/>
              <w:bottom w:val="nil"/>
              <w:right w:val="nil"/>
            </w:tcBorders>
            <w:noWrap/>
            <w:vAlign w:val="bottom"/>
          </w:tcPr>
          <w:p w:rsidR="00A40177" w:rsidRPr="000966FC" w:rsidRDefault="00A40177" w:rsidP="00E92724">
            <w:pPr>
              <w:jc w:val="center"/>
              <w:rPr>
                <w:rFonts w:ascii="Calibri" w:hAnsi="Calibri" w:cs="Calibri"/>
                <w:color w:val="000000"/>
                <w:lang w:val="en-ZA" w:eastAsia="en-ZA"/>
              </w:rPr>
            </w:pPr>
            <w:r w:rsidRPr="000966FC">
              <w:rPr>
                <w:rFonts w:ascii="Calibri" w:hAnsi="Calibri" w:cs="Calibri"/>
                <w:color w:val="000000"/>
                <w:sz w:val="22"/>
                <w:szCs w:val="22"/>
                <w:lang w:val="en-ZA" w:eastAsia="en-ZA"/>
              </w:rPr>
              <w:t>5</w:t>
            </w:r>
          </w:p>
        </w:tc>
        <w:tc>
          <w:tcPr>
            <w:tcW w:w="2569" w:type="dxa"/>
            <w:tcBorders>
              <w:top w:val="nil"/>
              <w:left w:val="nil"/>
              <w:bottom w:val="nil"/>
              <w:right w:val="nil"/>
            </w:tcBorders>
            <w:noWrap/>
            <w:vAlign w:val="bottom"/>
          </w:tcPr>
          <w:p w:rsidR="00A40177" w:rsidRPr="000966FC" w:rsidRDefault="00A40177" w:rsidP="00E92724">
            <w:pPr>
              <w:rPr>
                <w:rFonts w:ascii="Arial" w:hAnsi="Arial" w:cs="Arial"/>
                <w:sz w:val="20"/>
                <w:szCs w:val="20"/>
                <w:lang w:val="en-ZA" w:eastAsia="en-ZA"/>
              </w:rPr>
            </w:pPr>
            <w:r w:rsidRPr="000966FC">
              <w:rPr>
                <w:rFonts w:ascii="Arial" w:hAnsi="Arial" w:cs="Arial"/>
                <w:sz w:val="20"/>
                <w:szCs w:val="20"/>
                <w:lang w:val="en-ZA" w:eastAsia="en-ZA"/>
              </w:rPr>
              <w:t>Liability investigation conducted</w:t>
            </w:r>
            <w:r>
              <w:rPr>
                <w:rFonts w:ascii="Arial" w:hAnsi="Arial" w:cs="Arial"/>
                <w:sz w:val="20"/>
                <w:szCs w:val="20"/>
                <w:lang w:val="en-ZA" w:eastAsia="en-ZA"/>
              </w:rPr>
              <w:t xml:space="preserve"> to determine recoverability</w:t>
            </w:r>
          </w:p>
        </w:tc>
        <w:tc>
          <w:tcPr>
            <w:tcW w:w="1400" w:type="dxa"/>
            <w:tcBorders>
              <w:top w:val="nil"/>
              <w:left w:val="nil"/>
              <w:bottom w:val="nil"/>
              <w:right w:val="nil"/>
            </w:tcBorders>
            <w:noWrap/>
            <w:vAlign w:val="bottom"/>
          </w:tcPr>
          <w:p w:rsidR="00A40177" w:rsidRPr="000966FC" w:rsidRDefault="00A40177" w:rsidP="00E92724">
            <w:pPr>
              <w:jc w:val="right"/>
              <w:rPr>
                <w:rFonts w:ascii="Arial" w:hAnsi="Arial" w:cs="Arial"/>
                <w:sz w:val="20"/>
                <w:szCs w:val="20"/>
                <w:lang w:val="en-ZA" w:eastAsia="en-ZA"/>
              </w:rPr>
            </w:pPr>
          </w:p>
        </w:tc>
        <w:tc>
          <w:tcPr>
            <w:tcW w:w="1417" w:type="dxa"/>
            <w:tcBorders>
              <w:top w:val="nil"/>
              <w:left w:val="nil"/>
              <w:bottom w:val="nil"/>
              <w:right w:val="nil"/>
            </w:tcBorders>
            <w:noWrap/>
            <w:vAlign w:val="bottom"/>
          </w:tcPr>
          <w:p w:rsidR="00A40177" w:rsidRPr="000966FC" w:rsidRDefault="00A40177" w:rsidP="00E92724">
            <w:pPr>
              <w:jc w:val="right"/>
              <w:rPr>
                <w:rFonts w:ascii="Calibri" w:hAnsi="Calibri" w:cs="Calibri"/>
                <w:color w:val="000000"/>
                <w:lang w:val="en-ZA" w:eastAsia="en-ZA"/>
              </w:rPr>
            </w:pPr>
            <w:r w:rsidRPr="000966FC">
              <w:rPr>
                <w:rFonts w:ascii="Calibri" w:hAnsi="Calibri" w:cs="Calibri"/>
                <w:color w:val="000000"/>
                <w:sz w:val="22"/>
                <w:szCs w:val="22"/>
                <w:lang w:val="en-ZA" w:eastAsia="en-ZA"/>
              </w:rPr>
              <w:t>R 1 765.50</w:t>
            </w:r>
          </w:p>
        </w:tc>
      </w:tr>
      <w:tr w:rsidR="00A40177" w:rsidRPr="000966FC" w:rsidTr="00E92724">
        <w:trPr>
          <w:trHeight w:val="300"/>
        </w:trPr>
        <w:tc>
          <w:tcPr>
            <w:tcW w:w="2279" w:type="dxa"/>
            <w:tcBorders>
              <w:top w:val="nil"/>
              <w:left w:val="nil"/>
              <w:bottom w:val="nil"/>
              <w:right w:val="nil"/>
            </w:tcBorders>
            <w:noWrap/>
            <w:vAlign w:val="bottom"/>
          </w:tcPr>
          <w:p w:rsidR="00A40177" w:rsidRPr="000966FC" w:rsidRDefault="00A40177" w:rsidP="00E92724">
            <w:pPr>
              <w:rPr>
                <w:rFonts w:ascii="Calibri" w:hAnsi="Calibri" w:cs="Calibri"/>
                <w:color w:val="000000"/>
                <w:lang w:val="en-ZA" w:eastAsia="en-ZA"/>
              </w:rPr>
            </w:pPr>
            <w:r w:rsidRPr="000966FC">
              <w:rPr>
                <w:rFonts w:ascii="Calibri" w:hAnsi="Calibri" w:cs="Calibri"/>
                <w:color w:val="000000"/>
                <w:sz w:val="22"/>
                <w:szCs w:val="22"/>
                <w:lang w:val="en-ZA" w:eastAsia="en-ZA"/>
              </w:rPr>
              <w:t>Non attending of courses</w:t>
            </w:r>
          </w:p>
        </w:tc>
        <w:tc>
          <w:tcPr>
            <w:tcW w:w="855" w:type="dxa"/>
            <w:tcBorders>
              <w:top w:val="nil"/>
              <w:left w:val="nil"/>
              <w:bottom w:val="nil"/>
              <w:right w:val="nil"/>
            </w:tcBorders>
            <w:noWrap/>
            <w:vAlign w:val="bottom"/>
          </w:tcPr>
          <w:p w:rsidR="00A40177" w:rsidRPr="000966FC" w:rsidRDefault="00A40177" w:rsidP="00E92724">
            <w:pPr>
              <w:jc w:val="center"/>
              <w:rPr>
                <w:rFonts w:ascii="Calibri" w:hAnsi="Calibri" w:cs="Calibri"/>
                <w:color w:val="000000"/>
                <w:lang w:val="en-ZA" w:eastAsia="en-ZA"/>
              </w:rPr>
            </w:pPr>
            <w:r w:rsidRPr="000966FC">
              <w:rPr>
                <w:rFonts w:ascii="Calibri" w:hAnsi="Calibri" w:cs="Calibri"/>
                <w:color w:val="000000"/>
                <w:sz w:val="22"/>
                <w:szCs w:val="22"/>
                <w:lang w:val="en-ZA" w:eastAsia="en-ZA"/>
              </w:rPr>
              <w:t>4</w:t>
            </w:r>
          </w:p>
        </w:tc>
        <w:tc>
          <w:tcPr>
            <w:tcW w:w="2569" w:type="dxa"/>
            <w:tcBorders>
              <w:top w:val="nil"/>
              <w:left w:val="nil"/>
              <w:bottom w:val="nil"/>
              <w:right w:val="nil"/>
            </w:tcBorders>
            <w:noWrap/>
            <w:vAlign w:val="bottom"/>
          </w:tcPr>
          <w:p w:rsidR="00A40177" w:rsidRPr="000966FC" w:rsidRDefault="00A40177" w:rsidP="00E92724">
            <w:pPr>
              <w:rPr>
                <w:rFonts w:ascii="Arial" w:hAnsi="Arial" w:cs="Arial"/>
                <w:sz w:val="20"/>
                <w:szCs w:val="20"/>
                <w:lang w:val="en-ZA" w:eastAsia="en-ZA"/>
              </w:rPr>
            </w:pPr>
            <w:r w:rsidRPr="000966FC">
              <w:rPr>
                <w:rFonts w:ascii="Arial" w:hAnsi="Arial" w:cs="Arial"/>
                <w:sz w:val="20"/>
                <w:szCs w:val="20"/>
                <w:lang w:val="en-ZA" w:eastAsia="en-ZA"/>
              </w:rPr>
              <w:t>Liability investigation conducted</w:t>
            </w:r>
            <w:r>
              <w:rPr>
                <w:rFonts w:ascii="Arial" w:hAnsi="Arial" w:cs="Arial"/>
                <w:sz w:val="20"/>
                <w:szCs w:val="20"/>
                <w:lang w:val="en-ZA" w:eastAsia="en-ZA"/>
              </w:rPr>
              <w:t xml:space="preserve"> to determine recoverability</w:t>
            </w:r>
          </w:p>
        </w:tc>
        <w:tc>
          <w:tcPr>
            <w:tcW w:w="1400" w:type="dxa"/>
            <w:tcBorders>
              <w:top w:val="nil"/>
              <w:left w:val="nil"/>
              <w:bottom w:val="nil"/>
              <w:right w:val="nil"/>
            </w:tcBorders>
            <w:vAlign w:val="bottom"/>
          </w:tcPr>
          <w:p w:rsidR="00A40177" w:rsidRPr="000966FC" w:rsidRDefault="00A40177" w:rsidP="00E92724">
            <w:pPr>
              <w:jc w:val="right"/>
              <w:rPr>
                <w:rFonts w:ascii="Arial" w:hAnsi="Arial" w:cs="Arial"/>
                <w:sz w:val="20"/>
                <w:szCs w:val="20"/>
                <w:lang w:val="en-ZA" w:eastAsia="en-ZA"/>
              </w:rPr>
            </w:pPr>
            <w:r w:rsidRPr="000966FC">
              <w:rPr>
                <w:rFonts w:ascii="Arial" w:hAnsi="Arial" w:cs="Arial"/>
                <w:sz w:val="20"/>
                <w:szCs w:val="20"/>
                <w:lang w:val="en-ZA" w:eastAsia="en-ZA"/>
              </w:rPr>
              <w:t>R 590.00</w:t>
            </w:r>
          </w:p>
        </w:tc>
        <w:tc>
          <w:tcPr>
            <w:tcW w:w="1417" w:type="dxa"/>
            <w:tcBorders>
              <w:top w:val="nil"/>
              <w:left w:val="nil"/>
              <w:bottom w:val="nil"/>
              <w:right w:val="nil"/>
            </w:tcBorders>
            <w:noWrap/>
            <w:vAlign w:val="bottom"/>
          </w:tcPr>
          <w:p w:rsidR="00A40177" w:rsidRPr="000966FC" w:rsidRDefault="00A40177" w:rsidP="00E92724">
            <w:pPr>
              <w:jc w:val="right"/>
              <w:rPr>
                <w:rFonts w:ascii="Calibri" w:hAnsi="Calibri" w:cs="Calibri"/>
                <w:color w:val="000000"/>
                <w:lang w:val="en-ZA" w:eastAsia="en-ZA"/>
              </w:rPr>
            </w:pPr>
            <w:r w:rsidRPr="000966FC">
              <w:rPr>
                <w:rFonts w:ascii="Calibri" w:hAnsi="Calibri" w:cs="Calibri"/>
                <w:color w:val="000000"/>
                <w:sz w:val="22"/>
                <w:szCs w:val="22"/>
                <w:lang w:val="en-ZA" w:eastAsia="en-ZA"/>
              </w:rPr>
              <w:t>R 2 474.00</w:t>
            </w:r>
          </w:p>
        </w:tc>
      </w:tr>
      <w:tr w:rsidR="00A40177" w:rsidRPr="000966FC" w:rsidTr="00E92724">
        <w:trPr>
          <w:trHeight w:val="300"/>
        </w:trPr>
        <w:tc>
          <w:tcPr>
            <w:tcW w:w="2279" w:type="dxa"/>
            <w:tcBorders>
              <w:top w:val="nil"/>
              <w:left w:val="nil"/>
              <w:bottom w:val="nil"/>
              <w:right w:val="nil"/>
            </w:tcBorders>
            <w:noWrap/>
            <w:vAlign w:val="bottom"/>
          </w:tcPr>
          <w:p w:rsidR="00A40177" w:rsidRPr="000966FC" w:rsidRDefault="00A40177" w:rsidP="00E92724">
            <w:pPr>
              <w:rPr>
                <w:rFonts w:ascii="Calibri" w:hAnsi="Calibri" w:cs="Calibri"/>
                <w:color w:val="000000"/>
                <w:lang w:val="en-ZA" w:eastAsia="en-ZA"/>
              </w:rPr>
            </w:pPr>
            <w:r w:rsidRPr="000966FC">
              <w:rPr>
                <w:rFonts w:ascii="Calibri" w:hAnsi="Calibri" w:cs="Calibri"/>
                <w:color w:val="000000"/>
                <w:sz w:val="22"/>
                <w:szCs w:val="22"/>
                <w:lang w:val="en-ZA" w:eastAsia="en-ZA"/>
              </w:rPr>
              <w:t>Incorrect Payment</w:t>
            </w:r>
          </w:p>
        </w:tc>
        <w:tc>
          <w:tcPr>
            <w:tcW w:w="855" w:type="dxa"/>
            <w:tcBorders>
              <w:top w:val="nil"/>
              <w:left w:val="nil"/>
              <w:bottom w:val="nil"/>
              <w:right w:val="nil"/>
            </w:tcBorders>
            <w:noWrap/>
            <w:vAlign w:val="bottom"/>
          </w:tcPr>
          <w:p w:rsidR="00A40177" w:rsidRPr="000966FC" w:rsidRDefault="00A40177" w:rsidP="00E92724">
            <w:pPr>
              <w:jc w:val="center"/>
              <w:rPr>
                <w:rFonts w:ascii="Calibri" w:hAnsi="Calibri" w:cs="Calibri"/>
                <w:color w:val="000000"/>
                <w:lang w:val="en-ZA" w:eastAsia="en-ZA"/>
              </w:rPr>
            </w:pPr>
            <w:r w:rsidRPr="000966FC">
              <w:rPr>
                <w:rFonts w:ascii="Calibri" w:hAnsi="Calibri" w:cs="Calibri"/>
                <w:color w:val="000000"/>
                <w:sz w:val="22"/>
                <w:szCs w:val="22"/>
                <w:lang w:val="en-ZA" w:eastAsia="en-ZA"/>
              </w:rPr>
              <w:t>1</w:t>
            </w:r>
          </w:p>
        </w:tc>
        <w:tc>
          <w:tcPr>
            <w:tcW w:w="2569" w:type="dxa"/>
            <w:tcBorders>
              <w:top w:val="nil"/>
              <w:left w:val="nil"/>
              <w:bottom w:val="nil"/>
              <w:right w:val="nil"/>
            </w:tcBorders>
            <w:noWrap/>
            <w:vAlign w:val="bottom"/>
          </w:tcPr>
          <w:p w:rsidR="00A40177" w:rsidRPr="000966FC" w:rsidRDefault="00A40177" w:rsidP="00E92724">
            <w:pPr>
              <w:rPr>
                <w:rFonts w:ascii="Arial" w:hAnsi="Arial" w:cs="Arial"/>
                <w:sz w:val="20"/>
                <w:szCs w:val="20"/>
                <w:lang w:val="en-ZA" w:eastAsia="en-ZA"/>
              </w:rPr>
            </w:pPr>
            <w:r w:rsidRPr="000966FC">
              <w:rPr>
                <w:rFonts w:ascii="Arial" w:hAnsi="Arial" w:cs="Arial"/>
                <w:sz w:val="20"/>
                <w:szCs w:val="20"/>
                <w:lang w:val="en-ZA" w:eastAsia="en-ZA"/>
              </w:rPr>
              <w:t>Liability investigation conducted</w:t>
            </w:r>
            <w:r>
              <w:rPr>
                <w:rFonts w:ascii="Arial" w:hAnsi="Arial" w:cs="Arial"/>
                <w:sz w:val="20"/>
                <w:szCs w:val="20"/>
                <w:lang w:val="en-ZA" w:eastAsia="en-ZA"/>
              </w:rPr>
              <w:t xml:space="preserve"> to determine recoverability</w:t>
            </w:r>
          </w:p>
        </w:tc>
        <w:tc>
          <w:tcPr>
            <w:tcW w:w="1400" w:type="dxa"/>
            <w:tcBorders>
              <w:top w:val="nil"/>
              <w:left w:val="nil"/>
              <w:bottom w:val="nil"/>
              <w:right w:val="nil"/>
            </w:tcBorders>
            <w:noWrap/>
            <w:vAlign w:val="bottom"/>
          </w:tcPr>
          <w:p w:rsidR="00A40177" w:rsidRPr="000966FC" w:rsidRDefault="00A40177" w:rsidP="00E92724">
            <w:pPr>
              <w:jc w:val="right"/>
              <w:rPr>
                <w:rFonts w:ascii="Arial" w:hAnsi="Arial" w:cs="Arial"/>
                <w:sz w:val="20"/>
                <w:szCs w:val="20"/>
                <w:lang w:val="en-ZA" w:eastAsia="en-ZA"/>
              </w:rPr>
            </w:pPr>
          </w:p>
        </w:tc>
        <w:tc>
          <w:tcPr>
            <w:tcW w:w="1417" w:type="dxa"/>
            <w:tcBorders>
              <w:top w:val="nil"/>
              <w:left w:val="nil"/>
              <w:bottom w:val="nil"/>
              <w:right w:val="nil"/>
            </w:tcBorders>
            <w:noWrap/>
            <w:vAlign w:val="bottom"/>
          </w:tcPr>
          <w:p w:rsidR="00A40177" w:rsidRPr="000966FC" w:rsidRDefault="00A40177" w:rsidP="00E92724">
            <w:pPr>
              <w:jc w:val="right"/>
              <w:rPr>
                <w:rFonts w:ascii="Calibri" w:hAnsi="Calibri" w:cs="Calibri"/>
                <w:color w:val="000000"/>
                <w:lang w:val="en-ZA" w:eastAsia="en-ZA"/>
              </w:rPr>
            </w:pPr>
            <w:r w:rsidRPr="000966FC">
              <w:rPr>
                <w:rFonts w:ascii="Calibri" w:hAnsi="Calibri" w:cs="Calibri"/>
                <w:color w:val="000000"/>
                <w:sz w:val="22"/>
                <w:szCs w:val="22"/>
                <w:lang w:val="en-ZA" w:eastAsia="en-ZA"/>
              </w:rPr>
              <w:t>R 14 443.71</w:t>
            </w:r>
          </w:p>
        </w:tc>
      </w:tr>
      <w:tr w:rsidR="00A40177" w:rsidRPr="000966FC" w:rsidTr="00E92724">
        <w:trPr>
          <w:trHeight w:val="300"/>
        </w:trPr>
        <w:tc>
          <w:tcPr>
            <w:tcW w:w="2279" w:type="dxa"/>
            <w:tcBorders>
              <w:top w:val="nil"/>
              <w:left w:val="nil"/>
              <w:bottom w:val="nil"/>
              <w:right w:val="nil"/>
            </w:tcBorders>
            <w:noWrap/>
            <w:vAlign w:val="bottom"/>
          </w:tcPr>
          <w:p w:rsidR="00A40177" w:rsidRPr="000966FC" w:rsidRDefault="00A40177" w:rsidP="00E92724">
            <w:pPr>
              <w:rPr>
                <w:rFonts w:ascii="Arial" w:hAnsi="Arial" w:cs="Arial"/>
                <w:sz w:val="20"/>
                <w:szCs w:val="20"/>
                <w:lang w:val="en-ZA" w:eastAsia="en-ZA"/>
              </w:rPr>
            </w:pPr>
            <w:r w:rsidRPr="000966FC">
              <w:rPr>
                <w:rFonts w:ascii="Arial" w:hAnsi="Arial" w:cs="Arial"/>
                <w:sz w:val="20"/>
                <w:szCs w:val="20"/>
                <w:lang w:val="en-ZA" w:eastAsia="en-ZA"/>
              </w:rPr>
              <w:t>Penalty Municipal Account</w:t>
            </w:r>
          </w:p>
        </w:tc>
        <w:tc>
          <w:tcPr>
            <w:tcW w:w="855" w:type="dxa"/>
            <w:tcBorders>
              <w:top w:val="nil"/>
              <w:left w:val="nil"/>
              <w:bottom w:val="nil"/>
              <w:right w:val="nil"/>
            </w:tcBorders>
            <w:noWrap/>
            <w:vAlign w:val="bottom"/>
          </w:tcPr>
          <w:p w:rsidR="00A40177" w:rsidRPr="000966FC" w:rsidRDefault="00A40177" w:rsidP="00E92724">
            <w:pPr>
              <w:jc w:val="center"/>
              <w:rPr>
                <w:rFonts w:ascii="Calibri" w:hAnsi="Calibri" w:cs="Calibri"/>
                <w:color w:val="000000"/>
                <w:lang w:val="en-ZA" w:eastAsia="en-ZA"/>
              </w:rPr>
            </w:pPr>
            <w:r w:rsidRPr="000966FC">
              <w:rPr>
                <w:rFonts w:ascii="Calibri" w:hAnsi="Calibri" w:cs="Calibri"/>
                <w:color w:val="000000"/>
                <w:sz w:val="22"/>
                <w:szCs w:val="22"/>
                <w:lang w:val="en-ZA" w:eastAsia="en-ZA"/>
              </w:rPr>
              <w:t>1</w:t>
            </w:r>
          </w:p>
        </w:tc>
        <w:tc>
          <w:tcPr>
            <w:tcW w:w="2569" w:type="dxa"/>
            <w:tcBorders>
              <w:top w:val="nil"/>
              <w:left w:val="nil"/>
              <w:bottom w:val="nil"/>
              <w:right w:val="nil"/>
            </w:tcBorders>
            <w:noWrap/>
            <w:vAlign w:val="bottom"/>
          </w:tcPr>
          <w:p w:rsidR="00A40177" w:rsidRPr="000966FC" w:rsidRDefault="00A40177" w:rsidP="00E92724">
            <w:pPr>
              <w:rPr>
                <w:rFonts w:ascii="Arial" w:hAnsi="Arial" w:cs="Arial"/>
                <w:sz w:val="20"/>
                <w:szCs w:val="20"/>
                <w:lang w:val="en-ZA" w:eastAsia="en-ZA"/>
              </w:rPr>
            </w:pPr>
            <w:r w:rsidRPr="000966FC">
              <w:rPr>
                <w:rFonts w:ascii="Arial" w:hAnsi="Arial" w:cs="Arial"/>
                <w:sz w:val="20"/>
                <w:szCs w:val="20"/>
                <w:lang w:val="en-ZA" w:eastAsia="en-ZA"/>
              </w:rPr>
              <w:t>Liability investigation conducted</w:t>
            </w:r>
            <w:r>
              <w:rPr>
                <w:rFonts w:ascii="Arial" w:hAnsi="Arial" w:cs="Arial"/>
                <w:sz w:val="20"/>
                <w:szCs w:val="20"/>
                <w:lang w:val="en-ZA" w:eastAsia="en-ZA"/>
              </w:rPr>
              <w:t xml:space="preserve"> to determine recoverability</w:t>
            </w:r>
          </w:p>
        </w:tc>
        <w:tc>
          <w:tcPr>
            <w:tcW w:w="1400" w:type="dxa"/>
            <w:tcBorders>
              <w:top w:val="nil"/>
              <w:left w:val="nil"/>
              <w:bottom w:val="nil"/>
              <w:right w:val="nil"/>
            </w:tcBorders>
            <w:noWrap/>
            <w:vAlign w:val="bottom"/>
          </w:tcPr>
          <w:p w:rsidR="00A40177" w:rsidRPr="000966FC" w:rsidRDefault="00A40177" w:rsidP="00E92724">
            <w:pPr>
              <w:jc w:val="right"/>
              <w:rPr>
                <w:rFonts w:ascii="Arial" w:hAnsi="Arial" w:cs="Arial"/>
                <w:sz w:val="20"/>
                <w:szCs w:val="20"/>
                <w:lang w:val="en-ZA" w:eastAsia="en-ZA"/>
              </w:rPr>
            </w:pPr>
          </w:p>
        </w:tc>
        <w:tc>
          <w:tcPr>
            <w:tcW w:w="1417" w:type="dxa"/>
            <w:tcBorders>
              <w:top w:val="nil"/>
              <w:left w:val="nil"/>
              <w:bottom w:val="nil"/>
              <w:right w:val="nil"/>
            </w:tcBorders>
            <w:noWrap/>
            <w:vAlign w:val="bottom"/>
          </w:tcPr>
          <w:p w:rsidR="00A40177" w:rsidRPr="000966FC" w:rsidRDefault="00A40177" w:rsidP="00E92724">
            <w:pPr>
              <w:jc w:val="right"/>
              <w:rPr>
                <w:rFonts w:ascii="Calibri" w:hAnsi="Calibri" w:cs="Calibri"/>
                <w:color w:val="000000"/>
                <w:lang w:val="en-ZA" w:eastAsia="en-ZA"/>
              </w:rPr>
            </w:pPr>
            <w:r w:rsidRPr="000966FC">
              <w:rPr>
                <w:rFonts w:ascii="Calibri" w:hAnsi="Calibri" w:cs="Calibri"/>
                <w:color w:val="000000"/>
                <w:sz w:val="22"/>
                <w:szCs w:val="22"/>
                <w:lang w:val="en-ZA" w:eastAsia="en-ZA"/>
              </w:rPr>
              <w:t>R 2 000.00</w:t>
            </w:r>
          </w:p>
        </w:tc>
      </w:tr>
      <w:tr w:rsidR="00A40177" w:rsidRPr="000966FC" w:rsidTr="00E92724">
        <w:trPr>
          <w:trHeight w:val="300"/>
        </w:trPr>
        <w:tc>
          <w:tcPr>
            <w:tcW w:w="2279" w:type="dxa"/>
            <w:tcBorders>
              <w:top w:val="nil"/>
              <w:left w:val="nil"/>
              <w:bottom w:val="nil"/>
              <w:right w:val="nil"/>
            </w:tcBorders>
            <w:noWrap/>
            <w:vAlign w:val="bottom"/>
          </w:tcPr>
          <w:p w:rsidR="00A40177" w:rsidRPr="000966FC" w:rsidRDefault="00A40177" w:rsidP="00E92724">
            <w:pPr>
              <w:rPr>
                <w:rFonts w:ascii="Calibri" w:hAnsi="Calibri" w:cs="Calibri"/>
                <w:color w:val="000000"/>
                <w:lang w:val="en-ZA" w:eastAsia="en-ZA"/>
              </w:rPr>
            </w:pPr>
            <w:r w:rsidRPr="000966FC">
              <w:rPr>
                <w:rFonts w:ascii="Calibri" w:hAnsi="Calibri" w:cs="Calibri"/>
                <w:color w:val="000000"/>
                <w:sz w:val="22"/>
                <w:szCs w:val="22"/>
                <w:lang w:val="en-ZA" w:eastAsia="en-ZA"/>
              </w:rPr>
              <w:t>Telecommunications</w:t>
            </w:r>
          </w:p>
        </w:tc>
        <w:tc>
          <w:tcPr>
            <w:tcW w:w="855" w:type="dxa"/>
            <w:tcBorders>
              <w:top w:val="nil"/>
              <w:left w:val="nil"/>
              <w:bottom w:val="nil"/>
              <w:right w:val="nil"/>
            </w:tcBorders>
            <w:noWrap/>
            <w:vAlign w:val="bottom"/>
          </w:tcPr>
          <w:p w:rsidR="00A40177" w:rsidRPr="000966FC" w:rsidRDefault="00A40177" w:rsidP="00E92724">
            <w:pPr>
              <w:jc w:val="center"/>
              <w:rPr>
                <w:rFonts w:ascii="Calibri" w:hAnsi="Calibri" w:cs="Calibri"/>
                <w:color w:val="000000"/>
                <w:lang w:val="en-ZA" w:eastAsia="en-ZA"/>
              </w:rPr>
            </w:pPr>
            <w:r w:rsidRPr="000966FC">
              <w:rPr>
                <w:rFonts w:ascii="Calibri" w:hAnsi="Calibri" w:cs="Calibri"/>
                <w:color w:val="000000"/>
                <w:sz w:val="22"/>
                <w:szCs w:val="22"/>
                <w:lang w:val="en-ZA" w:eastAsia="en-ZA"/>
              </w:rPr>
              <w:t>1</w:t>
            </w:r>
          </w:p>
        </w:tc>
        <w:tc>
          <w:tcPr>
            <w:tcW w:w="2569" w:type="dxa"/>
            <w:tcBorders>
              <w:top w:val="nil"/>
              <w:left w:val="nil"/>
              <w:bottom w:val="nil"/>
              <w:right w:val="nil"/>
            </w:tcBorders>
            <w:noWrap/>
            <w:vAlign w:val="bottom"/>
          </w:tcPr>
          <w:p w:rsidR="00A40177" w:rsidRPr="000966FC" w:rsidRDefault="00A40177" w:rsidP="00E92724">
            <w:pPr>
              <w:rPr>
                <w:rFonts w:ascii="Arial" w:hAnsi="Arial" w:cs="Arial"/>
                <w:sz w:val="20"/>
                <w:szCs w:val="20"/>
                <w:lang w:val="en-ZA" w:eastAsia="en-ZA"/>
              </w:rPr>
            </w:pPr>
            <w:r w:rsidRPr="000966FC">
              <w:rPr>
                <w:rFonts w:ascii="Arial" w:hAnsi="Arial" w:cs="Arial"/>
                <w:sz w:val="20"/>
                <w:szCs w:val="20"/>
                <w:lang w:val="en-ZA" w:eastAsia="en-ZA"/>
              </w:rPr>
              <w:t>Liability investigation conducted</w:t>
            </w:r>
            <w:r>
              <w:rPr>
                <w:rFonts w:ascii="Arial" w:hAnsi="Arial" w:cs="Arial"/>
                <w:sz w:val="20"/>
                <w:szCs w:val="20"/>
                <w:lang w:val="en-ZA" w:eastAsia="en-ZA"/>
              </w:rPr>
              <w:t xml:space="preserve"> to determine recoverability</w:t>
            </w:r>
          </w:p>
        </w:tc>
        <w:tc>
          <w:tcPr>
            <w:tcW w:w="1400" w:type="dxa"/>
            <w:tcBorders>
              <w:top w:val="nil"/>
              <w:left w:val="nil"/>
              <w:bottom w:val="nil"/>
              <w:right w:val="nil"/>
            </w:tcBorders>
            <w:noWrap/>
            <w:vAlign w:val="bottom"/>
          </w:tcPr>
          <w:p w:rsidR="00A40177" w:rsidRPr="000966FC" w:rsidRDefault="00A40177" w:rsidP="00E92724">
            <w:pPr>
              <w:jc w:val="right"/>
              <w:rPr>
                <w:rFonts w:ascii="Arial" w:hAnsi="Arial" w:cs="Arial"/>
                <w:sz w:val="20"/>
                <w:szCs w:val="20"/>
                <w:lang w:val="en-ZA" w:eastAsia="en-ZA"/>
              </w:rPr>
            </w:pPr>
          </w:p>
        </w:tc>
        <w:tc>
          <w:tcPr>
            <w:tcW w:w="1417" w:type="dxa"/>
            <w:tcBorders>
              <w:top w:val="nil"/>
              <w:left w:val="nil"/>
              <w:bottom w:val="nil"/>
              <w:right w:val="nil"/>
            </w:tcBorders>
            <w:noWrap/>
            <w:vAlign w:val="bottom"/>
          </w:tcPr>
          <w:p w:rsidR="00A40177" w:rsidRPr="000966FC" w:rsidRDefault="00A40177" w:rsidP="00E92724">
            <w:pPr>
              <w:jc w:val="right"/>
              <w:rPr>
                <w:rFonts w:ascii="Calibri" w:hAnsi="Calibri" w:cs="Calibri"/>
                <w:color w:val="000000"/>
                <w:lang w:val="en-ZA" w:eastAsia="en-ZA"/>
              </w:rPr>
            </w:pPr>
            <w:r w:rsidRPr="000966FC">
              <w:rPr>
                <w:rFonts w:ascii="Calibri" w:hAnsi="Calibri" w:cs="Calibri"/>
                <w:color w:val="000000"/>
                <w:sz w:val="22"/>
                <w:szCs w:val="22"/>
                <w:lang w:val="en-ZA" w:eastAsia="en-ZA"/>
              </w:rPr>
              <w:t>R 1 122.30</w:t>
            </w:r>
          </w:p>
        </w:tc>
      </w:tr>
      <w:tr w:rsidR="00A40177" w:rsidRPr="000966FC" w:rsidTr="00E92724">
        <w:trPr>
          <w:trHeight w:val="315"/>
        </w:trPr>
        <w:tc>
          <w:tcPr>
            <w:tcW w:w="2279" w:type="dxa"/>
            <w:tcBorders>
              <w:top w:val="nil"/>
              <w:left w:val="nil"/>
              <w:bottom w:val="nil"/>
              <w:right w:val="nil"/>
            </w:tcBorders>
            <w:noWrap/>
            <w:vAlign w:val="bottom"/>
          </w:tcPr>
          <w:p w:rsidR="00A40177" w:rsidRPr="000966FC" w:rsidRDefault="00A40177" w:rsidP="00E92724">
            <w:pPr>
              <w:rPr>
                <w:rFonts w:ascii="Arial" w:hAnsi="Arial" w:cs="Arial"/>
                <w:b/>
                <w:bCs/>
                <w:sz w:val="20"/>
                <w:szCs w:val="20"/>
                <w:lang w:val="en-ZA" w:eastAsia="en-ZA"/>
              </w:rPr>
            </w:pPr>
            <w:r w:rsidRPr="000966FC">
              <w:rPr>
                <w:rFonts w:ascii="Arial" w:hAnsi="Arial" w:cs="Arial"/>
                <w:b/>
                <w:bCs/>
                <w:sz w:val="20"/>
                <w:szCs w:val="20"/>
                <w:lang w:val="en-ZA" w:eastAsia="en-ZA"/>
              </w:rPr>
              <w:t>Total</w:t>
            </w:r>
          </w:p>
        </w:tc>
        <w:tc>
          <w:tcPr>
            <w:tcW w:w="855" w:type="dxa"/>
            <w:tcBorders>
              <w:top w:val="nil"/>
              <w:left w:val="nil"/>
              <w:bottom w:val="nil"/>
              <w:right w:val="nil"/>
            </w:tcBorders>
            <w:noWrap/>
            <w:vAlign w:val="bottom"/>
          </w:tcPr>
          <w:p w:rsidR="00A40177" w:rsidRPr="00D770C9" w:rsidRDefault="00A40177" w:rsidP="00E92724">
            <w:pPr>
              <w:jc w:val="center"/>
              <w:rPr>
                <w:rFonts w:ascii="Calibri" w:hAnsi="Calibri" w:cs="Calibri"/>
                <w:b/>
                <w:color w:val="000000"/>
                <w:lang w:val="en-ZA" w:eastAsia="en-ZA"/>
              </w:rPr>
            </w:pPr>
            <w:r w:rsidRPr="00D770C9">
              <w:rPr>
                <w:rFonts w:ascii="Calibri" w:hAnsi="Calibri" w:cs="Calibri"/>
                <w:b/>
                <w:color w:val="000000"/>
                <w:sz w:val="22"/>
                <w:szCs w:val="22"/>
                <w:lang w:val="en-ZA" w:eastAsia="en-ZA"/>
              </w:rPr>
              <w:t>62</w:t>
            </w:r>
          </w:p>
        </w:tc>
        <w:tc>
          <w:tcPr>
            <w:tcW w:w="2569" w:type="dxa"/>
            <w:tcBorders>
              <w:top w:val="nil"/>
              <w:left w:val="nil"/>
              <w:bottom w:val="nil"/>
              <w:right w:val="nil"/>
            </w:tcBorders>
            <w:noWrap/>
            <w:vAlign w:val="bottom"/>
          </w:tcPr>
          <w:p w:rsidR="00A40177" w:rsidRPr="000966FC" w:rsidRDefault="00A40177" w:rsidP="00E92724">
            <w:pPr>
              <w:rPr>
                <w:rFonts w:ascii="Arial" w:hAnsi="Arial" w:cs="Arial"/>
                <w:b/>
                <w:bCs/>
                <w:sz w:val="20"/>
                <w:szCs w:val="20"/>
                <w:lang w:val="en-ZA" w:eastAsia="en-ZA"/>
              </w:rPr>
            </w:pPr>
          </w:p>
        </w:tc>
        <w:tc>
          <w:tcPr>
            <w:tcW w:w="1400" w:type="dxa"/>
            <w:tcBorders>
              <w:top w:val="single" w:sz="4" w:space="0" w:color="auto"/>
              <w:left w:val="nil"/>
              <w:bottom w:val="double" w:sz="6" w:space="0" w:color="auto"/>
              <w:right w:val="nil"/>
            </w:tcBorders>
            <w:noWrap/>
            <w:vAlign w:val="bottom"/>
          </w:tcPr>
          <w:p w:rsidR="00A40177" w:rsidRPr="000966FC" w:rsidRDefault="00A40177" w:rsidP="00E92724">
            <w:pPr>
              <w:jc w:val="right"/>
              <w:rPr>
                <w:rFonts w:ascii="Arial" w:hAnsi="Arial" w:cs="Arial"/>
                <w:b/>
                <w:bCs/>
                <w:sz w:val="20"/>
                <w:szCs w:val="20"/>
                <w:lang w:val="en-ZA" w:eastAsia="en-ZA"/>
              </w:rPr>
            </w:pPr>
            <w:r w:rsidRPr="000966FC">
              <w:rPr>
                <w:rFonts w:ascii="Arial" w:hAnsi="Arial" w:cs="Arial"/>
                <w:b/>
                <w:bCs/>
                <w:sz w:val="20"/>
                <w:szCs w:val="20"/>
                <w:lang w:val="en-ZA" w:eastAsia="en-ZA"/>
              </w:rPr>
              <w:t>R 2 412.80</w:t>
            </w:r>
          </w:p>
        </w:tc>
        <w:tc>
          <w:tcPr>
            <w:tcW w:w="1417" w:type="dxa"/>
            <w:tcBorders>
              <w:top w:val="single" w:sz="4" w:space="0" w:color="auto"/>
              <w:left w:val="nil"/>
              <w:bottom w:val="double" w:sz="6" w:space="0" w:color="auto"/>
              <w:right w:val="nil"/>
            </w:tcBorders>
            <w:noWrap/>
            <w:vAlign w:val="bottom"/>
          </w:tcPr>
          <w:p w:rsidR="00A40177" w:rsidRPr="000966FC" w:rsidRDefault="00A40177" w:rsidP="00E92724">
            <w:pPr>
              <w:jc w:val="right"/>
              <w:rPr>
                <w:rFonts w:ascii="Arial" w:hAnsi="Arial" w:cs="Arial"/>
                <w:b/>
                <w:bCs/>
                <w:sz w:val="20"/>
                <w:szCs w:val="20"/>
                <w:lang w:val="en-ZA" w:eastAsia="en-ZA"/>
              </w:rPr>
            </w:pPr>
            <w:r w:rsidRPr="000966FC">
              <w:rPr>
                <w:rFonts w:ascii="Arial" w:hAnsi="Arial" w:cs="Arial"/>
                <w:b/>
                <w:bCs/>
                <w:sz w:val="20"/>
                <w:szCs w:val="20"/>
                <w:lang w:val="en-ZA" w:eastAsia="en-ZA"/>
              </w:rPr>
              <w:t>R 140 793.76</w:t>
            </w:r>
          </w:p>
        </w:tc>
      </w:tr>
    </w:tbl>
    <w:p w:rsidR="00A40177" w:rsidRDefault="00A40177" w:rsidP="00D5245E">
      <w:pPr>
        <w:spacing w:before="100" w:beforeAutospacing="1" w:after="100" w:afterAutospacing="1"/>
        <w:jc w:val="both"/>
        <w:outlineLvl w:val="0"/>
        <w:rPr>
          <w:rFonts w:ascii="Arial" w:hAnsi="Arial" w:cs="Arial"/>
        </w:rPr>
      </w:pPr>
    </w:p>
    <w:p w:rsidR="00A40177" w:rsidRPr="003E262F" w:rsidRDefault="00A40177" w:rsidP="00D5245E">
      <w:pPr>
        <w:spacing w:before="100" w:beforeAutospacing="1" w:after="100" w:afterAutospacing="1"/>
        <w:jc w:val="both"/>
        <w:outlineLvl w:val="0"/>
        <w:rPr>
          <w:rFonts w:ascii="Arial" w:hAnsi="Arial" w:cs="Arial"/>
        </w:rPr>
      </w:pPr>
      <w:r w:rsidRPr="003E262F">
        <w:rPr>
          <w:rFonts w:ascii="Arial" w:hAnsi="Arial" w:cs="Arial"/>
        </w:rPr>
        <w:t>For the period 1 April 2015 to date no expenditure was found to be fruitless and wasteful expenditure.</w:t>
      </w:r>
    </w:p>
    <w:p w:rsidR="00A40177" w:rsidRDefault="00A40177" w:rsidP="00D5245E">
      <w:pPr>
        <w:spacing w:before="100" w:beforeAutospacing="1" w:after="100" w:afterAutospacing="1"/>
        <w:jc w:val="both"/>
        <w:outlineLvl w:val="0"/>
        <w:rPr>
          <w:rFonts w:ascii="Arial" w:hAnsi="Arial" w:cs="Arial"/>
        </w:rPr>
      </w:pPr>
      <w:r>
        <w:rPr>
          <w:rFonts w:ascii="Arial" w:hAnsi="Arial" w:cs="Arial"/>
        </w:rPr>
        <w:t>In respect of fruitless and wasteful expenditure, the outcome of a liability investigation being conducted to determine recoverability can result in the following:</w:t>
      </w:r>
    </w:p>
    <w:p w:rsidR="00A40177" w:rsidRDefault="00A40177" w:rsidP="00D5245E">
      <w:pPr>
        <w:pStyle w:val="ListParagraph"/>
        <w:numPr>
          <w:ilvl w:val="0"/>
          <w:numId w:val="1"/>
        </w:numPr>
        <w:spacing w:before="100" w:beforeAutospacing="1" w:after="100" w:afterAutospacing="1"/>
        <w:jc w:val="both"/>
        <w:outlineLvl w:val="0"/>
        <w:rPr>
          <w:rFonts w:ascii="Arial" w:hAnsi="Arial" w:cs="Arial"/>
        </w:rPr>
      </w:pPr>
      <w:r>
        <w:rPr>
          <w:rFonts w:ascii="Arial" w:hAnsi="Arial" w:cs="Arial"/>
        </w:rPr>
        <w:t>Investigation still pending (no resolution);</w:t>
      </w:r>
    </w:p>
    <w:p w:rsidR="00A40177" w:rsidRDefault="00A40177" w:rsidP="00D5245E">
      <w:pPr>
        <w:pStyle w:val="ListParagraph"/>
        <w:numPr>
          <w:ilvl w:val="0"/>
          <w:numId w:val="1"/>
        </w:numPr>
        <w:spacing w:before="100" w:beforeAutospacing="1" w:after="100" w:afterAutospacing="1"/>
        <w:jc w:val="both"/>
        <w:outlineLvl w:val="0"/>
        <w:rPr>
          <w:rFonts w:ascii="Arial" w:hAnsi="Arial" w:cs="Arial"/>
        </w:rPr>
      </w:pPr>
      <w:r>
        <w:rPr>
          <w:rFonts w:ascii="Arial" w:hAnsi="Arial" w:cs="Arial"/>
        </w:rPr>
        <w:t>Treasury Regulation 12.7.3 resolution (claim against official must be waived in those instances where state cover is not forfeited);</w:t>
      </w:r>
    </w:p>
    <w:p w:rsidR="00A40177" w:rsidRDefault="00A40177" w:rsidP="00D5245E">
      <w:pPr>
        <w:pStyle w:val="ListParagraph"/>
        <w:numPr>
          <w:ilvl w:val="0"/>
          <w:numId w:val="1"/>
        </w:numPr>
        <w:spacing w:before="100" w:beforeAutospacing="1" w:after="100" w:afterAutospacing="1"/>
        <w:jc w:val="both"/>
        <w:outlineLvl w:val="0"/>
        <w:rPr>
          <w:rFonts w:ascii="Arial" w:hAnsi="Arial" w:cs="Arial"/>
        </w:rPr>
      </w:pPr>
      <w:r>
        <w:rPr>
          <w:rFonts w:ascii="Arial" w:hAnsi="Arial" w:cs="Arial"/>
        </w:rPr>
        <w:t>Liability cannot be determined; and</w:t>
      </w:r>
    </w:p>
    <w:p w:rsidR="00A40177" w:rsidRPr="0001005F" w:rsidRDefault="00A40177" w:rsidP="00D5245E">
      <w:pPr>
        <w:pStyle w:val="ListParagraph"/>
        <w:numPr>
          <w:ilvl w:val="0"/>
          <w:numId w:val="1"/>
        </w:numPr>
        <w:spacing w:before="100" w:beforeAutospacing="1" w:after="100" w:afterAutospacing="1"/>
        <w:jc w:val="both"/>
        <w:outlineLvl w:val="0"/>
        <w:rPr>
          <w:rFonts w:ascii="Arial" w:hAnsi="Arial" w:cs="Arial"/>
        </w:rPr>
      </w:pPr>
      <w:r>
        <w:rPr>
          <w:rFonts w:ascii="Arial" w:hAnsi="Arial" w:cs="Arial"/>
        </w:rPr>
        <w:t xml:space="preserve">Liability determination to recover expenditure. </w:t>
      </w:r>
    </w:p>
    <w:p w:rsidR="00A40177" w:rsidRDefault="00A40177" w:rsidP="00D5245E">
      <w:pPr>
        <w:spacing w:before="100" w:beforeAutospacing="1" w:after="100" w:afterAutospacing="1"/>
        <w:jc w:val="both"/>
        <w:outlineLvl w:val="0"/>
        <w:rPr>
          <w:rFonts w:ascii="Arial" w:hAnsi="Arial" w:cs="Arial"/>
        </w:rPr>
      </w:pPr>
      <w:r w:rsidRPr="003E262F">
        <w:rPr>
          <w:rFonts w:ascii="Arial" w:hAnsi="Arial" w:cs="Arial"/>
        </w:rPr>
        <w:t>If the category of irregular expenditure is considered, it reflects the incurrence of expenditures by members countrywide mainly where procurement prescripts were not technically complied with.  The Department did however receive the goods or services.  In each such incident reported, a due process of investigation, determination of responsibility and consideration of disciplinary steps are considered.  Preventative control measures such as procurement authority, segregation of duties, and registration/rotation of suppliers regarding quotations, exception reporting and certification, limit irregular and fruitless expenditures. The formal process of assessment as indicated is via the Supply Chain Management (BAC) mechanism</w:t>
      </w:r>
      <w:r>
        <w:rPr>
          <w:rFonts w:ascii="Arial" w:hAnsi="Arial" w:cs="Arial"/>
        </w:rPr>
        <w:t>.</w:t>
      </w:r>
    </w:p>
    <w:p w:rsidR="00A40177" w:rsidRPr="003E262F" w:rsidRDefault="00A40177" w:rsidP="00D5245E">
      <w:pPr>
        <w:spacing w:before="100" w:beforeAutospacing="1" w:after="100" w:afterAutospacing="1"/>
        <w:jc w:val="both"/>
        <w:outlineLvl w:val="0"/>
        <w:rPr>
          <w:rFonts w:ascii="Arial" w:hAnsi="Arial" w:cs="Arial"/>
        </w:rPr>
      </w:pPr>
      <w:r>
        <w:rPr>
          <w:rFonts w:ascii="Arial" w:hAnsi="Arial" w:cs="Arial"/>
        </w:rPr>
        <w:t>It should be noted that 2014/15 figures are still being audited by the Auditor-General as part of the year-end audit process, and could change.</w:t>
      </w:r>
    </w:p>
    <w:p w:rsidR="00A40177" w:rsidRDefault="00A40177" w:rsidP="00D5245E">
      <w:pPr>
        <w:spacing w:line="276" w:lineRule="auto"/>
        <w:ind w:left="709"/>
        <w:jc w:val="both"/>
        <w:rPr>
          <w:rFonts w:ascii="Arial" w:hAnsi="Arial" w:cs="Arial"/>
          <w:bCs/>
          <w:lang w:val="en-GB"/>
        </w:rPr>
      </w:pPr>
    </w:p>
    <w:p w:rsidR="00A40177" w:rsidRDefault="00A40177" w:rsidP="00D5245E">
      <w:pPr>
        <w:spacing w:line="276" w:lineRule="auto"/>
        <w:ind w:left="709"/>
        <w:jc w:val="both"/>
        <w:rPr>
          <w:rFonts w:ascii="Arial" w:hAnsi="Arial" w:cs="Arial"/>
          <w:bCs/>
          <w:lang w:val="en-GB"/>
        </w:rPr>
      </w:pPr>
      <w:bookmarkStart w:id="0" w:name="_GoBack"/>
      <w:bookmarkEnd w:id="0"/>
    </w:p>
    <w:sectPr w:rsidR="00A40177" w:rsidSect="00F94BEC">
      <w:headerReference w:type="default" r:id="rId7"/>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0177" w:rsidRDefault="00A40177" w:rsidP="00F94BEC">
      <w:r>
        <w:separator/>
      </w:r>
    </w:p>
  </w:endnote>
  <w:endnote w:type="continuationSeparator" w:id="0">
    <w:p w:rsidR="00A40177" w:rsidRDefault="00A40177" w:rsidP="00F94BE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0177" w:rsidRDefault="00A40177" w:rsidP="00F94BEC">
      <w:r>
        <w:separator/>
      </w:r>
    </w:p>
  </w:footnote>
  <w:footnote w:type="continuationSeparator" w:id="0">
    <w:p w:rsidR="00A40177" w:rsidRDefault="00A40177" w:rsidP="00F94B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177" w:rsidRDefault="00A40177">
    <w:pPr>
      <w:pStyle w:val="Header"/>
      <w:jc w:val="center"/>
    </w:pPr>
    <w:fldSimple w:instr=" PAGE   \* MERGEFORMAT ">
      <w:r>
        <w:rPr>
          <w:noProof/>
        </w:rPr>
        <w:t>3</w:t>
      </w:r>
    </w:fldSimple>
  </w:p>
  <w:p w:rsidR="00A40177" w:rsidRDefault="00A4017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F202D"/>
    <w:multiLevelType w:val="hybridMultilevel"/>
    <w:tmpl w:val="D568ADC8"/>
    <w:lvl w:ilvl="0" w:tplc="F0941AE2">
      <w:numFmt w:val="bullet"/>
      <w:lvlText w:val=""/>
      <w:lvlJc w:val="left"/>
      <w:pPr>
        <w:ind w:left="720" w:hanging="360"/>
      </w:pPr>
      <w:rPr>
        <w:rFonts w:ascii="Symbol" w:eastAsia="Times New Roman"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42D53"/>
    <w:rsid w:val="0001005F"/>
    <w:rsid w:val="000966FC"/>
    <w:rsid w:val="000C0331"/>
    <w:rsid w:val="00162E16"/>
    <w:rsid w:val="003546EE"/>
    <w:rsid w:val="003E262F"/>
    <w:rsid w:val="00407108"/>
    <w:rsid w:val="006B77CA"/>
    <w:rsid w:val="006C4588"/>
    <w:rsid w:val="007A4C5E"/>
    <w:rsid w:val="00834829"/>
    <w:rsid w:val="00842D53"/>
    <w:rsid w:val="00875389"/>
    <w:rsid w:val="00956885"/>
    <w:rsid w:val="00A40177"/>
    <w:rsid w:val="00BE4D3C"/>
    <w:rsid w:val="00BE51EA"/>
    <w:rsid w:val="00BE5D16"/>
    <w:rsid w:val="00C059B7"/>
    <w:rsid w:val="00C76AA2"/>
    <w:rsid w:val="00D07669"/>
    <w:rsid w:val="00D5245E"/>
    <w:rsid w:val="00D770C9"/>
    <w:rsid w:val="00E92724"/>
    <w:rsid w:val="00F22EC7"/>
    <w:rsid w:val="00F94BEC"/>
    <w:rsid w:val="00FA283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D53"/>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94BEC"/>
    <w:pPr>
      <w:ind w:left="720"/>
      <w:contextualSpacing/>
    </w:pPr>
  </w:style>
  <w:style w:type="paragraph" w:styleId="Header">
    <w:name w:val="header"/>
    <w:basedOn w:val="Normal"/>
    <w:link w:val="HeaderChar"/>
    <w:uiPriority w:val="99"/>
    <w:rsid w:val="00F94BEC"/>
    <w:pPr>
      <w:tabs>
        <w:tab w:val="center" w:pos="4513"/>
        <w:tab w:val="right" w:pos="9026"/>
      </w:tabs>
    </w:pPr>
  </w:style>
  <w:style w:type="character" w:customStyle="1" w:styleId="HeaderChar">
    <w:name w:val="Header Char"/>
    <w:basedOn w:val="DefaultParagraphFont"/>
    <w:link w:val="Header"/>
    <w:uiPriority w:val="99"/>
    <w:locked/>
    <w:rsid w:val="00F94BEC"/>
    <w:rPr>
      <w:rFonts w:ascii="Times New Roman" w:hAnsi="Times New Roman" w:cs="Times New Roman"/>
      <w:sz w:val="24"/>
      <w:szCs w:val="24"/>
      <w:lang w:val="en-US"/>
    </w:rPr>
  </w:style>
  <w:style w:type="paragraph" w:styleId="Footer">
    <w:name w:val="footer"/>
    <w:basedOn w:val="Normal"/>
    <w:link w:val="FooterChar"/>
    <w:uiPriority w:val="99"/>
    <w:rsid w:val="00F94BEC"/>
    <w:pPr>
      <w:tabs>
        <w:tab w:val="center" w:pos="4513"/>
        <w:tab w:val="right" w:pos="9026"/>
      </w:tabs>
    </w:pPr>
  </w:style>
  <w:style w:type="character" w:customStyle="1" w:styleId="FooterChar">
    <w:name w:val="Footer Char"/>
    <w:basedOn w:val="DefaultParagraphFont"/>
    <w:link w:val="Footer"/>
    <w:uiPriority w:val="99"/>
    <w:locked/>
    <w:rsid w:val="00F94BEC"/>
    <w:rPr>
      <w:rFonts w:ascii="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3</Pages>
  <Words>600</Words>
  <Characters>3424</Characters>
  <Application>Microsoft Office Outlook</Application>
  <DocSecurity>0</DocSecurity>
  <Lines>0</Lines>
  <Paragraphs>0</Paragraphs>
  <ScaleCrop>false</ScaleCrop>
  <Company>SAPS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36/1/4/1/201500187</dc:title>
  <dc:subject/>
  <dc:creator>Windows User</dc:creator>
  <cp:keywords/>
  <dc:description/>
  <cp:lastModifiedBy>schuene</cp:lastModifiedBy>
  <cp:revision>2</cp:revision>
  <cp:lastPrinted>2015-06-22T10:18:00Z</cp:lastPrinted>
  <dcterms:created xsi:type="dcterms:W3CDTF">2015-07-06T12:15:00Z</dcterms:created>
  <dcterms:modified xsi:type="dcterms:W3CDTF">2015-07-06T12:15:00Z</dcterms:modified>
</cp:coreProperties>
</file>