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41043" w14:textId="77777777" w:rsidR="00A96EFA" w:rsidRDefault="00A96EFA">
      <w:pPr>
        <w:ind w:left="-540"/>
        <w:rPr>
          <w:color w:val="000000"/>
          <w:sz w:val="22"/>
        </w:rPr>
      </w:pPr>
      <w:bookmarkStart w:id="0" w:name="_GoBack"/>
      <w:bookmarkEnd w:id="0"/>
    </w:p>
    <w:p w14:paraId="6ED0AD22" w14:textId="77777777" w:rsidR="004441AE" w:rsidRDefault="004441AE" w:rsidP="00CB7B00">
      <w:pPr>
        <w:rPr>
          <w:sz w:val="20"/>
          <w:szCs w:val="20"/>
        </w:rPr>
      </w:pPr>
    </w:p>
    <w:p w14:paraId="568EE68A" w14:textId="77777777" w:rsidR="004441AE" w:rsidRDefault="004441AE" w:rsidP="004441AE">
      <w:pPr>
        <w:jc w:val="center"/>
        <w:rPr>
          <w:rFonts w:ascii="Tahoma" w:hAnsi="Tahoma" w:cs="Tahoma"/>
          <w:b/>
          <w:sz w:val="22"/>
          <w:szCs w:val="22"/>
        </w:rPr>
      </w:pPr>
    </w:p>
    <w:p w14:paraId="432F1945" w14:textId="77777777" w:rsidR="000524DB" w:rsidRDefault="000524DB" w:rsidP="000524DB">
      <w:pPr>
        <w:rPr>
          <w:lang w:val="en-ZA"/>
        </w:rPr>
      </w:pPr>
      <w:r>
        <w:rPr>
          <w:noProof/>
          <w:lang w:val="en-ZA" w:eastAsia="en-ZA"/>
        </w:rPr>
        <w:drawing>
          <wp:anchor distT="0" distB="0" distL="0" distR="0" simplePos="0" relativeHeight="251659776" behindDoc="0" locked="0" layoutInCell="1" allowOverlap="0" wp14:anchorId="6C80359A" wp14:editId="0D9556B9">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14:paraId="00E93D71" w14:textId="77777777" w:rsidR="000524DB" w:rsidRDefault="000524DB" w:rsidP="000524DB">
      <w:pPr>
        <w:rPr>
          <w:lang w:val="en-ZA"/>
        </w:rPr>
      </w:pPr>
    </w:p>
    <w:p w14:paraId="0EE6D592" w14:textId="77777777" w:rsidR="000524DB" w:rsidRDefault="000524DB" w:rsidP="000524DB">
      <w:pPr>
        <w:pStyle w:val="BodyText"/>
        <w:spacing w:after="0"/>
        <w:jc w:val="center"/>
        <w:outlineLvl w:val="0"/>
        <w:rPr>
          <w:rFonts w:ascii="Arial" w:hAnsi="Arial" w:cs="Arial"/>
          <w:b/>
          <w:bCs/>
        </w:rPr>
      </w:pPr>
    </w:p>
    <w:p w14:paraId="489BFA63" w14:textId="77777777" w:rsidR="000524DB" w:rsidRDefault="000524DB" w:rsidP="000524DB">
      <w:pPr>
        <w:jc w:val="center"/>
      </w:pPr>
    </w:p>
    <w:p w14:paraId="22E17DB9" w14:textId="77777777" w:rsidR="000524DB" w:rsidRDefault="000524DB" w:rsidP="000524DB">
      <w:pPr>
        <w:jc w:val="center"/>
      </w:pPr>
    </w:p>
    <w:p w14:paraId="3FA0E498" w14:textId="77777777" w:rsidR="000524DB" w:rsidRDefault="000524DB" w:rsidP="000524DB">
      <w:pPr>
        <w:jc w:val="center"/>
      </w:pPr>
    </w:p>
    <w:p w14:paraId="1A6E7283" w14:textId="77777777" w:rsidR="000524DB" w:rsidRDefault="000524DB" w:rsidP="000524DB">
      <w:pPr>
        <w:jc w:val="center"/>
        <w:rPr>
          <w:rFonts w:ascii="Gill Sans MT" w:hAnsi="Gill Sans MT"/>
          <w:sz w:val="16"/>
          <w:szCs w:val="16"/>
        </w:rPr>
      </w:pPr>
    </w:p>
    <w:p w14:paraId="1A2BD685" w14:textId="77777777" w:rsidR="000524DB" w:rsidRPr="000C5074" w:rsidRDefault="000524DB" w:rsidP="000524DB">
      <w:pPr>
        <w:spacing w:line="16" w:lineRule="atLeast"/>
        <w:jc w:val="center"/>
        <w:rPr>
          <w:rFonts w:ascii="Gill Sans MT" w:hAnsi="Gill Sans MT"/>
          <w:sz w:val="16"/>
          <w:szCs w:val="16"/>
        </w:rPr>
      </w:pPr>
    </w:p>
    <w:p w14:paraId="1ED1785F" w14:textId="77777777" w:rsidR="000524DB" w:rsidRDefault="000524DB" w:rsidP="000524DB">
      <w:pPr>
        <w:pStyle w:val="NoSpacing"/>
        <w:rPr>
          <w:b/>
          <w:color w:val="4F6228"/>
          <w:sz w:val="16"/>
          <w:szCs w:val="16"/>
        </w:rPr>
      </w:pPr>
    </w:p>
    <w:p w14:paraId="650395FF" w14:textId="77777777" w:rsidR="000524DB" w:rsidRPr="00063424" w:rsidRDefault="000524DB" w:rsidP="000524DB">
      <w:pPr>
        <w:jc w:val="center"/>
        <w:rPr>
          <w:rFonts w:ascii="Arial" w:hAnsi="Arial" w:cs="Arial"/>
          <w:b/>
        </w:rPr>
      </w:pPr>
      <w:r w:rsidRPr="00063424">
        <w:rPr>
          <w:rFonts w:ascii="Arial" w:hAnsi="Arial" w:cs="Arial"/>
          <w:b/>
        </w:rPr>
        <w:t>DEPARTMENT: PUBLIC ENTERPRISES</w:t>
      </w:r>
    </w:p>
    <w:p w14:paraId="559E4E66" w14:textId="77777777"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14:paraId="35327513" w14:textId="77777777" w:rsidR="006D0793" w:rsidRDefault="006D0793" w:rsidP="006D0793">
      <w:pPr>
        <w:jc w:val="both"/>
        <w:rPr>
          <w:rFonts w:ascii="Tahoma" w:hAnsi="Tahoma" w:cs="Tahoma"/>
          <w:b/>
          <w:sz w:val="22"/>
          <w:szCs w:val="22"/>
        </w:rPr>
      </w:pPr>
    </w:p>
    <w:p w14:paraId="6BC22175" w14:textId="77777777" w:rsidR="006D0793" w:rsidRPr="006D0793" w:rsidRDefault="006D0793" w:rsidP="006D0793">
      <w:pPr>
        <w:jc w:val="both"/>
        <w:rPr>
          <w:rFonts w:ascii="Arial" w:hAnsi="Arial" w:cs="Arial"/>
          <w:b/>
          <w:sz w:val="22"/>
          <w:szCs w:val="22"/>
        </w:rPr>
      </w:pPr>
    </w:p>
    <w:p w14:paraId="118A7141" w14:textId="77777777"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14:paraId="072785E3" w14:textId="77777777" w:rsidR="00C0747F" w:rsidRPr="00C0747F" w:rsidRDefault="00C0747F" w:rsidP="00C0747F">
      <w:pPr>
        <w:jc w:val="both"/>
        <w:rPr>
          <w:rFonts w:ascii="Arial" w:hAnsi="Arial" w:cs="Arial"/>
          <w:sz w:val="22"/>
          <w:szCs w:val="22"/>
        </w:rPr>
      </w:pPr>
    </w:p>
    <w:p w14:paraId="1247FC95"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FOR WRITTEN REPLY</w:t>
      </w:r>
    </w:p>
    <w:p w14:paraId="6EB18C8F" w14:textId="77777777" w:rsidR="00C0747F" w:rsidRPr="00C0747F" w:rsidRDefault="00C0747F" w:rsidP="00C0747F">
      <w:pPr>
        <w:jc w:val="both"/>
        <w:rPr>
          <w:rFonts w:ascii="Arial" w:hAnsi="Arial" w:cs="Arial"/>
          <w:b/>
          <w:sz w:val="22"/>
          <w:szCs w:val="22"/>
        </w:rPr>
      </w:pPr>
    </w:p>
    <w:p w14:paraId="2C6A3F23"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 xml:space="preserve">QUESTION NO: </w:t>
      </w:r>
      <w:r w:rsidR="00B56770">
        <w:rPr>
          <w:rFonts w:ascii="Arial" w:hAnsi="Arial" w:cs="Arial"/>
          <w:b/>
          <w:sz w:val="22"/>
          <w:szCs w:val="22"/>
        </w:rPr>
        <w:t>23</w:t>
      </w:r>
      <w:r w:rsidR="00AF2898">
        <w:rPr>
          <w:rFonts w:ascii="Arial" w:hAnsi="Arial" w:cs="Arial"/>
          <w:b/>
          <w:sz w:val="22"/>
          <w:szCs w:val="22"/>
        </w:rPr>
        <w:t>81</w:t>
      </w:r>
    </w:p>
    <w:p w14:paraId="0304FEDB" w14:textId="77777777" w:rsidR="00C0747F" w:rsidRPr="00C0747F" w:rsidRDefault="00C0747F" w:rsidP="00C0747F">
      <w:pPr>
        <w:jc w:val="both"/>
        <w:rPr>
          <w:rFonts w:ascii="Arial" w:hAnsi="Arial" w:cs="Arial"/>
          <w:b/>
          <w:sz w:val="22"/>
          <w:szCs w:val="22"/>
        </w:rPr>
      </w:pPr>
    </w:p>
    <w:p w14:paraId="71B1C291" w14:textId="77777777" w:rsidR="00C0747F" w:rsidRDefault="00C0747F" w:rsidP="00C0747F">
      <w:pPr>
        <w:jc w:val="both"/>
        <w:rPr>
          <w:rFonts w:ascii="Arial" w:hAnsi="Arial" w:cs="Arial"/>
          <w:b/>
          <w:sz w:val="22"/>
          <w:szCs w:val="22"/>
        </w:rPr>
      </w:pPr>
      <w:r w:rsidRPr="00C0747F">
        <w:rPr>
          <w:rFonts w:ascii="Arial" w:hAnsi="Arial" w:cs="Arial"/>
          <w:b/>
          <w:sz w:val="22"/>
          <w:szCs w:val="22"/>
        </w:rPr>
        <w:t xml:space="preserve">DATE OF PUBLICATION: </w:t>
      </w:r>
      <w:r w:rsidR="00AF2898">
        <w:rPr>
          <w:rFonts w:ascii="Arial" w:hAnsi="Arial" w:cs="Arial"/>
          <w:b/>
          <w:sz w:val="22"/>
          <w:szCs w:val="22"/>
        </w:rPr>
        <w:t>4 November</w:t>
      </w:r>
      <w:r w:rsidRPr="00C0747F">
        <w:rPr>
          <w:rFonts w:ascii="Arial" w:hAnsi="Arial" w:cs="Arial"/>
          <w:b/>
          <w:sz w:val="22"/>
          <w:szCs w:val="22"/>
        </w:rPr>
        <w:t xml:space="preserve"> 2016</w:t>
      </w:r>
    </w:p>
    <w:p w14:paraId="4B82188F" w14:textId="77777777" w:rsidR="00A90AB6" w:rsidRDefault="00A90AB6" w:rsidP="00C0747F">
      <w:pPr>
        <w:jc w:val="both"/>
        <w:rPr>
          <w:rFonts w:ascii="Arial" w:hAnsi="Arial" w:cs="Arial"/>
          <w:b/>
          <w:sz w:val="22"/>
          <w:szCs w:val="22"/>
        </w:rPr>
      </w:pPr>
    </w:p>
    <w:p w14:paraId="58F4F54C" w14:textId="77777777" w:rsidR="00B56770" w:rsidRPr="00B56770" w:rsidRDefault="00B56770" w:rsidP="00B56770">
      <w:pPr>
        <w:spacing w:before="100" w:beforeAutospacing="1" w:after="100" w:afterAutospacing="1"/>
        <w:ind w:left="851" w:hanging="851"/>
        <w:rPr>
          <w:rFonts w:ascii="Arial" w:hAnsi="Arial" w:cs="Arial"/>
          <w:b/>
          <w:bCs/>
          <w:sz w:val="22"/>
          <w:szCs w:val="22"/>
          <w:lang w:val="en-GB"/>
        </w:rPr>
      </w:pPr>
      <w:r w:rsidRPr="00B56770">
        <w:rPr>
          <w:rFonts w:ascii="Arial" w:hAnsi="Arial" w:cs="Arial"/>
          <w:b/>
          <w:bCs/>
          <w:sz w:val="22"/>
          <w:szCs w:val="22"/>
          <w:lang w:val="en-GB"/>
        </w:rPr>
        <w:t>23</w:t>
      </w:r>
      <w:r w:rsidR="00AF2898">
        <w:rPr>
          <w:rFonts w:ascii="Arial" w:hAnsi="Arial" w:cs="Arial"/>
          <w:b/>
          <w:bCs/>
          <w:sz w:val="22"/>
          <w:szCs w:val="22"/>
          <w:lang w:val="en-GB"/>
        </w:rPr>
        <w:t>81</w:t>
      </w:r>
      <w:r w:rsidRPr="00B56770">
        <w:rPr>
          <w:rFonts w:ascii="Arial" w:hAnsi="Arial" w:cs="Arial"/>
          <w:b/>
          <w:bCs/>
          <w:sz w:val="22"/>
          <w:szCs w:val="22"/>
          <w:lang w:val="en-GB"/>
        </w:rPr>
        <w:t xml:space="preserve">.     Dr C P Mulder (FF Plus) to ask the </w:t>
      </w:r>
      <w:r>
        <w:rPr>
          <w:rFonts w:ascii="Arial" w:hAnsi="Arial" w:cs="Arial"/>
          <w:b/>
          <w:bCs/>
          <w:sz w:val="22"/>
          <w:szCs w:val="22"/>
          <w:lang w:val="en-GB"/>
        </w:rPr>
        <w:t>Minister of Public Enterprises:</w:t>
      </w:r>
    </w:p>
    <w:p w14:paraId="48734C29"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 xml:space="preserve">(1)     </w:t>
      </w:r>
      <w:r>
        <w:rPr>
          <w:rFonts w:ascii="Arial" w:hAnsi="Arial" w:cs="Arial"/>
          <w:sz w:val="22"/>
          <w:szCs w:val="22"/>
          <w:lang w:val="af-ZA"/>
        </w:rPr>
        <w:t xml:space="preserve">  </w:t>
      </w:r>
      <w:r w:rsidR="00AF2898">
        <w:rPr>
          <w:rFonts w:ascii="Arial" w:hAnsi="Arial" w:cs="Arial"/>
          <w:sz w:val="22"/>
          <w:szCs w:val="22"/>
          <w:lang w:val="af-ZA"/>
        </w:rPr>
        <w:t>Whether a certain company (TRILLIAN ASSET MANAGEMENT) was appointed or used as a provider-developent partner for another company (REGIMENTS); if not, (a) wat is the (i) nature and (ii) extent of the appointment, (b) who was the chairperson of the acquisition committee or</w:t>
      </w:r>
      <w:r w:rsidR="00166989">
        <w:rPr>
          <w:rFonts w:ascii="Arial" w:hAnsi="Arial" w:cs="Arial"/>
          <w:sz w:val="22"/>
          <w:szCs w:val="22"/>
          <w:lang w:val="af-ZA"/>
        </w:rPr>
        <w:t xml:space="preserve"> </w:t>
      </w:r>
      <w:r w:rsidR="00AF2898">
        <w:rPr>
          <w:rFonts w:ascii="Arial" w:hAnsi="Arial" w:cs="Arial"/>
          <w:sz w:val="22"/>
          <w:szCs w:val="22"/>
          <w:lang w:val="af-ZA"/>
        </w:rPr>
        <w:t>body of Transnet during the contracting of the company and (c) whether the chairperson has any links with the directors and/or shareholders of the company;</w:t>
      </w:r>
    </w:p>
    <w:p w14:paraId="0A3D9BC9"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(2)</w:t>
      </w:r>
      <w:r w:rsidR="00AF2898">
        <w:rPr>
          <w:rFonts w:ascii="Arial" w:hAnsi="Arial" w:cs="Arial"/>
          <w:sz w:val="22"/>
          <w:szCs w:val="22"/>
          <w:lang w:val="af-ZA"/>
        </w:rPr>
        <w:t xml:space="preserve"> </w:t>
      </w:r>
      <w:r w:rsidR="00AF2898">
        <w:rPr>
          <w:rFonts w:ascii="Arial" w:hAnsi="Arial" w:cs="Arial"/>
          <w:sz w:val="22"/>
          <w:szCs w:val="22"/>
          <w:lang w:val="af-ZA"/>
        </w:rPr>
        <w:tab/>
        <w:t>(a)</w:t>
      </w:r>
      <w:r w:rsidRPr="00B56770">
        <w:rPr>
          <w:rFonts w:ascii="Arial" w:hAnsi="Arial" w:cs="Arial"/>
          <w:sz w:val="22"/>
          <w:szCs w:val="22"/>
          <w:lang w:val="af-ZA"/>
        </w:rPr>
        <w:t>  </w:t>
      </w:r>
      <w:r>
        <w:rPr>
          <w:rFonts w:ascii="Arial" w:hAnsi="Arial" w:cs="Arial"/>
          <w:sz w:val="22"/>
          <w:szCs w:val="22"/>
          <w:lang w:val="af-ZA"/>
        </w:rPr>
        <w:t>W</w:t>
      </w:r>
      <w:r w:rsidRPr="00B56770">
        <w:rPr>
          <w:rFonts w:ascii="Arial" w:hAnsi="Arial" w:cs="Arial"/>
          <w:sz w:val="22"/>
          <w:szCs w:val="22"/>
          <w:lang w:val="af-ZA"/>
        </w:rPr>
        <w:t xml:space="preserve">hether the </w:t>
      </w:r>
      <w:r w:rsidR="00AF2898">
        <w:rPr>
          <w:rFonts w:ascii="Arial" w:hAnsi="Arial" w:cs="Arial"/>
          <w:sz w:val="22"/>
          <w:szCs w:val="22"/>
          <w:lang w:val="af-ZA"/>
        </w:rPr>
        <w:t>chairperson of the acquisition committee and/or body of Transnet during the contracting of the companies delcared any links with the directors and/or shareholders of the companies and (b) what steps were taken to prevent biased decisions;</w:t>
      </w:r>
      <w:r w:rsidRPr="00B56770">
        <w:rPr>
          <w:rFonts w:ascii="Arial" w:hAnsi="Arial" w:cs="Arial"/>
          <w:sz w:val="22"/>
          <w:szCs w:val="22"/>
          <w:lang w:val="af-ZA"/>
        </w:rPr>
        <w:t xml:space="preserve"> </w:t>
      </w:r>
    </w:p>
    <w:p w14:paraId="788E2E28"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 xml:space="preserve">(3)     </w:t>
      </w:r>
      <w:r>
        <w:rPr>
          <w:rFonts w:ascii="Arial" w:hAnsi="Arial" w:cs="Arial"/>
          <w:sz w:val="22"/>
          <w:szCs w:val="22"/>
          <w:lang w:val="af-ZA"/>
        </w:rPr>
        <w:t xml:space="preserve">   </w:t>
      </w:r>
      <w:r w:rsidR="00AF2898">
        <w:rPr>
          <w:rFonts w:ascii="Arial" w:hAnsi="Arial" w:cs="Arial"/>
          <w:sz w:val="22"/>
          <w:szCs w:val="22"/>
          <w:lang w:val="af-ZA"/>
        </w:rPr>
        <w:t>Whether Transnet itself conducted a feasibility study in this regard; if not, why not; if so, what are the relevant details? NW2721E</w:t>
      </w:r>
    </w:p>
    <w:p w14:paraId="018DA0F5" w14:textId="77777777" w:rsidR="00C0747F" w:rsidRPr="00C0747F" w:rsidRDefault="00C0747F" w:rsidP="00C0747F">
      <w:pPr>
        <w:jc w:val="both"/>
        <w:rPr>
          <w:rFonts w:ascii="Arial" w:hAnsi="Arial" w:cs="Arial"/>
          <w:sz w:val="22"/>
          <w:szCs w:val="22"/>
        </w:rPr>
      </w:pPr>
    </w:p>
    <w:p w14:paraId="31648430" w14:textId="77777777" w:rsidR="00C0747F" w:rsidRPr="00C0747F" w:rsidRDefault="00C0747F" w:rsidP="00C0747F">
      <w:pPr>
        <w:pStyle w:val="ListParagraph"/>
        <w:ind w:left="0"/>
        <w:jc w:val="both"/>
        <w:rPr>
          <w:rFonts w:ascii="Arial" w:hAnsi="Arial" w:cs="Arial"/>
          <w:sz w:val="22"/>
          <w:szCs w:val="22"/>
        </w:rPr>
      </w:pPr>
    </w:p>
    <w:p w14:paraId="782FED38" w14:textId="77777777" w:rsidR="00C0747F" w:rsidRDefault="00DB646B" w:rsidP="00C0747F">
      <w:pPr>
        <w:jc w:val="both"/>
        <w:rPr>
          <w:rFonts w:ascii="Arial" w:hAnsi="Arial" w:cs="Arial"/>
          <w:b/>
          <w:bCs/>
          <w:sz w:val="22"/>
          <w:szCs w:val="22"/>
        </w:rPr>
      </w:pPr>
      <w:r>
        <w:rPr>
          <w:rFonts w:ascii="Arial" w:hAnsi="Arial" w:cs="Arial"/>
          <w:b/>
          <w:bCs/>
          <w:sz w:val="22"/>
          <w:szCs w:val="22"/>
        </w:rPr>
        <w:t>REPLY</w:t>
      </w:r>
      <w:r w:rsidR="00C0747F" w:rsidRPr="00C0747F">
        <w:rPr>
          <w:rFonts w:ascii="Arial" w:hAnsi="Arial" w:cs="Arial"/>
          <w:b/>
          <w:bCs/>
          <w:sz w:val="22"/>
          <w:szCs w:val="22"/>
        </w:rPr>
        <w:t>:</w:t>
      </w:r>
    </w:p>
    <w:p w14:paraId="61AC6322" w14:textId="77777777" w:rsidR="006B68DE" w:rsidRPr="00C0747F" w:rsidRDefault="006B68DE" w:rsidP="00C0747F">
      <w:pPr>
        <w:jc w:val="both"/>
        <w:rPr>
          <w:rFonts w:ascii="Arial" w:hAnsi="Arial" w:cs="Arial"/>
          <w:b/>
          <w:sz w:val="22"/>
          <w:szCs w:val="22"/>
          <w:lang w:val="en-ZA"/>
        </w:rPr>
      </w:pPr>
    </w:p>
    <w:p w14:paraId="2D63F33C" w14:textId="77777777" w:rsidR="00713886" w:rsidRPr="00C153E2" w:rsidRDefault="00C153E2" w:rsidP="00C153E2">
      <w:pPr>
        <w:tabs>
          <w:tab w:val="left" w:pos="851"/>
        </w:tabs>
        <w:spacing w:before="100" w:beforeAutospacing="1" w:after="100" w:afterAutospacing="1"/>
        <w:ind w:left="1440" w:hanging="1440"/>
        <w:jc w:val="both"/>
        <w:rPr>
          <w:rFonts w:ascii="Tahoma" w:hAnsi="Tahoma" w:cs="Tahoma"/>
          <w:color w:val="000000"/>
          <w:sz w:val="22"/>
          <w:szCs w:val="22"/>
          <w:lang w:val="af-ZA" w:eastAsia="en-ZA"/>
        </w:rPr>
      </w:pPr>
      <w:r>
        <w:rPr>
          <w:rFonts w:ascii="Tahoma" w:hAnsi="Tahoma" w:cs="Tahoma"/>
          <w:color w:val="000000"/>
          <w:sz w:val="22"/>
          <w:szCs w:val="22"/>
          <w:lang w:val="af-ZA"/>
        </w:rPr>
        <w:t>(1)(a)</w:t>
      </w:r>
      <w:r w:rsidRPr="00C153E2">
        <w:rPr>
          <w:rFonts w:ascii="Tahoma" w:hAnsi="Tahoma" w:cs="Tahoma"/>
          <w:color w:val="000000"/>
          <w:sz w:val="22"/>
          <w:szCs w:val="22"/>
          <w:lang w:val="af-ZA"/>
        </w:rPr>
        <w:t xml:space="preserve">(i) </w:t>
      </w:r>
      <w:r>
        <w:rPr>
          <w:rFonts w:ascii="Tahoma" w:hAnsi="Tahoma" w:cs="Tahoma"/>
          <w:color w:val="000000"/>
          <w:sz w:val="22"/>
          <w:szCs w:val="22"/>
          <w:lang w:val="af-ZA"/>
        </w:rPr>
        <w:tab/>
      </w:r>
      <w:r w:rsidR="00DB646B">
        <w:rPr>
          <w:rFonts w:ascii="Tahoma" w:hAnsi="Tahoma" w:cs="Tahoma"/>
          <w:color w:val="000000"/>
          <w:sz w:val="22"/>
          <w:szCs w:val="22"/>
          <w:lang w:val="af-ZA"/>
        </w:rPr>
        <w:t>Trillian Asset Management</w:t>
      </w:r>
      <w:r w:rsidR="00713886" w:rsidRPr="00C153E2">
        <w:rPr>
          <w:rFonts w:ascii="Tahoma" w:hAnsi="Tahoma" w:cs="Tahoma"/>
          <w:color w:val="000000"/>
          <w:sz w:val="22"/>
          <w:szCs w:val="22"/>
          <w:lang w:val="af-ZA"/>
        </w:rPr>
        <w:t xml:space="preserve"> was introduced to Transnet as a subcontractor to Regiments and as part of the latter’s supplier development obligations to Transnet.</w:t>
      </w:r>
      <w:r w:rsidRPr="00C153E2">
        <w:rPr>
          <w:rFonts w:ascii="Tahoma" w:hAnsi="Tahoma" w:cs="Tahoma"/>
          <w:color w:val="000000"/>
          <w:sz w:val="22"/>
          <w:szCs w:val="22"/>
          <w:lang w:val="af-ZA"/>
        </w:rPr>
        <w:t xml:space="preserve"> </w:t>
      </w:r>
      <w:r w:rsidR="00713886" w:rsidRPr="00C153E2">
        <w:rPr>
          <w:rFonts w:ascii="Tahoma" w:hAnsi="Tahoma" w:cs="Tahoma"/>
          <w:color w:val="000000"/>
          <w:sz w:val="22"/>
          <w:szCs w:val="22"/>
          <w:lang w:val="af-ZA"/>
        </w:rPr>
        <w:t>Trillian Asset Management was the lead manager on the  ZAR Club Loan.</w:t>
      </w:r>
    </w:p>
    <w:p w14:paraId="6E76FD24" w14:textId="77777777" w:rsidR="00713886" w:rsidRPr="00713886" w:rsidRDefault="00713886" w:rsidP="00C153E2">
      <w:pPr>
        <w:spacing w:before="100" w:beforeAutospacing="1" w:after="100" w:afterAutospacing="1"/>
        <w:ind w:firstLine="567"/>
        <w:rPr>
          <w:rFonts w:ascii="Tahoma" w:hAnsi="Tahoma" w:cs="Tahoma"/>
          <w:color w:val="000000"/>
          <w:sz w:val="22"/>
          <w:szCs w:val="22"/>
          <w:lang w:val="af-ZA"/>
        </w:rPr>
      </w:pPr>
      <w:r w:rsidRPr="00713886">
        <w:rPr>
          <w:rFonts w:ascii="Tahoma" w:hAnsi="Tahoma" w:cs="Tahoma"/>
          <w:color w:val="000000"/>
          <w:sz w:val="22"/>
          <w:szCs w:val="22"/>
          <w:lang w:val="af-ZA"/>
        </w:rPr>
        <w:t xml:space="preserve">(ii) </w:t>
      </w:r>
      <w:r w:rsidR="00C153E2">
        <w:rPr>
          <w:rFonts w:ascii="Tahoma" w:hAnsi="Tahoma" w:cs="Tahoma"/>
          <w:color w:val="000000"/>
          <w:sz w:val="22"/>
          <w:szCs w:val="22"/>
          <w:lang w:val="af-ZA"/>
        </w:rPr>
        <w:tab/>
      </w:r>
      <w:r w:rsidRPr="00713886">
        <w:rPr>
          <w:rFonts w:ascii="Tahoma" w:hAnsi="Tahoma" w:cs="Tahoma"/>
          <w:color w:val="000000"/>
          <w:sz w:val="22"/>
          <w:szCs w:val="22"/>
          <w:lang w:val="af-ZA"/>
        </w:rPr>
        <w:t>The extent of the appointment was to only lead the ZAR Club Loan.</w:t>
      </w:r>
    </w:p>
    <w:p w14:paraId="65DA3EB2" w14:textId="77777777" w:rsidR="00B56770" w:rsidRPr="00FC37E7" w:rsidRDefault="00B56770" w:rsidP="00B56770">
      <w:pPr>
        <w:pStyle w:val="ListParagraph"/>
        <w:spacing w:before="100" w:beforeAutospacing="1" w:after="100" w:afterAutospacing="1" w:line="252" w:lineRule="auto"/>
        <w:jc w:val="both"/>
        <w:rPr>
          <w:rFonts w:ascii="Tahoma" w:hAnsi="Tahoma" w:cs="Tahoma"/>
          <w:sz w:val="20"/>
          <w:szCs w:val="20"/>
          <w:lang w:val="af-ZA"/>
        </w:rPr>
      </w:pPr>
    </w:p>
    <w:p w14:paraId="00A40CCF" w14:textId="77777777" w:rsidR="00B56770" w:rsidRDefault="00B56770" w:rsidP="00ED20FF">
      <w:pPr>
        <w:pStyle w:val="ListParagraph"/>
        <w:spacing w:before="100" w:beforeAutospacing="1" w:after="100" w:afterAutospacing="1" w:line="252" w:lineRule="auto"/>
        <w:ind w:left="993"/>
        <w:jc w:val="both"/>
        <w:rPr>
          <w:rFonts w:ascii="Tahoma" w:hAnsi="Tahoma" w:cs="Tahoma"/>
          <w:sz w:val="20"/>
          <w:szCs w:val="20"/>
          <w:lang w:val="af-ZA"/>
        </w:rPr>
      </w:pPr>
    </w:p>
    <w:p w14:paraId="308C0205" w14:textId="77777777" w:rsidR="00ED20FF" w:rsidRDefault="00ED20FF" w:rsidP="00ED20FF">
      <w:pPr>
        <w:pStyle w:val="ListParagraph"/>
        <w:spacing w:before="100" w:beforeAutospacing="1" w:after="100" w:afterAutospacing="1" w:line="252" w:lineRule="auto"/>
        <w:ind w:left="993"/>
        <w:jc w:val="both"/>
        <w:rPr>
          <w:rFonts w:ascii="Tahoma" w:hAnsi="Tahoma" w:cs="Tahoma"/>
          <w:sz w:val="20"/>
          <w:szCs w:val="20"/>
          <w:lang w:val="af-ZA"/>
        </w:rPr>
      </w:pPr>
    </w:p>
    <w:p w14:paraId="063642BA" w14:textId="77777777" w:rsidR="00AF2898" w:rsidRDefault="00713886" w:rsidP="00C153E2">
      <w:pPr>
        <w:ind w:left="1418" w:hanging="1134"/>
        <w:rPr>
          <w:rFonts w:ascii="Tahoma" w:hAnsi="Tahoma" w:cs="Tahoma"/>
          <w:color w:val="000000"/>
          <w:sz w:val="22"/>
          <w:szCs w:val="22"/>
          <w:lang w:val="af-ZA"/>
        </w:rPr>
      </w:pPr>
      <w:r>
        <w:rPr>
          <w:rFonts w:ascii="Tahoma" w:hAnsi="Tahoma" w:cs="Tahoma"/>
          <w:color w:val="000000"/>
          <w:sz w:val="22"/>
          <w:szCs w:val="22"/>
          <w:lang w:val="af-ZA"/>
        </w:rPr>
        <w:t xml:space="preserve">(b) </w:t>
      </w:r>
      <w:r w:rsidR="00C153E2">
        <w:rPr>
          <w:rFonts w:ascii="Tahoma" w:hAnsi="Tahoma" w:cs="Tahoma"/>
          <w:color w:val="000000"/>
          <w:sz w:val="22"/>
          <w:szCs w:val="22"/>
          <w:lang w:val="af-ZA"/>
        </w:rPr>
        <w:tab/>
      </w:r>
      <w:r w:rsidR="00AF2898" w:rsidRPr="00D86FA7">
        <w:rPr>
          <w:rFonts w:ascii="Tahoma" w:hAnsi="Tahoma" w:cs="Tahoma"/>
          <w:color w:val="000000"/>
          <w:sz w:val="22"/>
          <w:szCs w:val="22"/>
          <w:lang w:val="af-ZA"/>
        </w:rPr>
        <w:t>Mr. Stanley Shane was the Chairperson of the Acquisitions and Disposals Committe</w:t>
      </w:r>
      <w:r w:rsidR="00AF2898">
        <w:rPr>
          <w:rFonts w:ascii="Tahoma" w:hAnsi="Tahoma" w:cs="Tahoma"/>
          <w:color w:val="000000"/>
          <w:sz w:val="22"/>
          <w:szCs w:val="22"/>
          <w:lang w:val="af-ZA"/>
        </w:rPr>
        <w:t>e</w:t>
      </w:r>
      <w:r w:rsidR="00AF2898" w:rsidRPr="00D86FA7">
        <w:rPr>
          <w:rFonts w:ascii="Tahoma" w:hAnsi="Tahoma" w:cs="Tahoma"/>
          <w:color w:val="000000"/>
          <w:sz w:val="22"/>
          <w:szCs w:val="22"/>
          <w:lang w:val="af-ZA"/>
        </w:rPr>
        <w:t>.</w:t>
      </w:r>
    </w:p>
    <w:p w14:paraId="6AAA8E6E" w14:textId="77777777" w:rsidR="00FC7AC8" w:rsidRPr="00D86FA7" w:rsidRDefault="00FC7AC8" w:rsidP="00C153E2">
      <w:pPr>
        <w:ind w:left="1418" w:hanging="1134"/>
        <w:rPr>
          <w:rFonts w:ascii="Tahoma" w:hAnsi="Tahoma" w:cs="Tahoma"/>
          <w:color w:val="000000"/>
          <w:sz w:val="22"/>
          <w:szCs w:val="22"/>
          <w:lang w:val="af-ZA"/>
        </w:rPr>
      </w:pPr>
    </w:p>
    <w:p w14:paraId="2C2704A4" w14:textId="77777777" w:rsidR="00AF2898" w:rsidRPr="00D86FA7" w:rsidRDefault="00713886" w:rsidP="00FC7AC8">
      <w:pPr>
        <w:ind w:left="1418" w:hanging="1134"/>
        <w:rPr>
          <w:rFonts w:ascii="Tahoma" w:hAnsi="Tahoma" w:cs="Tahoma"/>
          <w:color w:val="000000"/>
          <w:sz w:val="22"/>
          <w:szCs w:val="22"/>
          <w:lang w:val="af-ZA"/>
        </w:rPr>
      </w:pPr>
      <w:r>
        <w:rPr>
          <w:rFonts w:ascii="Tahoma" w:hAnsi="Tahoma" w:cs="Tahoma"/>
          <w:color w:val="000000"/>
          <w:sz w:val="22"/>
          <w:szCs w:val="22"/>
          <w:lang w:val="af-ZA"/>
        </w:rPr>
        <w:t>(c)</w:t>
      </w:r>
      <w:r w:rsidR="00FC7AC8">
        <w:rPr>
          <w:rFonts w:ascii="Tahoma" w:hAnsi="Tahoma" w:cs="Tahoma"/>
          <w:color w:val="000000"/>
          <w:sz w:val="22"/>
          <w:szCs w:val="22"/>
          <w:lang w:val="af-ZA"/>
        </w:rPr>
        <w:tab/>
      </w:r>
      <w:r w:rsidR="00FC7AC8">
        <w:rPr>
          <w:rFonts w:ascii="Tahoma" w:hAnsi="Tahoma" w:cs="Tahoma"/>
          <w:color w:val="000000"/>
          <w:sz w:val="22"/>
          <w:szCs w:val="22"/>
          <w:lang w:val="af-ZA"/>
        </w:rPr>
        <w:tab/>
      </w:r>
      <w:r w:rsidR="00AF2898" w:rsidRPr="00D86FA7">
        <w:rPr>
          <w:rFonts w:ascii="Tahoma" w:hAnsi="Tahoma" w:cs="Tahoma"/>
          <w:color w:val="000000"/>
          <w:sz w:val="22"/>
          <w:szCs w:val="22"/>
          <w:lang w:val="af-ZA"/>
        </w:rPr>
        <w:t>Based on information suppl</w:t>
      </w:r>
      <w:r w:rsidR="00166989">
        <w:rPr>
          <w:rFonts w:ascii="Tahoma" w:hAnsi="Tahoma" w:cs="Tahoma"/>
          <w:color w:val="000000"/>
          <w:sz w:val="22"/>
          <w:szCs w:val="22"/>
          <w:lang w:val="af-ZA"/>
        </w:rPr>
        <w:t>i</w:t>
      </w:r>
      <w:r w:rsidR="00AF2898" w:rsidRPr="00D86FA7">
        <w:rPr>
          <w:rFonts w:ascii="Tahoma" w:hAnsi="Tahoma" w:cs="Tahoma"/>
          <w:color w:val="000000"/>
          <w:sz w:val="22"/>
          <w:szCs w:val="22"/>
          <w:lang w:val="af-ZA"/>
        </w:rPr>
        <w:t>ed to us by Trillian, the Directors of Trillian Assets Management at that point in time were:</w:t>
      </w:r>
    </w:p>
    <w:p w14:paraId="6FE9CE4F" w14:textId="77777777" w:rsidR="00AF2898" w:rsidRPr="00D86FA7" w:rsidRDefault="00AF2898" w:rsidP="00AF2898">
      <w:pPr>
        <w:ind w:left="567"/>
        <w:rPr>
          <w:rFonts w:ascii="Tahoma" w:hAnsi="Tahoma" w:cs="Tahoma"/>
          <w:color w:val="000000"/>
          <w:sz w:val="22"/>
          <w:szCs w:val="22"/>
          <w:lang w:val="af-ZA"/>
        </w:rPr>
      </w:pPr>
    </w:p>
    <w:p w14:paraId="779C9885" w14:textId="77777777" w:rsidR="00AF2898" w:rsidRPr="00D86FA7" w:rsidRDefault="00AF2898" w:rsidP="00FC7AC8">
      <w:pPr>
        <w:numPr>
          <w:ilvl w:val="0"/>
          <w:numId w:val="24"/>
        </w:numPr>
        <w:ind w:firstLine="131"/>
        <w:rPr>
          <w:rFonts w:ascii="Tahoma" w:hAnsi="Tahoma" w:cs="Tahoma"/>
          <w:color w:val="000000"/>
          <w:sz w:val="22"/>
          <w:szCs w:val="22"/>
          <w:lang w:val="af-ZA"/>
        </w:rPr>
      </w:pPr>
      <w:r w:rsidRPr="00D86FA7">
        <w:rPr>
          <w:rFonts w:ascii="Tahoma" w:hAnsi="Tahoma" w:cs="Tahoma"/>
          <w:color w:val="000000"/>
          <w:sz w:val="22"/>
          <w:szCs w:val="22"/>
          <w:lang w:val="af-ZA"/>
        </w:rPr>
        <w:t xml:space="preserve">Mr. Daniel Roy and </w:t>
      </w:r>
    </w:p>
    <w:p w14:paraId="4D940ED7" w14:textId="77777777" w:rsidR="00AF2898" w:rsidRPr="00D86FA7" w:rsidRDefault="003C0B33" w:rsidP="00FC7AC8">
      <w:pPr>
        <w:numPr>
          <w:ilvl w:val="0"/>
          <w:numId w:val="24"/>
        </w:numPr>
        <w:ind w:firstLine="131"/>
        <w:rPr>
          <w:rFonts w:ascii="Tahoma" w:hAnsi="Tahoma" w:cs="Tahoma"/>
          <w:color w:val="000000"/>
          <w:sz w:val="22"/>
          <w:szCs w:val="22"/>
          <w:lang w:val="af-ZA"/>
        </w:rPr>
      </w:pPr>
      <w:r>
        <w:rPr>
          <w:rFonts w:ascii="Tahoma" w:hAnsi="Tahoma" w:cs="Tahoma"/>
          <w:color w:val="000000"/>
          <w:sz w:val="22"/>
          <w:szCs w:val="22"/>
          <w:lang w:val="af-ZA"/>
        </w:rPr>
        <w:t>Mr. Jan</w:t>
      </w:r>
      <w:r w:rsidR="00AF2898" w:rsidRPr="00D86FA7">
        <w:rPr>
          <w:rFonts w:ascii="Tahoma" w:hAnsi="Tahoma" w:cs="Tahoma"/>
          <w:color w:val="000000"/>
          <w:sz w:val="22"/>
          <w:szCs w:val="22"/>
          <w:lang w:val="af-ZA"/>
        </w:rPr>
        <w:t>faure.</w:t>
      </w:r>
    </w:p>
    <w:p w14:paraId="440A36EE" w14:textId="77777777" w:rsidR="00AF2898" w:rsidRPr="00D86FA7" w:rsidRDefault="00AF2898" w:rsidP="00AF2898">
      <w:pPr>
        <w:ind w:left="1287"/>
        <w:rPr>
          <w:rFonts w:ascii="Tahoma" w:hAnsi="Tahoma" w:cs="Tahoma"/>
          <w:color w:val="000000"/>
          <w:sz w:val="22"/>
          <w:szCs w:val="22"/>
          <w:lang w:val="af-ZA"/>
        </w:rPr>
      </w:pPr>
    </w:p>
    <w:p w14:paraId="56EA26B8" w14:textId="77777777" w:rsidR="00AF2898" w:rsidRPr="00D86FA7" w:rsidRDefault="00AF2898" w:rsidP="00FC7AC8">
      <w:pPr>
        <w:ind w:left="568" w:firstLine="850"/>
        <w:rPr>
          <w:rFonts w:ascii="Tahoma" w:hAnsi="Tahoma" w:cs="Tahoma"/>
          <w:color w:val="000000"/>
          <w:sz w:val="22"/>
          <w:szCs w:val="22"/>
          <w:lang w:val="af-ZA"/>
        </w:rPr>
      </w:pPr>
      <w:r w:rsidRPr="00D86FA7">
        <w:rPr>
          <w:rFonts w:ascii="Tahoma" w:hAnsi="Tahoma" w:cs="Tahoma"/>
          <w:color w:val="000000"/>
          <w:sz w:val="22"/>
          <w:szCs w:val="22"/>
          <w:lang w:val="af-ZA"/>
        </w:rPr>
        <w:t>The Shareholders were:</w:t>
      </w:r>
    </w:p>
    <w:p w14:paraId="6FDC4E03" w14:textId="77777777" w:rsidR="00AF2898" w:rsidRPr="00D86FA7" w:rsidRDefault="00AF2898" w:rsidP="00AF2898">
      <w:pPr>
        <w:rPr>
          <w:rFonts w:ascii="Tahoma" w:hAnsi="Tahoma" w:cs="Tahoma"/>
          <w:color w:val="000000"/>
          <w:sz w:val="22"/>
          <w:szCs w:val="22"/>
          <w:lang w:val="af-ZA"/>
        </w:rPr>
      </w:pPr>
    </w:p>
    <w:p w14:paraId="71A9BBE1" w14:textId="77777777" w:rsidR="00AF2898" w:rsidRPr="00D86FA7" w:rsidRDefault="00AF2898" w:rsidP="00FC7AC8">
      <w:pPr>
        <w:numPr>
          <w:ilvl w:val="0"/>
          <w:numId w:val="25"/>
        </w:numPr>
        <w:ind w:firstLine="130"/>
        <w:rPr>
          <w:rFonts w:ascii="Tahoma" w:hAnsi="Tahoma" w:cs="Tahoma"/>
          <w:color w:val="000000"/>
          <w:sz w:val="22"/>
          <w:szCs w:val="22"/>
          <w:lang w:val="af-ZA"/>
        </w:rPr>
      </w:pPr>
      <w:r w:rsidRPr="00D86FA7">
        <w:rPr>
          <w:rFonts w:ascii="Tahoma" w:hAnsi="Tahoma" w:cs="Tahoma"/>
          <w:color w:val="000000"/>
          <w:sz w:val="22"/>
          <w:szCs w:val="22"/>
          <w:lang w:val="af-ZA"/>
        </w:rPr>
        <w:t>Mr. Daniel Roy 30%</w:t>
      </w:r>
    </w:p>
    <w:p w14:paraId="17998B12" w14:textId="77777777" w:rsidR="00AF2898" w:rsidRPr="00D86FA7" w:rsidRDefault="00AF2898" w:rsidP="00FC7AC8">
      <w:pPr>
        <w:numPr>
          <w:ilvl w:val="0"/>
          <w:numId w:val="25"/>
        </w:numPr>
        <w:ind w:firstLine="130"/>
        <w:rPr>
          <w:rFonts w:ascii="Tahoma" w:hAnsi="Tahoma" w:cs="Tahoma"/>
          <w:color w:val="000000"/>
          <w:sz w:val="22"/>
          <w:szCs w:val="22"/>
          <w:lang w:val="af-ZA"/>
        </w:rPr>
      </w:pPr>
      <w:r w:rsidRPr="00D86FA7">
        <w:rPr>
          <w:rFonts w:ascii="Tahoma" w:hAnsi="Tahoma" w:cs="Tahoma"/>
          <w:color w:val="000000"/>
          <w:sz w:val="22"/>
          <w:szCs w:val="22"/>
          <w:lang w:val="af-ZA"/>
        </w:rPr>
        <w:t xml:space="preserve">Mr. Jan Faure 20%, and </w:t>
      </w:r>
    </w:p>
    <w:p w14:paraId="7878ED67" w14:textId="77777777" w:rsidR="00AF2898" w:rsidRPr="00D86FA7" w:rsidRDefault="00AF2898" w:rsidP="00FC7AC8">
      <w:pPr>
        <w:numPr>
          <w:ilvl w:val="0"/>
          <w:numId w:val="25"/>
        </w:numPr>
        <w:ind w:firstLine="130"/>
        <w:rPr>
          <w:rFonts w:ascii="Tahoma" w:hAnsi="Tahoma" w:cs="Tahoma"/>
          <w:color w:val="000000"/>
          <w:sz w:val="22"/>
          <w:szCs w:val="22"/>
          <w:lang w:val="af-ZA"/>
        </w:rPr>
      </w:pPr>
      <w:r w:rsidRPr="00D86FA7">
        <w:rPr>
          <w:rFonts w:ascii="Tahoma" w:hAnsi="Tahoma" w:cs="Tahoma"/>
          <w:color w:val="000000"/>
          <w:sz w:val="22"/>
          <w:szCs w:val="22"/>
          <w:lang w:val="af-ZA"/>
        </w:rPr>
        <w:t>Trillian Holdings 50% (which is wholy owned by Mr. Sallim Essa)</w:t>
      </w:r>
    </w:p>
    <w:p w14:paraId="52388DA4" w14:textId="77777777" w:rsidR="00AF2898" w:rsidRPr="00D86FA7" w:rsidRDefault="00713886" w:rsidP="00FC7AC8">
      <w:pPr>
        <w:spacing w:before="100" w:beforeAutospacing="1" w:after="100" w:afterAutospacing="1"/>
        <w:ind w:left="1418" w:hanging="1418"/>
        <w:rPr>
          <w:rFonts w:ascii="Tahoma" w:hAnsi="Tahoma" w:cs="Tahoma"/>
          <w:color w:val="000000"/>
          <w:sz w:val="22"/>
          <w:szCs w:val="22"/>
          <w:lang w:val="af-ZA"/>
        </w:rPr>
      </w:pPr>
      <w:r>
        <w:rPr>
          <w:rFonts w:ascii="Tahoma" w:hAnsi="Tahoma" w:cs="Tahoma"/>
          <w:color w:val="000000"/>
          <w:sz w:val="22"/>
          <w:szCs w:val="22"/>
          <w:lang w:val="af-ZA"/>
        </w:rPr>
        <w:t xml:space="preserve">2(a) </w:t>
      </w:r>
      <w:r w:rsidR="00FC7AC8">
        <w:rPr>
          <w:rFonts w:ascii="Tahoma" w:hAnsi="Tahoma" w:cs="Tahoma"/>
          <w:color w:val="000000"/>
          <w:sz w:val="22"/>
          <w:szCs w:val="22"/>
          <w:lang w:val="af-ZA"/>
        </w:rPr>
        <w:tab/>
      </w:r>
      <w:r w:rsidR="00AF2898" w:rsidRPr="00D86FA7">
        <w:rPr>
          <w:rFonts w:ascii="Tahoma" w:hAnsi="Tahoma" w:cs="Tahoma"/>
          <w:color w:val="000000"/>
          <w:sz w:val="22"/>
          <w:szCs w:val="22"/>
          <w:lang w:val="af-ZA"/>
        </w:rPr>
        <w:t>Mr Shane, a non-executive director of the Transnet Board of Directors since December 2014, and Chairperson of the Acquisition and Disposal Committee, declared all his interest</w:t>
      </w:r>
      <w:r w:rsidR="00AF2898">
        <w:rPr>
          <w:rFonts w:ascii="Tahoma" w:hAnsi="Tahoma" w:cs="Tahoma"/>
          <w:color w:val="000000"/>
          <w:sz w:val="22"/>
          <w:szCs w:val="22"/>
          <w:lang w:val="af-ZA"/>
        </w:rPr>
        <w:t>s</w:t>
      </w:r>
      <w:r w:rsidR="00AF2898" w:rsidRPr="00D86FA7">
        <w:rPr>
          <w:rFonts w:ascii="Tahoma" w:hAnsi="Tahoma" w:cs="Tahoma"/>
          <w:color w:val="000000"/>
          <w:sz w:val="22"/>
          <w:szCs w:val="22"/>
          <w:lang w:val="af-ZA"/>
        </w:rPr>
        <w:t xml:space="preserve"> in line with Transnet’s policies and procedures.</w:t>
      </w:r>
      <w:r w:rsidR="003C0B33">
        <w:rPr>
          <w:rFonts w:ascii="Tahoma" w:hAnsi="Tahoma" w:cs="Tahoma"/>
          <w:color w:val="000000"/>
          <w:sz w:val="22"/>
          <w:szCs w:val="22"/>
          <w:lang w:val="af-ZA"/>
        </w:rPr>
        <w:t xml:space="preserve"> According to these declarations there were no conflict of interests. </w:t>
      </w:r>
    </w:p>
    <w:p w14:paraId="5E9EA4EB" w14:textId="77777777" w:rsidR="00AF2898" w:rsidRPr="00D86FA7" w:rsidRDefault="00713886" w:rsidP="00FC7AC8">
      <w:pPr>
        <w:spacing w:before="100" w:beforeAutospacing="1" w:after="100" w:afterAutospacing="1"/>
        <w:ind w:left="1418" w:hanging="1276"/>
        <w:rPr>
          <w:rFonts w:ascii="Tahoma" w:hAnsi="Tahoma" w:cs="Tahoma"/>
          <w:color w:val="000000"/>
          <w:sz w:val="22"/>
          <w:szCs w:val="22"/>
          <w:lang w:val="af-ZA"/>
        </w:rPr>
      </w:pPr>
      <w:r>
        <w:rPr>
          <w:rFonts w:ascii="Tahoma" w:hAnsi="Tahoma" w:cs="Tahoma"/>
          <w:color w:val="000000"/>
          <w:sz w:val="22"/>
          <w:szCs w:val="22"/>
          <w:lang w:val="af-ZA"/>
        </w:rPr>
        <w:t xml:space="preserve">(b) </w:t>
      </w:r>
      <w:r w:rsidR="00FC7AC8">
        <w:rPr>
          <w:rFonts w:ascii="Tahoma" w:hAnsi="Tahoma" w:cs="Tahoma"/>
          <w:color w:val="000000"/>
          <w:sz w:val="22"/>
          <w:szCs w:val="22"/>
          <w:lang w:val="af-ZA"/>
        </w:rPr>
        <w:tab/>
      </w:r>
      <w:r w:rsidR="00AF2898" w:rsidRPr="00D86FA7">
        <w:rPr>
          <w:rFonts w:ascii="Tahoma" w:hAnsi="Tahoma" w:cs="Tahoma"/>
          <w:color w:val="000000"/>
          <w:sz w:val="22"/>
          <w:szCs w:val="22"/>
          <w:lang w:val="af-ZA"/>
        </w:rPr>
        <w:t xml:space="preserve">Transnet assesses its need for specialised services on an ongoing basis and awards work to external parties based on these assessments, ensuring that there is no conflict of interest with Transnet employees.  </w:t>
      </w:r>
    </w:p>
    <w:p w14:paraId="0729AB22" w14:textId="77777777" w:rsidR="00AF2898" w:rsidRPr="00D86FA7" w:rsidRDefault="00AF2898" w:rsidP="00FC7AC8">
      <w:pPr>
        <w:spacing w:before="100" w:beforeAutospacing="1" w:after="100" w:afterAutospacing="1"/>
        <w:ind w:left="1418"/>
        <w:jc w:val="both"/>
        <w:rPr>
          <w:rFonts w:ascii="Tahoma" w:hAnsi="Tahoma" w:cs="Tahoma"/>
          <w:color w:val="000000"/>
          <w:sz w:val="22"/>
          <w:szCs w:val="22"/>
          <w:lang w:val="af-ZA"/>
        </w:rPr>
      </w:pPr>
      <w:r w:rsidRPr="00D86FA7">
        <w:rPr>
          <w:rFonts w:ascii="Tahoma" w:hAnsi="Tahoma" w:cs="Tahoma"/>
          <w:color w:val="000000"/>
          <w:sz w:val="22"/>
          <w:szCs w:val="22"/>
          <w:lang w:val="af-ZA"/>
        </w:rPr>
        <w:t>The grounds for utilising external services providers may range from level of expertise/skills required, to capacity to execute etc.  This is also enshrined within the Transnet procurement processes which also prescribe the appropriate delegations or appoval requirements for such engagements.</w:t>
      </w:r>
    </w:p>
    <w:p w14:paraId="6496F012" w14:textId="77777777" w:rsidR="00AF2898" w:rsidRPr="00D86FA7" w:rsidRDefault="00AF2898" w:rsidP="00FC7AC8">
      <w:pPr>
        <w:spacing w:before="100" w:beforeAutospacing="1" w:after="100" w:afterAutospacing="1"/>
        <w:ind w:left="284" w:hanging="284"/>
        <w:rPr>
          <w:rFonts w:ascii="Tahoma" w:hAnsi="Tahoma" w:cs="Tahoma"/>
          <w:color w:val="000000"/>
          <w:sz w:val="22"/>
          <w:szCs w:val="22"/>
          <w:lang w:val="af-ZA"/>
        </w:rPr>
      </w:pPr>
      <w:r w:rsidRPr="00D86FA7">
        <w:rPr>
          <w:rFonts w:ascii="Tahoma" w:hAnsi="Tahoma" w:cs="Tahoma"/>
          <w:color w:val="000000"/>
          <w:sz w:val="22"/>
          <w:szCs w:val="22"/>
          <w:lang w:val="af-ZA"/>
        </w:rPr>
        <w:t xml:space="preserve"> </w:t>
      </w:r>
      <w:r>
        <w:rPr>
          <w:rFonts w:ascii="Tahoma" w:hAnsi="Tahoma" w:cs="Tahoma"/>
          <w:color w:val="000000"/>
          <w:sz w:val="22"/>
          <w:szCs w:val="22"/>
          <w:lang w:val="af-ZA"/>
        </w:rPr>
        <w:t>3.</w:t>
      </w:r>
      <w:r w:rsidR="00FC7AC8">
        <w:rPr>
          <w:rFonts w:ascii="Tahoma" w:hAnsi="Tahoma" w:cs="Tahoma"/>
          <w:color w:val="000000"/>
          <w:sz w:val="22"/>
          <w:szCs w:val="22"/>
          <w:lang w:val="af-ZA"/>
        </w:rPr>
        <w:tab/>
      </w:r>
      <w:r w:rsidR="00FC7AC8">
        <w:rPr>
          <w:rFonts w:ascii="Tahoma" w:hAnsi="Tahoma" w:cs="Tahoma"/>
          <w:color w:val="000000"/>
          <w:sz w:val="22"/>
          <w:szCs w:val="22"/>
          <w:lang w:val="af-ZA"/>
        </w:rPr>
        <w:tab/>
      </w:r>
      <w:r w:rsidR="00FC7AC8">
        <w:rPr>
          <w:rFonts w:ascii="Tahoma" w:hAnsi="Tahoma" w:cs="Tahoma"/>
          <w:color w:val="000000"/>
          <w:sz w:val="22"/>
          <w:szCs w:val="22"/>
          <w:lang w:val="af-ZA"/>
        </w:rPr>
        <w:tab/>
      </w:r>
      <w:r w:rsidRPr="00D86FA7">
        <w:rPr>
          <w:rFonts w:ascii="Tahoma" w:hAnsi="Tahoma" w:cs="Tahoma"/>
          <w:color w:val="000000"/>
          <w:sz w:val="22"/>
          <w:szCs w:val="22"/>
          <w:lang w:val="af-ZA"/>
        </w:rPr>
        <w:t>Refer to 2(b) above.</w:t>
      </w:r>
    </w:p>
    <w:p w14:paraId="0D84CFA3" w14:textId="77777777" w:rsidR="00AF2898" w:rsidRDefault="00AF2898" w:rsidP="00AF2898">
      <w:pPr>
        <w:pStyle w:val="TAHOMA"/>
        <w:rPr>
          <w:color w:val="000000"/>
        </w:rPr>
      </w:pPr>
    </w:p>
    <w:p w14:paraId="3B1E65AD" w14:textId="77777777" w:rsidR="00AF2898" w:rsidRDefault="00AF2898" w:rsidP="00AF2898">
      <w:pPr>
        <w:pStyle w:val="TAHOMA"/>
        <w:rPr>
          <w:color w:val="000000"/>
        </w:rPr>
      </w:pPr>
    </w:p>
    <w:p w14:paraId="182F5FF0" w14:textId="77777777" w:rsidR="00A90AB6" w:rsidRDefault="00A90AB6" w:rsidP="00B143AE">
      <w:pPr>
        <w:spacing w:before="100" w:beforeAutospacing="1" w:after="100" w:afterAutospacing="1"/>
        <w:ind w:left="426" w:hanging="426"/>
        <w:jc w:val="both"/>
        <w:rPr>
          <w:rFonts w:ascii="Arial" w:hAnsi="Arial" w:cs="Arial"/>
          <w:b/>
          <w:sz w:val="22"/>
          <w:szCs w:val="22"/>
        </w:rPr>
      </w:pPr>
    </w:p>
    <w:sectPr w:rsidR="00A90AB6"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2E39" w14:textId="77777777" w:rsidR="00F26A98" w:rsidRDefault="00F26A98" w:rsidP="00B143AE">
      <w:r>
        <w:separator/>
      </w:r>
    </w:p>
  </w:endnote>
  <w:endnote w:type="continuationSeparator" w:id="0">
    <w:p w14:paraId="5FE7FA13" w14:textId="77777777" w:rsidR="00F26A98" w:rsidRDefault="00F26A98"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5578"/>
      <w:docPartObj>
        <w:docPartGallery w:val="Page Numbers (Bottom of Page)"/>
        <w:docPartUnique/>
      </w:docPartObj>
    </w:sdtPr>
    <w:sdtEndPr>
      <w:rPr>
        <w:noProof/>
      </w:rPr>
    </w:sdtEndPr>
    <w:sdtContent>
      <w:p w14:paraId="60004504" w14:textId="734903CA" w:rsidR="00B143AE" w:rsidRDefault="00B143AE">
        <w:pPr>
          <w:pStyle w:val="Footer"/>
          <w:jc w:val="right"/>
        </w:pPr>
        <w:r>
          <w:fldChar w:fldCharType="begin"/>
        </w:r>
        <w:r>
          <w:instrText xml:space="preserve"> PAGE   \* MERGEFORMAT </w:instrText>
        </w:r>
        <w:r>
          <w:fldChar w:fldCharType="separate"/>
        </w:r>
        <w:r w:rsidR="00BA5BD2">
          <w:rPr>
            <w:noProof/>
          </w:rPr>
          <w:t>1</w:t>
        </w:r>
        <w:r>
          <w:rPr>
            <w:noProof/>
          </w:rPr>
          <w:fldChar w:fldCharType="end"/>
        </w:r>
      </w:p>
    </w:sdtContent>
  </w:sdt>
  <w:p w14:paraId="0564874B" w14:textId="77777777" w:rsidR="00B143AE" w:rsidRDefault="00B1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CC1C3" w14:textId="77777777" w:rsidR="00F26A98" w:rsidRDefault="00F26A98" w:rsidP="00B143AE">
      <w:r>
        <w:separator/>
      </w:r>
    </w:p>
  </w:footnote>
  <w:footnote w:type="continuationSeparator" w:id="0">
    <w:p w14:paraId="0032299B" w14:textId="77777777" w:rsidR="00F26A98" w:rsidRDefault="00F26A98" w:rsidP="00B1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CF7"/>
    <w:multiLevelType w:val="hybridMultilevel"/>
    <w:tmpl w:val="A38EE60C"/>
    <w:lvl w:ilvl="0" w:tplc="3C46B67E">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D3503B"/>
    <w:multiLevelType w:val="hybridMultilevel"/>
    <w:tmpl w:val="0BA03832"/>
    <w:lvl w:ilvl="0" w:tplc="B194EA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5" w15:restartNumberingAfterBreak="0">
    <w:nsid w:val="21BA15B0"/>
    <w:multiLevelType w:val="hybridMultilevel"/>
    <w:tmpl w:val="4216A2BE"/>
    <w:lvl w:ilvl="0" w:tplc="D4F455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4C72C5B"/>
    <w:multiLevelType w:val="hybridMultilevel"/>
    <w:tmpl w:val="E334DC38"/>
    <w:lvl w:ilvl="0" w:tplc="E00CEB3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704B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A3A3C"/>
    <w:multiLevelType w:val="hybridMultilevel"/>
    <w:tmpl w:val="6ACED552"/>
    <w:lvl w:ilvl="0" w:tplc="9ED25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2A3ED1"/>
    <w:multiLevelType w:val="hybridMultilevel"/>
    <w:tmpl w:val="22BAAED2"/>
    <w:lvl w:ilvl="0" w:tplc="EE1669D4">
      <w:start w:val="1"/>
      <w:numFmt w:val="lowerRoman"/>
      <w:lvlText w:val="%1."/>
      <w:lvlJc w:val="right"/>
      <w:pPr>
        <w:ind w:left="928" w:hanging="360"/>
      </w:p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1" w15:restartNumberingAfterBreak="0">
    <w:nsid w:val="3A494E6E"/>
    <w:multiLevelType w:val="hybridMultilevel"/>
    <w:tmpl w:val="4E429C32"/>
    <w:lvl w:ilvl="0" w:tplc="1C3225AA">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BB83FDC"/>
    <w:multiLevelType w:val="hybridMultilevel"/>
    <w:tmpl w:val="3D4261B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15:restartNumberingAfterBreak="0">
    <w:nsid w:val="42493237"/>
    <w:multiLevelType w:val="hybridMultilevel"/>
    <w:tmpl w:val="27762028"/>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14" w15:restartNumberingAfterBreak="0">
    <w:nsid w:val="42CF3B13"/>
    <w:multiLevelType w:val="hybridMultilevel"/>
    <w:tmpl w:val="FE1E578A"/>
    <w:lvl w:ilvl="0" w:tplc="823496BA">
      <w:start w:val="2"/>
      <w:numFmt w:val="lowerLetter"/>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15" w15:restartNumberingAfterBreak="0">
    <w:nsid w:val="441054CA"/>
    <w:multiLevelType w:val="hybridMultilevel"/>
    <w:tmpl w:val="14EACDFE"/>
    <w:lvl w:ilvl="0" w:tplc="D02C9CD8">
      <w:start w:val="1"/>
      <w:numFmt w:val="lowerLetter"/>
      <w:lvlText w:val="(%1)"/>
      <w:lvlJc w:val="left"/>
      <w:pPr>
        <w:ind w:left="786"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7" w15:restartNumberingAfterBreak="0">
    <w:nsid w:val="547C63A1"/>
    <w:multiLevelType w:val="hybridMultilevel"/>
    <w:tmpl w:val="39143BB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C7E1B71"/>
    <w:multiLevelType w:val="hybridMultilevel"/>
    <w:tmpl w:val="AAAC3016"/>
    <w:lvl w:ilvl="0" w:tplc="1C3225AA">
      <w:start w:val="1"/>
      <w:numFmt w:val="decimal"/>
      <w:lvlText w:val="(%1)"/>
      <w:lvlJc w:val="left"/>
      <w:pPr>
        <w:ind w:left="1440" w:hanging="360"/>
      </w:pPr>
      <w:rPr>
        <w:rFonts w:hint="default"/>
      </w:rPr>
    </w:lvl>
    <w:lvl w:ilvl="1" w:tplc="EE1669D4">
      <w:start w:val="1"/>
      <w:numFmt w:val="lowerRoman"/>
      <w:lvlText w:val="%2."/>
      <w:lvlJc w:val="right"/>
      <w:pPr>
        <w:ind w:left="2160" w:hanging="360"/>
      </w:pPr>
    </w:lvl>
    <w:lvl w:ilvl="2" w:tplc="33C0A946">
      <w:start w:val="1"/>
      <w:numFmt w:val="lowerLetter"/>
      <w:lvlText w:val="(%3)"/>
      <w:lvlJc w:val="left"/>
      <w:pPr>
        <w:ind w:left="3060" w:hanging="36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57E4E1C"/>
    <w:multiLevelType w:val="hybridMultilevel"/>
    <w:tmpl w:val="65CCBB68"/>
    <w:lvl w:ilvl="0" w:tplc="2F4A8D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3" w15:restartNumberingAfterBreak="0">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F4833A7"/>
    <w:multiLevelType w:val="hybridMultilevel"/>
    <w:tmpl w:val="5AB67938"/>
    <w:lvl w:ilvl="0" w:tplc="2316837A">
      <w:start w:val="1"/>
      <w:numFmt w:val="decimal"/>
      <w:lvlText w:val="(%1)"/>
      <w:lvlJc w:val="left"/>
      <w:pPr>
        <w:ind w:left="1362" w:hanging="372"/>
      </w:pPr>
      <w:rPr>
        <w:rFonts w:ascii="Tahoma" w:eastAsia="Calibri" w:hAnsi="Tahoma" w:cs="Tahoma"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num w:numId="1">
    <w:abstractNumId w:val="16"/>
  </w:num>
  <w:num w:numId="2">
    <w:abstractNumId w:val="22"/>
  </w:num>
  <w:num w:numId="3">
    <w:abstractNumId w:val="3"/>
  </w:num>
  <w:num w:numId="4">
    <w:abstractNumId w:val="23"/>
  </w:num>
  <w:num w:numId="5">
    <w:abstractNumId w:val="1"/>
  </w:num>
  <w:num w:numId="6">
    <w:abstractNumId w:val="25"/>
  </w:num>
  <w:num w:numId="7">
    <w:abstractNumId w:val="24"/>
  </w:num>
  <w:num w:numId="8">
    <w:abstractNumId w:val="4"/>
  </w:num>
  <w:num w:numId="9">
    <w:abstractNumId w:val="20"/>
  </w:num>
  <w:num w:numId="10">
    <w:abstractNumId w:val="18"/>
  </w:num>
  <w:num w:numId="11">
    <w:abstractNumId w:val="6"/>
  </w:num>
  <w:num w:numId="12">
    <w:abstractNumId w:val="26"/>
  </w:num>
  <w:num w:numId="13">
    <w:abstractNumId w:val="9"/>
  </w:num>
  <w:num w:numId="14">
    <w:abstractNumId w:val="0"/>
  </w:num>
  <w:num w:numId="15">
    <w:abstractNumId w:val="2"/>
  </w:num>
  <w:num w:numId="16">
    <w:abstractNumId w:val="11"/>
  </w:num>
  <w:num w:numId="17">
    <w:abstractNumId w:val="15"/>
  </w:num>
  <w:num w:numId="18">
    <w:abstractNumId w:val="19"/>
  </w:num>
  <w:num w:numId="19">
    <w:abstractNumId w:val="10"/>
  </w:num>
  <w:num w:numId="20">
    <w:abstractNumId w:val="17"/>
  </w:num>
  <w:num w:numId="21">
    <w:abstractNumId w:val="7"/>
  </w:num>
  <w:num w:numId="22">
    <w:abstractNumId w:val="14"/>
  </w:num>
  <w:num w:numId="23">
    <w:abstractNumId w:val="8"/>
  </w:num>
  <w:num w:numId="24">
    <w:abstractNumId w:val="12"/>
  </w:num>
  <w:num w:numId="25">
    <w:abstractNumId w:val="13"/>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24DB"/>
    <w:rsid w:val="000629C6"/>
    <w:rsid w:val="00084C05"/>
    <w:rsid w:val="000950BA"/>
    <w:rsid w:val="000B6791"/>
    <w:rsid w:val="000C01AD"/>
    <w:rsid w:val="000D12C9"/>
    <w:rsid w:val="00102CE8"/>
    <w:rsid w:val="00105DF3"/>
    <w:rsid w:val="00125D8E"/>
    <w:rsid w:val="00141EAA"/>
    <w:rsid w:val="00152E8D"/>
    <w:rsid w:val="00162952"/>
    <w:rsid w:val="00164073"/>
    <w:rsid w:val="00166989"/>
    <w:rsid w:val="00190B29"/>
    <w:rsid w:val="00196538"/>
    <w:rsid w:val="001B13C2"/>
    <w:rsid w:val="001C647A"/>
    <w:rsid w:val="001E09A9"/>
    <w:rsid w:val="00210533"/>
    <w:rsid w:val="0026770C"/>
    <w:rsid w:val="00271AFC"/>
    <w:rsid w:val="002803F2"/>
    <w:rsid w:val="00293FD5"/>
    <w:rsid w:val="002C030C"/>
    <w:rsid w:val="002F1297"/>
    <w:rsid w:val="002F5F24"/>
    <w:rsid w:val="00307D62"/>
    <w:rsid w:val="00330452"/>
    <w:rsid w:val="003468A9"/>
    <w:rsid w:val="00374F17"/>
    <w:rsid w:val="003C0B33"/>
    <w:rsid w:val="004441AE"/>
    <w:rsid w:val="0046686D"/>
    <w:rsid w:val="0047791E"/>
    <w:rsid w:val="004A4357"/>
    <w:rsid w:val="004C6935"/>
    <w:rsid w:val="00500074"/>
    <w:rsid w:val="0053341F"/>
    <w:rsid w:val="0054518F"/>
    <w:rsid w:val="005703CE"/>
    <w:rsid w:val="005D11BF"/>
    <w:rsid w:val="006006A4"/>
    <w:rsid w:val="006011ED"/>
    <w:rsid w:val="00612054"/>
    <w:rsid w:val="0066527A"/>
    <w:rsid w:val="00665425"/>
    <w:rsid w:val="006B68DE"/>
    <w:rsid w:val="006D0793"/>
    <w:rsid w:val="006D650A"/>
    <w:rsid w:val="006E00B4"/>
    <w:rsid w:val="006E226F"/>
    <w:rsid w:val="00713886"/>
    <w:rsid w:val="00716A5F"/>
    <w:rsid w:val="007410D8"/>
    <w:rsid w:val="00741768"/>
    <w:rsid w:val="00763854"/>
    <w:rsid w:val="00767C12"/>
    <w:rsid w:val="00780828"/>
    <w:rsid w:val="007840BD"/>
    <w:rsid w:val="007A0AE8"/>
    <w:rsid w:val="007A77D7"/>
    <w:rsid w:val="007B2942"/>
    <w:rsid w:val="007C48D9"/>
    <w:rsid w:val="00824E8E"/>
    <w:rsid w:val="00847A41"/>
    <w:rsid w:val="00863DDB"/>
    <w:rsid w:val="008845FF"/>
    <w:rsid w:val="00892DFB"/>
    <w:rsid w:val="008968F5"/>
    <w:rsid w:val="008A730B"/>
    <w:rsid w:val="008E1A9C"/>
    <w:rsid w:val="0090365F"/>
    <w:rsid w:val="00905B7B"/>
    <w:rsid w:val="00930D31"/>
    <w:rsid w:val="00942881"/>
    <w:rsid w:val="00956AE9"/>
    <w:rsid w:val="00957EA0"/>
    <w:rsid w:val="009A53BF"/>
    <w:rsid w:val="009B4F7B"/>
    <w:rsid w:val="009B6439"/>
    <w:rsid w:val="009C4542"/>
    <w:rsid w:val="009E35A6"/>
    <w:rsid w:val="00A00E8D"/>
    <w:rsid w:val="00A164FA"/>
    <w:rsid w:val="00A207A4"/>
    <w:rsid w:val="00A21970"/>
    <w:rsid w:val="00A2660A"/>
    <w:rsid w:val="00A3548B"/>
    <w:rsid w:val="00A45C08"/>
    <w:rsid w:val="00A74B84"/>
    <w:rsid w:val="00A77EA7"/>
    <w:rsid w:val="00A83BB5"/>
    <w:rsid w:val="00A90AB6"/>
    <w:rsid w:val="00A96EFA"/>
    <w:rsid w:val="00AB620F"/>
    <w:rsid w:val="00AD433D"/>
    <w:rsid w:val="00AE07A0"/>
    <w:rsid w:val="00AF2898"/>
    <w:rsid w:val="00B11740"/>
    <w:rsid w:val="00B143AE"/>
    <w:rsid w:val="00B33739"/>
    <w:rsid w:val="00B34D01"/>
    <w:rsid w:val="00B43A3C"/>
    <w:rsid w:val="00B56770"/>
    <w:rsid w:val="00B5709E"/>
    <w:rsid w:val="00B66A10"/>
    <w:rsid w:val="00B81C28"/>
    <w:rsid w:val="00B81C99"/>
    <w:rsid w:val="00B87F13"/>
    <w:rsid w:val="00BA5BD2"/>
    <w:rsid w:val="00BA7FA4"/>
    <w:rsid w:val="00BB2CDD"/>
    <w:rsid w:val="00BB480D"/>
    <w:rsid w:val="00BC60BD"/>
    <w:rsid w:val="00BD0503"/>
    <w:rsid w:val="00C02FBD"/>
    <w:rsid w:val="00C0747F"/>
    <w:rsid w:val="00C11460"/>
    <w:rsid w:val="00C153E2"/>
    <w:rsid w:val="00C30545"/>
    <w:rsid w:val="00C376CE"/>
    <w:rsid w:val="00C46606"/>
    <w:rsid w:val="00C76C58"/>
    <w:rsid w:val="00CB5194"/>
    <w:rsid w:val="00CB7B00"/>
    <w:rsid w:val="00CC6424"/>
    <w:rsid w:val="00CE72A9"/>
    <w:rsid w:val="00CF1AE8"/>
    <w:rsid w:val="00D26D68"/>
    <w:rsid w:val="00D543BA"/>
    <w:rsid w:val="00D6168F"/>
    <w:rsid w:val="00D80F16"/>
    <w:rsid w:val="00DA243A"/>
    <w:rsid w:val="00DB646B"/>
    <w:rsid w:val="00DD5AA3"/>
    <w:rsid w:val="00DE52C7"/>
    <w:rsid w:val="00DF2645"/>
    <w:rsid w:val="00E06376"/>
    <w:rsid w:val="00E14AA5"/>
    <w:rsid w:val="00E25C2E"/>
    <w:rsid w:val="00E36A15"/>
    <w:rsid w:val="00E4134B"/>
    <w:rsid w:val="00E46280"/>
    <w:rsid w:val="00E46F4E"/>
    <w:rsid w:val="00E73ABB"/>
    <w:rsid w:val="00E82E1D"/>
    <w:rsid w:val="00E83FF9"/>
    <w:rsid w:val="00E86122"/>
    <w:rsid w:val="00EB2717"/>
    <w:rsid w:val="00ED20FF"/>
    <w:rsid w:val="00ED5CBA"/>
    <w:rsid w:val="00EE5757"/>
    <w:rsid w:val="00F0283E"/>
    <w:rsid w:val="00F26A98"/>
    <w:rsid w:val="00F31673"/>
    <w:rsid w:val="00F501DE"/>
    <w:rsid w:val="00F651DA"/>
    <w:rsid w:val="00F7791C"/>
    <w:rsid w:val="00F974FE"/>
    <w:rsid w:val="00FA1518"/>
    <w:rsid w:val="00FA2EA9"/>
    <w:rsid w:val="00FB342C"/>
    <w:rsid w:val="00FC7AC8"/>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A3038F"/>
  <w15:docId w15:val="{E92CC473-B305-40C6-BD84-C1CA74C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34"/>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 w:type="paragraph" w:styleId="NormalWeb">
    <w:name w:val="Normal (Web)"/>
    <w:basedOn w:val="Normal"/>
    <w:uiPriority w:val="99"/>
    <w:unhideWhenUsed/>
    <w:rsid w:val="00A90AB6"/>
    <w:pPr>
      <w:spacing w:before="100" w:beforeAutospacing="1" w:after="100" w:afterAutospacing="1"/>
    </w:pPr>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5238">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67508233">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2484-8F9F-4CCB-977E-C5F4BC4F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2639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2016-11-18T09:50:00Z</cp:lastPrinted>
  <dcterms:created xsi:type="dcterms:W3CDTF">2016-11-23T06:58:00Z</dcterms:created>
  <dcterms:modified xsi:type="dcterms:W3CDTF">2016-11-23T06:58:00Z</dcterms:modified>
</cp:coreProperties>
</file>