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930043" w:rsidRDefault="00930043" w:rsidP="00930043">
      <w:pPr>
        <w:pBdr>
          <w:bottom w:val="single" w:sz="4" w:space="1" w:color="auto"/>
        </w:pBdr>
        <w:jc w:val="center"/>
      </w:pPr>
    </w:p>
    <w:p w:rsidR="001F31E8" w:rsidRPr="0010239A" w:rsidRDefault="00930043" w:rsidP="0010239A">
      <w:pPr>
        <w:jc w:val="both"/>
        <w:rPr>
          <w:rFonts w:ascii="Arial" w:hAnsi="Arial" w:cs="Arial"/>
          <w:b/>
          <w:sz w:val="24"/>
          <w:szCs w:val="24"/>
        </w:rPr>
      </w:pPr>
      <w:r w:rsidRPr="0010239A">
        <w:rPr>
          <w:rFonts w:ascii="Arial" w:hAnsi="Arial" w:cs="Arial"/>
          <w:b/>
          <w:sz w:val="24"/>
          <w:szCs w:val="24"/>
        </w:rPr>
        <w:t xml:space="preserve">NATIONAL ASSEMBLY </w:t>
      </w:r>
    </w:p>
    <w:p w:rsidR="00930043" w:rsidRPr="0010239A" w:rsidRDefault="00930043" w:rsidP="0010239A">
      <w:pPr>
        <w:jc w:val="both"/>
        <w:rPr>
          <w:rFonts w:ascii="Arial" w:hAnsi="Arial" w:cs="Arial"/>
          <w:b/>
          <w:sz w:val="24"/>
          <w:szCs w:val="24"/>
        </w:rPr>
      </w:pPr>
      <w:r w:rsidRPr="0010239A">
        <w:rPr>
          <w:rFonts w:ascii="Arial" w:hAnsi="Arial" w:cs="Arial"/>
          <w:b/>
          <w:sz w:val="24"/>
          <w:szCs w:val="24"/>
        </w:rPr>
        <w:t xml:space="preserve">QUESTION FOR WRITTEN REPLY </w:t>
      </w:r>
    </w:p>
    <w:p w:rsidR="00930043" w:rsidRPr="0010239A" w:rsidRDefault="00930043" w:rsidP="0010239A">
      <w:pPr>
        <w:jc w:val="both"/>
        <w:rPr>
          <w:rFonts w:ascii="Arial" w:hAnsi="Arial" w:cs="Arial"/>
          <w:b/>
          <w:sz w:val="24"/>
          <w:szCs w:val="24"/>
        </w:rPr>
      </w:pPr>
      <w:r w:rsidRPr="0010239A">
        <w:rPr>
          <w:rFonts w:ascii="Arial" w:hAnsi="Arial" w:cs="Arial"/>
          <w:b/>
          <w:sz w:val="24"/>
          <w:szCs w:val="24"/>
        </w:rPr>
        <w:t>PARLIAMENTARY QUESTION NO. 2367</w:t>
      </w:r>
    </w:p>
    <w:p w:rsidR="00930043" w:rsidRPr="0010239A" w:rsidRDefault="00930043" w:rsidP="0010239A">
      <w:pPr>
        <w:jc w:val="both"/>
        <w:rPr>
          <w:rFonts w:ascii="Arial" w:hAnsi="Arial" w:cs="Arial"/>
          <w:b/>
          <w:sz w:val="24"/>
          <w:szCs w:val="24"/>
        </w:rPr>
      </w:pPr>
      <w:r w:rsidRPr="0010239A">
        <w:rPr>
          <w:rFonts w:ascii="Arial" w:hAnsi="Arial" w:cs="Arial"/>
          <w:b/>
          <w:sz w:val="24"/>
          <w:szCs w:val="24"/>
        </w:rPr>
        <w:t xml:space="preserve">DATE OF QUESTION: </w:t>
      </w:r>
      <w:r w:rsidR="008D47F8" w:rsidRPr="0010239A">
        <w:rPr>
          <w:rFonts w:ascii="Arial" w:hAnsi="Arial" w:cs="Arial"/>
          <w:b/>
          <w:sz w:val="24"/>
          <w:szCs w:val="24"/>
        </w:rPr>
        <w:t>20 JUNE 2022</w:t>
      </w:r>
    </w:p>
    <w:p w:rsidR="008D47F8" w:rsidRPr="0010239A" w:rsidRDefault="00930043" w:rsidP="0010239A">
      <w:pPr>
        <w:jc w:val="both"/>
        <w:rPr>
          <w:rFonts w:ascii="Arial" w:hAnsi="Arial" w:cs="Arial"/>
          <w:b/>
          <w:sz w:val="24"/>
          <w:szCs w:val="24"/>
        </w:rPr>
      </w:pPr>
      <w:r w:rsidRPr="0010239A">
        <w:rPr>
          <w:rFonts w:ascii="Arial" w:hAnsi="Arial" w:cs="Arial"/>
          <w:b/>
          <w:sz w:val="24"/>
          <w:szCs w:val="24"/>
        </w:rPr>
        <w:t xml:space="preserve">DATE OF SUBMISSION: </w:t>
      </w:r>
      <w:r w:rsidR="008D47F8" w:rsidRPr="0010239A">
        <w:rPr>
          <w:rFonts w:ascii="Arial" w:hAnsi="Arial" w:cs="Arial"/>
          <w:b/>
          <w:sz w:val="24"/>
          <w:szCs w:val="24"/>
        </w:rPr>
        <w:t>01 JULY 2022</w:t>
      </w:r>
    </w:p>
    <w:p w:rsidR="008D47F8" w:rsidRPr="008D47F8" w:rsidRDefault="008D47F8" w:rsidP="0010239A">
      <w:pPr>
        <w:spacing w:before="100" w:beforeAutospacing="1" w:after="100" w:afterAutospacing="1" w:line="240" w:lineRule="auto"/>
        <w:ind w:left="540" w:right="26" w:hanging="540"/>
        <w:jc w:val="both"/>
        <w:rPr>
          <w:rFonts w:ascii="Arial" w:eastAsia="Calibri" w:hAnsi="Arial" w:cs="Arial"/>
          <w:b/>
          <w:sz w:val="24"/>
          <w:szCs w:val="24"/>
        </w:rPr>
      </w:pPr>
      <w:r w:rsidRPr="008D47F8">
        <w:rPr>
          <w:rFonts w:ascii="Arial" w:eastAsia="Calibri" w:hAnsi="Arial" w:cs="Arial"/>
          <w:b/>
          <w:sz w:val="24"/>
          <w:szCs w:val="24"/>
        </w:rPr>
        <w:t>Mr J Engelbrecht (DA) to ask the Minister of Justice and Correctional Services</w:t>
      </w:r>
      <w:r w:rsidR="00FD3556" w:rsidRPr="008D47F8">
        <w:rPr>
          <w:rFonts w:ascii="Arial" w:eastAsia="Calibri" w:hAnsi="Arial" w:cs="Arial"/>
          <w:b/>
          <w:sz w:val="24"/>
          <w:szCs w:val="24"/>
        </w:rPr>
        <w:fldChar w:fldCharType="begin"/>
      </w:r>
      <w:r w:rsidRPr="008D47F8">
        <w:rPr>
          <w:rFonts w:ascii="Arial" w:eastAsia="Calibri" w:hAnsi="Arial" w:cs="Arial"/>
          <w:sz w:val="24"/>
          <w:szCs w:val="24"/>
        </w:rPr>
        <w:instrText xml:space="preserve"> XE "</w:instrText>
      </w:r>
      <w:r w:rsidRPr="008D47F8">
        <w:rPr>
          <w:rFonts w:ascii="Arial" w:eastAsia="Calibri" w:hAnsi="Arial" w:cs="Arial"/>
          <w:b/>
          <w:sz w:val="24"/>
          <w:szCs w:val="24"/>
        </w:rPr>
        <w:instrText>Justice and Correctional Services</w:instrText>
      </w:r>
      <w:r w:rsidRPr="008D47F8">
        <w:rPr>
          <w:rFonts w:ascii="Arial" w:eastAsia="Calibri" w:hAnsi="Arial" w:cs="Arial"/>
          <w:sz w:val="24"/>
          <w:szCs w:val="24"/>
        </w:rPr>
        <w:instrText xml:space="preserve">" </w:instrText>
      </w:r>
      <w:r w:rsidR="00FD3556" w:rsidRPr="008D47F8">
        <w:rPr>
          <w:rFonts w:ascii="Arial" w:eastAsia="Calibri" w:hAnsi="Arial" w:cs="Arial"/>
          <w:b/>
          <w:sz w:val="24"/>
          <w:szCs w:val="24"/>
        </w:rPr>
        <w:fldChar w:fldCharType="end"/>
      </w:r>
      <w:r w:rsidRPr="008D47F8">
        <w:rPr>
          <w:rFonts w:ascii="Arial" w:eastAsia="Calibri" w:hAnsi="Arial" w:cs="Arial"/>
          <w:b/>
          <w:sz w:val="24"/>
          <w:szCs w:val="24"/>
        </w:rPr>
        <w:t>:</w:t>
      </w:r>
    </w:p>
    <w:p w:rsidR="008D47F8" w:rsidRPr="008D47F8" w:rsidRDefault="008D47F8" w:rsidP="0010239A">
      <w:pPr>
        <w:autoSpaceDE w:val="0"/>
        <w:autoSpaceDN w:val="0"/>
        <w:adjustRightInd w:val="0"/>
        <w:spacing w:before="100" w:beforeAutospacing="1" w:after="100" w:afterAutospacing="1" w:line="240" w:lineRule="auto"/>
        <w:ind w:left="1440" w:right="26" w:hanging="720"/>
        <w:jc w:val="both"/>
        <w:rPr>
          <w:rFonts w:ascii="Arial" w:eastAsia="Calibri" w:hAnsi="Arial" w:cs="Arial"/>
          <w:sz w:val="24"/>
          <w:szCs w:val="24"/>
        </w:rPr>
      </w:pPr>
      <w:r w:rsidRPr="008D47F8">
        <w:rPr>
          <w:rFonts w:ascii="Arial" w:eastAsia="Calibri" w:hAnsi="Arial" w:cs="Arial"/>
          <w:sz w:val="24"/>
          <w:szCs w:val="24"/>
        </w:rPr>
        <w:t>(1)</w:t>
      </w:r>
      <w:r w:rsidRPr="008D47F8">
        <w:rPr>
          <w:rFonts w:ascii="Arial" w:eastAsia="Calibri" w:hAnsi="Arial" w:cs="Arial"/>
          <w:sz w:val="24"/>
          <w:szCs w:val="24"/>
        </w:rPr>
        <w:tab/>
        <w:t>Whether interaction with the (a) victims and (b) their families is a requirement in the parole hearing of the perpetrator; if not, why not; if so, what are the relevant details;</w:t>
      </w:r>
    </w:p>
    <w:p w:rsidR="008D47F8" w:rsidRPr="008D47F8" w:rsidRDefault="008D47F8" w:rsidP="0010239A">
      <w:pPr>
        <w:autoSpaceDE w:val="0"/>
        <w:autoSpaceDN w:val="0"/>
        <w:adjustRightInd w:val="0"/>
        <w:spacing w:before="100" w:beforeAutospacing="1" w:after="100" w:afterAutospacing="1" w:line="240" w:lineRule="auto"/>
        <w:ind w:left="1440" w:right="26" w:hanging="720"/>
        <w:jc w:val="both"/>
        <w:rPr>
          <w:rFonts w:ascii="Arial" w:eastAsia="Calibri" w:hAnsi="Arial" w:cs="Arial"/>
          <w:sz w:val="24"/>
          <w:szCs w:val="24"/>
        </w:rPr>
      </w:pPr>
      <w:r w:rsidRPr="008D47F8">
        <w:rPr>
          <w:rFonts w:ascii="Arial" w:eastAsia="Calibri" w:hAnsi="Arial" w:cs="Arial"/>
          <w:sz w:val="24"/>
          <w:szCs w:val="24"/>
        </w:rPr>
        <w:t>(2)</w:t>
      </w:r>
      <w:r w:rsidRPr="008D47F8">
        <w:rPr>
          <w:rFonts w:ascii="Arial" w:eastAsia="Calibri" w:hAnsi="Arial" w:cs="Arial"/>
          <w:sz w:val="24"/>
          <w:szCs w:val="24"/>
        </w:rPr>
        <w:tab/>
        <w:t>what are the number of cases in which victims and/or their families were not consulted before parole was granted since 1 March 2019?</w:t>
      </w:r>
      <w:r w:rsidRPr="008D47F8">
        <w:rPr>
          <w:rFonts w:ascii="Arial" w:eastAsia="Calibri" w:hAnsi="Arial" w:cs="Arial"/>
          <w:sz w:val="24"/>
          <w:szCs w:val="24"/>
        </w:rPr>
        <w:tab/>
      </w:r>
      <w:r w:rsidRPr="008D47F8">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r w:rsidR="0010239A">
        <w:rPr>
          <w:rFonts w:ascii="Arial" w:eastAsia="Calibri" w:hAnsi="Arial" w:cs="Arial"/>
          <w:sz w:val="24"/>
          <w:szCs w:val="24"/>
        </w:rPr>
        <w:tab/>
      </w:r>
      <w:bookmarkStart w:id="0" w:name="_GoBack"/>
      <w:bookmarkEnd w:id="0"/>
      <w:r w:rsidRPr="008D47F8">
        <w:rPr>
          <w:rFonts w:ascii="Arial" w:eastAsia="Calibri" w:hAnsi="Arial" w:cs="Arial"/>
          <w:b/>
          <w:sz w:val="24"/>
          <w:szCs w:val="24"/>
        </w:rPr>
        <w:t>NW2789E</w:t>
      </w:r>
    </w:p>
    <w:p w:rsidR="00930043" w:rsidRPr="0010239A" w:rsidRDefault="008D47F8" w:rsidP="0010239A">
      <w:pPr>
        <w:jc w:val="both"/>
        <w:rPr>
          <w:rFonts w:ascii="Arial" w:hAnsi="Arial" w:cs="Arial"/>
          <w:sz w:val="24"/>
          <w:szCs w:val="24"/>
        </w:rPr>
      </w:pPr>
      <w:r w:rsidRPr="0010239A">
        <w:rPr>
          <w:rFonts w:ascii="Arial" w:hAnsi="Arial" w:cs="Arial"/>
          <w:b/>
          <w:sz w:val="24"/>
          <w:szCs w:val="24"/>
        </w:rPr>
        <w:t>REPLY</w:t>
      </w:r>
      <w:r w:rsidRPr="0010239A">
        <w:rPr>
          <w:rFonts w:ascii="Arial" w:hAnsi="Arial" w:cs="Arial"/>
          <w:sz w:val="24"/>
          <w:szCs w:val="24"/>
        </w:rPr>
        <w:t xml:space="preserve">: </w:t>
      </w:r>
    </w:p>
    <w:p w:rsidR="008D47F8" w:rsidRPr="0010239A" w:rsidRDefault="008D47F8" w:rsidP="0010239A">
      <w:pPr>
        <w:pStyle w:val="ListParagraph"/>
        <w:numPr>
          <w:ilvl w:val="0"/>
          <w:numId w:val="1"/>
        </w:numPr>
        <w:jc w:val="both"/>
        <w:rPr>
          <w:rFonts w:ascii="Arial" w:hAnsi="Arial" w:cs="Arial"/>
          <w:sz w:val="24"/>
          <w:szCs w:val="24"/>
        </w:rPr>
      </w:pPr>
      <w:r w:rsidRPr="0010239A">
        <w:rPr>
          <w:rFonts w:ascii="Arial" w:hAnsi="Arial" w:cs="Arial"/>
          <w:sz w:val="24"/>
          <w:szCs w:val="24"/>
        </w:rPr>
        <w:t xml:space="preserve">The Department of Correctional Services (DCS), in support of Government Victim Empowerment Programme (VEP), developed procedures to facilitate and </w:t>
      </w:r>
      <w:r w:rsidR="0010239A" w:rsidRPr="0010239A">
        <w:rPr>
          <w:rFonts w:ascii="Arial" w:hAnsi="Arial" w:cs="Arial"/>
          <w:sz w:val="24"/>
          <w:szCs w:val="24"/>
        </w:rPr>
        <w:t>promote the</w:t>
      </w:r>
      <w:r w:rsidRPr="0010239A">
        <w:rPr>
          <w:rFonts w:ascii="Arial" w:hAnsi="Arial" w:cs="Arial"/>
          <w:sz w:val="24"/>
          <w:szCs w:val="24"/>
        </w:rPr>
        <w:t xml:space="preserve"> involvement of victims in Correctional Supervision and Parole Boards (CSPB) meetings whern an offender is considered for possible placement on parole. </w:t>
      </w:r>
    </w:p>
    <w:p w:rsidR="008D47F8" w:rsidRPr="0010239A" w:rsidRDefault="00512A1F" w:rsidP="0010239A">
      <w:pPr>
        <w:ind w:left="720"/>
        <w:jc w:val="both"/>
        <w:rPr>
          <w:rFonts w:ascii="Arial" w:hAnsi="Arial" w:cs="Arial"/>
          <w:sz w:val="24"/>
          <w:szCs w:val="24"/>
        </w:rPr>
      </w:pPr>
      <w:r w:rsidRPr="0010239A">
        <w:rPr>
          <w:rFonts w:ascii="Arial" w:hAnsi="Arial" w:cs="Arial"/>
          <w:sz w:val="24"/>
          <w:szCs w:val="24"/>
        </w:rPr>
        <w:t xml:space="preserve">in order to facilitate the involvement of victims in the Parole Board meetings, provisions were made in both Section 75 (4) of Correctional Services Act, 1998 (Act 111 of 1998), as well as Section 299 A of the Criminal Procedure Act, 1977 (Act 51 of 1977) to regulate matters in this regard. </w:t>
      </w:r>
    </w:p>
    <w:p w:rsidR="00512A1F" w:rsidRPr="0010239A" w:rsidRDefault="00512A1F" w:rsidP="0010239A">
      <w:pPr>
        <w:pStyle w:val="ListParagraph"/>
        <w:numPr>
          <w:ilvl w:val="0"/>
          <w:numId w:val="2"/>
        </w:numPr>
        <w:ind w:left="851" w:hanging="425"/>
        <w:jc w:val="both"/>
        <w:rPr>
          <w:rFonts w:ascii="Arial" w:hAnsi="Arial" w:cs="Arial"/>
          <w:sz w:val="24"/>
          <w:szCs w:val="24"/>
        </w:rPr>
      </w:pPr>
      <w:r w:rsidRPr="0010239A">
        <w:rPr>
          <w:rFonts w:ascii="Arial" w:hAnsi="Arial" w:cs="Arial"/>
          <w:sz w:val="24"/>
          <w:szCs w:val="24"/>
        </w:rPr>
        <w:t xml:space="preserve">(a) &amp; (b) Yes, it is a requirement to consult only victims of offences that are specified in section 299A of Act 51 of 1997. Such a victim, whether was present or absent during the sentencing of the offender, have the right to be informed of his right to make representations when placement of an offender on parole, day parole or correctional supervision is being considered. The victim is notified of the date, time and place of the Parole Board meeting. </w:t>
      </w:r>
      <w:r w:rsidRPr="0010239A">
        <w:rPr>
          <w:rFonts w:ascii="Arial" w:hAnsi="Arial" w:cs="Arial"/>
          <w:sz w:val="24"/>
          <w:szCs w:val="24"/>
        </w:rPr>
        <w:lastRenderedPageBreak/>
        <w:t xml:space="preserve">Formats of the representations, process of the meeting, and influence of representation on the decision are also explained to the victim. </w:t>
      </w:r>
    </w:p>
    <w:p w:rsidR="00512A1F" w:rsidRPr="0010239A" w:rsidRDefault="00512A1F" w:rsidP="0010239A">
      <w:pPr>
        <w:jc w:val="both"/>
        <w:rPr>
          <w:rFonts w:ascii="Arial" w:hAnsi="Arial" w:cs="Arial"/>
          <w:sz w:val="24"/>
          <w:szCs w:val="24"/>
        </w:rPr>
      </w:pPr>
      <w:r w:rsidRPr="0010239A">
        <w:rPr>
          <w:rFonts w:ascii="Arial" w:hAnsi="Arial" w:cs="Arial"/>
          <w:sz w:val="24"/>
          <w:szCs w:val="24"/>
        </w:rPr>
        <w:t xml:space="preserve">In case where the primary victim was murdered the family is also considered as victim and is invited to make a representation when an offender is considered for possible placement. It is important to note that the notification/ invitation is sent to the victim at least 30 days to the scheduled date of the Parole Board meeting. </w:t>
      </w:r>
    </w:p>
    <w:p w:rsidR="00512A1F" w:rsidRPr="0010239A" w:rsidRDefault="00512A1F" w:rsidP="0010239A">
      <w:pPr>
        <w:jc w:val="both"/>
        <w:rPr>
          <w:rFonts w:ascii="Arial" w:hAnsi="Arial" w:cs="Arial"/>
          <w:sz w:val="24"/>
          <w:szCs w:val="24"/>
        </w:rPr>
      </w:pPr>
      <w:r w:rsidRPr="0010239A">
        <w:rPr>
          <w:rFonts w:ascii="Arial" w:hAnsi="Arial" w:cs="Arial"/>
          <w:sz w:val="24"/>
          <w:szCs w:val="24"/>
        </w:rPr>
        <w:t xml:space="preserve">A list of such offences in which victims may participate in the parole processes </w:t>
      </w:r>
      <w:r w:rsidR="00C54080" w:rsidRPr="0010239A">
        <w:rPr>
          <w:rFonts w:ascii="Arial" w:hAnsi="Arial" w:cs="Arial"/>
          <w:sz w:val="24"/>
          <w:szCs w:val="24"/>
        </w:rPr>
        <w:t xml:space="preserve">is provided as follows in section 299A of the Act 51 of 1977: </w:t>
      </w:r>
    </w:p>
    <w:p w:rsidR="00C54080" w:rsidRPr="0010239A" w:rsidRDefault="00C54080" w:rsidP="0010239A">
      <w:pPr>
        <w:pStyle w:val="ListParagraph"/>
        <w:numPr>
          <w:ilvl w:val="0"/>
          <w:numId w:val="3"/>
        </w:numPr>
        <w:jc w:val="both"/>
        <w:rPr>
          <w:rFonts w:ascii="Arial" w:hAnsi="Arial" w:cs="Arial"/>
          <w:sz w:val="24"/>
          <w:szCs w:val="24"/>
        </w:rPr>
      </w:pPr>
      <w:r w:rsidRPr="0010239A">
        <w:rPr>
          <w:rFonts w:ascii="Arial" w:hAnsi="Arial" w:cs="Arial"/>
          <w:sz w:val="24"/>
          <w:szCs w:val="24"/>
        </w:rPr>
        <w:t xml:space="preserve">Murder or any other offence which involves the intentionally killing of person; </w:t>
      </w:r>
    </w:p>
    <w:p w:rsidR="00C54080" w:rsidRPr="0010239A" w:rsidRDefault="00C54080" w:rsidP="0010239A">
      <w:pPr>
        <w:pStyle w:val="ListParagraph"/>
        <w:numPr>
          <w:ilvl w:val="0"/>
          <w:numId w:val="3"/>
        </w:numPr>
        <w:jc w:val="both"/>
        <w:rPr>
          <w:rFonts w:ascii="Arial" w:hAnsi="Arial" w:cs="Arial"/>
          <w:sz w:val="24"/>
          <w:szCs w:val="24"/>
        </w:rPr>
      </w:pPr>
      <w:r w:rsidRPr="0010239A">
        <w:rPr>
          <w:rFonts w:ascii="Arial" w:hAnsi="Arial" w:cs="Arial"/>
          <w:sz w:val="24"/>
          <w:szCs w:val="24"/>
        </w:rPr>
        <w:t>Rape;</w:t>
      </w:r>
    </w:p>
    <w:p w:rsidR="00C54080" w:rsidRPr="0010239A" w:rsidRDefault="00C54080" w:rsidP="0010239A">
      <w:pPr>
        <w:pStyle w:val="ListParagraph"/>
        <w:numPr>
          <w:ilvl w:val="0"/>
          <w:numId w:val="3"/>
        </w:numPr>
        <w:jc w:val="both"/>
        <w:rPr>
          <w:rFonts w:ascii="Arial" w:hAnsi="Arial" w:cs="Arial"/>
          <w:sz w:val="24"/>
          <w:szCs w:val="24"/>
        </w:rPr>
      </w:pPr>
      <w:r w:rsidRPr="0010239A">
        <w:rPr>
          <w:rFonts w:ascii="Arial" w:hAnsi="Arial" w:cs="Arial"/>
          <w:sz w:val="24"/>
          <w:szCs w:val="24"/>
        </w:rPr>
        <w:t xml:space="preserve">Robbery where the wielding of a fire-arm or any other dangerous weapon or the infliction of grievous bodily harm or the robbery of a motor vehicle in involved; </w:t>
      </w:r>
    </w:p>
    <w:p w:rsidR="00C54080" w:rsidRPr="0010239A" w:rsidRDefault="00C54080" w:rsidP="0010239A">
      <w:pPr>
        <w:pStyle w:val="ListParagraph"/>
        <w:numPr>
          <w:ilvl w:val="0"/>
          <w:numId w:val="3"/>
        </w:numPr>
        <w:jc w:val="both"/>
        <w:rPr>
          <w:rFonts w:ascii="Arial" w:hAnsi="Arial" w:cs="Arial"/>
          <w:sz w:val="24"/>
          <w:szCs w:val="24"/>
        </w:rPr>
      </w:pPr>
      <w:r w:rsidRPr="0010239A">
        <w:rPr>
          <w:rFonts w:ascii="Arial" w:hAnsi="Arial" w:cs="Arial"/>
          <w:sz w:val="24"/>
          <w:szCs w:val="24"/>
        </w:rPr>
        <w:t xml:space="preserve">Assault of a sexual nature; </w:t>
      </w:r>
    </w:p>
    <w:p w:rsidR="00C54080" w:rsidRPr="0010239A" w:rsidRDefault="00C54080" w:rsidP="0010239A">
      <w:pPr>
        <w:pStyle w:val="ListParagraph"/>
        <w:numPr>
          <w:ilvl w:val="0"/>
          <w:numId w:val="3"/>
        </w:numPr>
        <w:jc w:val="both"/>
        <w:rPr>
          <w:rFonts w:ascii="Arial" w:hAnsi="Arial" w:cs="Arial"/>
          <w:sz w:val="24"/>
          <w:szCs w:val="24"/>
        </w:rPr>
      </w:pPr>
      <w:r w:rsidRPr="0010239A">
        <w:rPr>
          <w:rFonts w:ascii="Arial" w:hAnsi="Arial" w:cs="Arial"/>
          <w:sz w:val="24"/>
          <w:szCs w:val="24"/>
        </w:rPr>
        <w:t>Kidnaping or any conspiracy, incitement or attempt to commit any offence contemplated in paragraphs (a) to (b)</w:t>
      </w:r>
    </w:p>
    <w:p w:rsidR="00C54080" w:rsidRPr="0010239A" w:rsidRDefault="00C54080" w:rsidP="0010239A">
      <w:pPr>
        <w:jc w:val="both"/>
        <w:rPr>
          <w:rFonts w:ascii="Arial" w:hAnsi="Arial" w:cs="Arial"/>
          <w:sz w:val="24"/>
          <w:szCs w:val="24"/>
        </w:rPr>
      </w:pPr>
      <w:r w:rsidRPr="0010239A">
        <w:rPr>
          <w:rFonts w:ascii="Arial" w:hAnsi="Arial" w:cs="Arial"/>
          <w:sz w:val="24"/>
          <w:szCs w:val="24"/>
        </w:rPr>
        <w:t>However, a victim of any other offence not listed above is also allowed to make representations to the Parole Board and the Board may not disapprove such a request without good reason.</w:t>
      </w:r>
    </w:p>
    <w:p w:rsidR="00C54080" w:rsidRPr="0010239A" w:rsidRDefault="00C54080" w:rsidP="0010239A">
      <w:pPr>
        <w:jc w:val="both"/>
        <w:rPr>
          <w:rFonts w:ascii="Arial" w:hAnsi="Arial" w:cs="Arial"/>
          <w:sz w:val="24"/>
          <w:szCs w:val="24"/>
        </w:rPr>
      </w:pPr>
      <w:r w:rsidRPr="0010239A">
        <w:rPr>
          <w:rFonts w:ascii="Arial" w:hAnsi="Arial" w:cs="Arial"/>
          <w:sz w:val="24"/>
          <w:szCs w:val="24"/>
        </w:rPr>
        <w:t xml:space="preserve">The Department has employed Auxiliary Social Workers who are amongst others assisting with victim tracing in each Management Area. </w:t>
      </w:r>
    </w:p>
    <w:p w:rsidR="00C54080" w:rsidRPr="0010239A" w:rsidRDefault="00C54080" w:rsidP="0010239A">
      <w:pPr>
        <w:pStyle w:val="ListParagraph"/>
        <w:numPr>
          <w:ilvl w:val="0"/>
          <w:numId w:val="2"/>
        </w:numPr>
        <w:ind w:left="567" w:hanging="567"/>
        <w:jc w:val="both"/>
        <w:rPr>
          <w:rFonts w:ascii="Arial" w:hAnsi="Arial" w:cs="Arial"/>
          <w:sz w:val="24"/>
          <w:szCs w:val="24"/>
        </w:rPr>
      </w:pPr>
      <w:r w:rsidRPr="0010239A">
        <w:rPr>
          <w:rFonts w:ascii="Arial" w:hAnsi="Arial" w:cs="Arial"/>
          <w:sz w:val="24"/>
          <w:szCs w:val="24"/>
        </w:rPr>
        <w:t xml:space="preserve">The table below outlines the number of cases in which victims and\/ or their families were not consulted before parole was granted: </w:t>
      </w:r>
    </w:p>
    <w:tbl>
      <w:tblPr>
        <w:tblStyle w:val="TableGrid"/>
        <w:tblW w:w="0" w:type="auto"/>
        <w:tblInd w:w="720" w:type="dxa"/>
        <w:tblLook w:val="04A0"/>
      </w:tblPr>
      <w:tblGrid>
        <w:gridCol w:w="2163"/>
        <w:gridCol w:w="2119"/>
        <w:gridCol w:w="2120"/>
        <w:gridCol w:w="2120"/>
      </w:tblGrid>
      <w:tr w:rsidR="00282487" w:rsidRPr="0010239A" w:rsidTr="00282487">
        <w:tc>
          <w:tcPr>
            <w:tcW w:w="2163" w:type="dxa"/>
            <w:shd w:val="clear" w:color="auto" w:fill="A6A6A6" w:themeFill="background1" w:themeFillShade="A6"/>
          </w:tcPr>
          <w:p w:rsidR="00282487" w:rsidRPr="0010239A" w:rsidRDefault="00282487" w:rsidP="0010239A">
            <w:pPr>
              <w:jc w:val="both"/>
              <w:rPr>
                <w:rFonts w:ascii="Arial" w:hAnsi="Arial" w:cs="Arial"/>
                <w:b/>
                <w:sz w:val="24"/>
                <w:szCs w:val="24"/>
              </w:rPr>
            </w:pPr>
            <w:r w:rsidRPr="0010239A">
              <w:rPr>
                <w:rFonts w:ascii="Arial" w:hAnsi="Arial" w:cs="Arial"/>
                <w:b/>
                <w:sz w:val="24"/>
                <w:szCs w:val="24"/>
              </w:rPr>
              <w:t>Region</w:t>
            </w:r>
          </w:p>
        </w:tc>
        <w:tc>
          <w:tcPr>
            <w:tcW w:w="2119" w:type="dxa"/>
            <w:shd w:val="clear" w:color="auto" w:fill="A6A6A6" w:themeFill="background1" w:themeFillShade="A6"/>
          </w:tcPr>
          <w:p w:rsidR="00282487" w:rsidRPr="0010239A" w:rsidRDefault="00282487" w:rsidP="0010239A">
            <w:pPr>
              <w:jc w:val="both"/>
              <w:rPr>
                <w:rFonts w:ascii="Arial" w:hAnsi="Arial" w:cs="Arial"/>
                <w:b/>
                <w:sz w:val="24"/>
                <w:szCs w:val="24"/>
              </w:rPr>
            </w:pPr>
            <w:r w:rsidRPr="0010239A">
              <w:rPr>
                <w:rFonts w:ascii="Arial" w:hAnsi="Arial" w:cs="Arial"/>
                <w:b/>
                <w:sz w:val="24"/>
                <w:szCs w:val="24"/>
              </w:rPr>
              <w:t>2019/2020</w:t>
            </w:r>
          </w:p>
        </w:tc>
        <w:tc>
          <w:tcPr>
            <w:tcW w:w="2120" w:type="dxa"/>
            <w:shd w:val="clear" w:color="auto" w:fill="A6A6A6" w:themeFill="background1" w:themeFillShade="A6"/>
          </w:tcPr>
          <w:p w:rsidR="00282487" w:rsidRPr="0010239A" w:rsidRDefault="00282487" w:rsidP="0010239A">
            <w:pPr>
              <w:jc w:val="both"/>
              <w:rPr>
                <w:rFonts w:ascii="Arial" w:hAnsi="Arial" w:cs="Arial"/>
                <w:b/>
                <w:sz w:val="24"/>
                <w:szCs w:val="24"/>
              </w:rPr>
            </w:pPr>
            <w:r w:rsidRPr="0010239A">
              <w:rPr>
                <w:rFonts w:ascii="Arial" w:hAnsi="Arial" w:cs="Arial"/>
                <w:b/>
                <w:sz w:val="24"/>
                <w:szCs w:val="24"/>
              </w:rPr>
              <w:t>2020/2021</w:t>
            </w:r>
          </w:p>
        </w:tc>
        <w:tc>
          <w:tcPr>
            <w:tcW w:w="2120" w:type="dxa"/>
            <w:shd w:val="clear" w:color="auto" w:fill="A6A6A6" w:themeFill="background1" w:themeFillShade="A6"/>
          </w:tcPr>
          <w:p w:rsidR="00282487" w:rsidRPr="0010239A" w:rsidRDefault="00282487" w:rsidP="0010239A">
            <w:pPr>
              <w:jc w:val="both"/>
              <w:rPr>
                <w:rFonts w:ascii="Arial" w:hAnsi="Arial" w:cs="Arial"/>
                <w:b/>
                <w:sz w:val="24"/>
                <w:szCs w:val="24"/>
              </w:rPr>
            </w:pPr>
            <w:r w:rsidRPr="0010239A">
              <w:rPr>
                <w:rFonts w:ascii="Arial" w:hAnsi="Arial" w:cs="Arial"/>
                <w:b/>
                <w:sz w:val="24"/>
                <w:szCs w:val="24"/>
              </w:rPr>
              <w:t>2021/2022</w:t>
            </w:r>
          </w:p>
        </w:tc>
      </w:tr>
      <w:tr w:rsidR="00282487" w:rsidRPr="0010239A" w:rsidTr="00282487">
        <w:tc>
          <w:tcPr>
            <w:tcW w:w="2163"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Eastern Cape </w:t>
            </w:r>
          </w:p>
        </w:tc>
        <w:tc>
          <w:tcPr>
            <w:tcW w:w="2119"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20 </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81</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15</w:t>
            </w:r>
          </w:p>
        </w:tc>
      </w:tr>
      <w:tr w:rsidR="00282487" w:rsidRPr="0010239A" w:rsidTr="00282487">
        <w:tc>
          <w:tcPr>
            <w:tcW w:w="2163"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Limpopo, Mpumalanga, North West </w:t>
            </w:r>
          </w:p>
        </w:tc>
        <w:tc>
          <w:tcPr>
            <w:tcW w:w="2119"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245</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470</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351</w:t>
            </w:r>
          </w:p>
        </w:tc>
      </w:tr>
      <w:tr w:rsidR="00282487" w:rsidRPr="0010239A" w:rsidTr="00282487">
        <w:tc>
          <w:tcPr>
            <w:tcW w:w="2163"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Free State &amp; Northern Cape </w:t>
            </w:r>
          </w:p>
        </w:tc>
        <w:tc>
          <w:tcPr>
            <w:tcW w:w="2119"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21</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39</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07</w:t>
            </w:r>
          </w:p>
        </w:tc>
      </w:tr>
      <w:tr w:rsidR="00282487" w:rsidRPr="0010239A" w:rsidTr="00282487">
        <w:tc>
          <w:tcPr>
            <w:tcW w:w="2163"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Kwa-Zulu Natal </w:t>
            </w:r>
          </w:p>
        </w:tc>
        <w:tc>
          <w:tcPr>
            <w:tcW w:w="2119"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235</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605</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947</w:t>
            </w:r>
          </w:p>
        </w:tc>
      </w:tr>
      <w:tr w:rsidR="00282487" w:rsidRPr="0010239A" w:rsidTr="00282487">
        <w:tc>
          <w:tcPr>
            <w:tcW w:w="2163"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Gauteng </w:t>
            </w:r>
          </w:p>
        </w:tc>
        <w:tc>
          <w:tcPr>
            <w:tcW w:w="2119"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836</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776</w:t>
            </w:r>
          </w:p>
        </w:tc>
        <w:tc>
          <w:tcPr>
            <w:tcW w:w="2120" w:type="dxa"/>
          </w:tcPr>
          <w:p w:rsidR="00282487" w:rsidRPr="0010239A" w:rsidRDefault="00282487" w:rsidP="0010239A">
            <w:pPr>
              <w:jc w:val="both"/>
              <w:rPr>
                <w:rFonts w:ascii="Arial" w:hAnsi="Arial" w:cs="Arial"/>
                <w:sz w:val="24"/>
                <w:szCs w:val="24"/>
              </w:rPr>
            </w:pPr>
            <w:r w:rsidRPr="0010239A">
              <w:rPr>
                <w:rFonts w:ascii="Arial" w:hAnsi="Arial" w:cs="Arial"/>
                <w:sz w:val="24"/>
                <w:szCs w:val="24"/>
              </w:rPr>
              <w:t>551</w:t>
            </w:r>
          </w:p>
        </w:tc>
      </w:tr>
      <w:tr w:rsidR="00282487" w:rsidRPr="0010239A" w:rsidTr="00282487">
        <w:tc>
          <w:tcPr>
            <w:tcW w:w="2163" w:type="dxa"/>
            <w:tcBorders>
              <w:bottom w:val="single" w:sz="4" w:space="0" w:color="A6A6A6" w:themeColor="background1" w:themeShade="A6"/>
            </w:tcBorders>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Western Cape </w:t>
            </w:r>
          </w:p>
        </w:tc>
        <w:tc>
          <w:tcPr>
            <w:tcW w:w="2119" w:type="dxa"/>
            <w:tcBorders>
              <w:bottom w:val="single" w:sz="4" w:space="0" w:color="A6A6A6" w:themeColor="background1" w:themeShade="A6"/>
            </w:tcBorders>
          </w:tcPr>
          <w:p w:rsidR="00282487" w:rsidRPr="0010239A" w:rsidRDefault="00282487" w:rsidP="0010239A">
            <w:pPr>
              <w:jc w:val="both"/>
              <w:rPr>
                <w:rFonts w:ascii="Arial" w:hAnsi="Arial" w:cs="Arial"/>
                <w:sz w:val="24"/>
                <w:szCs w:val="24"/>
              </w:rPr>
            </w:pPr>
            <w:r w:rsidRPr="0010239A">
              <w:rPr>
                <w:rFonts w:ascii="Arial" w:hAnsi="Arial" w:cs="Arial"/>
                <w:sz w:val="24"/>
                <w:szCs w:val="24"/>
              </w:rPr>
              <w:t>39</w:t>
            </w:r>
          </w:p>
        </w:tc>
        <w:tc>
          <w:tcPr>
            <w:tcW w:w="2120" w:type="dxa"/>
            <w:tcBorders>
              <w:bottom w:val="single" w:sz="4" w:space="0" w:color="A6A6A6" w:themeColor="background1" w:themeShade="A6"/>
            </w:tcBorders>
          </w:tcPr>
          <w:p w:rsidR="00282487" w:rsidRPr="0010239A" w:rsidRDefault="00282487" w:rsidP="0010239A">
            <w:pPr>
              <w:jc w:val="both"/>
              <w:rPr>
                <w:rFonts w:ascii="Arial" w:hAnsi="Arial" w:cs="Arial"/>
                <w:sz w:val="24"/>
                <w:szCs w:val="24"/>
              </w:rPr>
            </w:pPr>
            <w:r w:rsidRPr="0010239A">
              <w:rPr>
                <w:rFonts w:ascii="Arial" w:hAnsi="Arial" w:cs="Arial"/>
                <w:sz w:val="24"/>
                <w:szCs w:val="24"/>
              </w:rPr>
              <w:t>62</w:t>
            </w:r>
          </w:p>
        </w:tc>
        <w:tc>
          <w:tcPr>
            <w:tcW w:w="2120" w:type="dxa"/>
            <w:tcBorders>
              <w:bottom w:val="single" w:sz="4" w:space="0" w:color="A6A6A6" w:themeColor="background1" w:themeShade="A6"/>
            </w:tcBorders>
          </w:tcPr>
          <w:p w:rsidR="00282487" w:rsidRPr="0010239A" w:rsidRDefault="00282487" w:rsidP="0010239A">
            <w:pPr>
              <w:jc w:val="both"/>
              <w:rPr>
                <w:rFonts w:ascii="Arial" w:hAnsi="Arial" w:cs="Arial"/>
                <w:sz w:val="24"/>
                <w:szCs w:val="24"/>
              </w:rPr>
            </w:pPr>
            <w:r w:rsidRPr="0010239A">
              <w:rPr>
                <w:rFonts w:ascii="Arial" w:hAnsi="Arial" w:cs="Arial"/>
                <w:sz w:val="24"/>
                <w:szCs w:val="24"/>
              </w:rPr>
              <w:t>11</w:t>
            </w:r>
          </w:p>
        </w:tc>
      </w:tr>
      <w:tr w:rsidR="0010239A" w:rsidRPr="0010239A" w:rsidTr="00282487">
        <w:tc>
          <w:tcPr>
            <w:tcW w:w="21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pct25" w:color="auto" w:fill="auto"/>
          </w:tcPr>
          <w:p w:rsidR="00282487" w:rsidRPr="0010239A" w:rsidRDefault="00282487" w:rsidP="0010239A">
            <w:pPr>
              <w:jc w:val="both"/>
              <w:rPr>
                <w:rFonts w:ascii="Arial" w:hAnsi="Arial" w:cs="Arial"/>
                <w:sz w:val="24"/>
                <w:szCs w:val="24"/>
              </w:rPr>
            </w:pPr>
            <w:r w:rsidRPr="0010239A">
              <w:rPr>
                <w:rFonts w:ascii="Arial" w:hAnsi="Arial" w:cs="Arial"/>
                <w:sz w:val="24"/>
                <w:szCs w:val="24"/>
              </w:rPr>
              <w:t xml:space="preserve">Grand Total </w:t>
            </w:r>
          </w:p>
        </w:tc>
        <w:tc>
          <w:tcPr>
            <w:tcW w:w="2119" w:type="dxa"/>
            <w:tcBorders>
              <w:top w:val="single" w:sz="4" w:space="0" w:color="A6A6A6" w:themeColor="background1" w:themeShade="A6"/>
              <w:left w:val="nil"/>
              <w:bottom w:val="single" w:sz="4" w:space="0" w:color="A6A6A6" w:themeColor="background1" w:themeShade="A6"/>
              <w:right w:val="nil"/>
            </w:tcBorders>
            <w:shd w:val="pct25" w:color="auto" w:fill="auto"/>
          </w:tcPr>
          <w:p w:rsidR="00282487" w:rsidRPr="0010239A" w:rsidRDefault="00282487" w:rsidP="0010239A">
            <w:pPr>
              <w:jc w:val="both"/>
              <w:rPr>
                <w:rFonts w:ascii="Arial" w:hAnsi="Arial" w:cs="Arial"/>
                <w:sz w:val="24"/>
                <w:szCs w:val="24"/>
              </w:rPr>
            </w:pPr>
            <w:r w:rsidRPr="0010239A">
              <w:rPr>
                <w:rFonts w:ascii="Arial" w:hAnsi="Arial" w:cs="Arial"/>
                <w:sz w:val="24"/>
                <w:szCs w:val="24"/>
              </w:rPr>
              <w:t>1396</w:t>
            </w:r>
          </w:p>
        </w:tc>
        <w:tc>
          <w:tcPr>
            <w:tcW w:w="2120" w:type="dxa"/>
            <w:tcBorders>
              <w:top w:val="single" w:sz="4" w:space="0" w:color="A6A6A6" w:themeColor="background1" w:themeShade="A6"/>
              <w:left w:val="nil"/>
              <w:bottom w:val="single" w:sz="4" w:space="0" w:color="A6A6A6" w:themeColor="background1" w:themeShade="A6"/>
              <w:right w:val="nil"/>
            </w:tcBorders>
            <w:shd w:val="pct25" w:color="auto" w:fill="auto"/>
          </w:tcPr>
          <w:p w:rsidR="00282487" w:rsidRPr="0010239A" w:rsidRDefault="00282487" w:rsidP="0010239A">
            <w:pPr>
              <w:jc w:val="both"/>
              <w:rPr>
                <w:rFonts w:ascii="Arial" w:hAnsi="Arial" w:cs="Arial"/>
                <w:sz w:val="24"/>
                <w:szCs w:val="24"/>
              </w:rPr>
            </w:pPr>
            <w:r w:rsidRPr="0010239A">
              <w:rPr>
                <w:rFonts w:ascii="Arial" w:hAnsi="Arial" w:cs="Arial"/>
                <w:sz w:val="24"/>
                <w:szCs w:val="24"/>
              </w:rPr>
              <w:t>2033</w:t>
            </w:r>
          </w:p>
        </w:tc>
        <w:tc>
          <w:tcPr>
            <w:tcW w:w="21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pct25" w:color="auto" w:fill="auto"/>
          </w:tcPr>
          <w:p w:rsidR="00282487" w:rsidRPr="0010239A" w:rsidRDefault="00282487" w:rsidP="0010239A">
            <w:pPr>
              <w:jc w:val="both"/>
              <w:rPr>
                <w:rFonts w:ascii="Arial" w:hAnsi="Arial" w:cs="Arial"/>
                <w:sz w:val="24"/>
                <w:szCs w:val="24"/>
              </w:rPr>
            </w:pPr>
            <w:r w:rsidRPr="0010239A">
              <w:rPr>
                <w:rFonts w:ascii="Arial" w:hAnsi="Arial" w:cs="Arial"/>
                <w:sz w:val="24"/>
                <w:szCs w:val="24"/>
              </w:rPr>
              <w:t>1882</w:t>
            </w:r>
          </w:p>
        </w:tc>
      </w:tr>
    </w:tbl>
    <w:p w:rsidR="00C54080" w:rsidRPr="0010239A" w:rsidRDefault="00C54080" w:rsidP="0010239A">
      <w:pPr>
        <w:ind w:left="720"/>
        <w:jc w:val="both"/>
        <w:rPr>
          <w:rFonts w:ascii="Arial" w:hAnsi="Arial" w:cs="Arial"/>
          <w:sz w:val="24"/>
          <w:szCs w:val="24"/>
        </w:rPr>
      </w:pPr>
    </w:p>
    <w:p w:rsidR="0010239A" w:rsidRPr="0010239A" w:rsidRDefault="0010239A" w:rsidP="0010239A">
      <w:pPr>
        <w:jc w:val="both"/>
        <w:rPr>
          <w:rFonts w:ascii="Arial" w:hAnsi="Arial" w:cs="Arial"/>
          <w:sz w:val="24"/>
          <w:szCs w:val="24"/>
        </w:rPr>
      </w:pPr>
      <w:r w:rsidRPr="0010239A">
        <w:rPr>
          <w:rFonts w:ascii="Arial" w:hAnsi="Arial" w:cs="Arial"/>
          <w:sz w:val="24"/>
          <w:szCs w:val="24"/>
        </w:rPr>
        <w:t xml:space="preserve">Covid-19 had a negative impact on victim participation in the Parole Board meetings, which made it difficult for more victims to be traced during that period. Although some participated in Victim Offender Dialogue they have registered a need not to participate when parole is considred.some victims that were traced had relocated to unknown areas. It should be noted that efforts have been made to trace all victims with no success. </w:t>
      </w:r>
    </w:p>
    <w:p w:rsidR="0010239A" w:rsidRPr="0010239A" w:rsidRDefault="0010239A" w:rsidP="0010239A">
      <w:pPr>
        <w:jc w:val="both"/>
        <w:rPr>
          <w:rFonts w:ascii="Arial" w:hAnsi="Arial" w:cs="Arial"/>
          <w:sz w:val="24"/>
          <w:szCs w:val="24"/>
        </w:rPr>
      </w:pPr>
      <w:r w:rsidRPr="0010239A">
        <w:rPr>
          <w:rFonts w:ascii="Arial" w:hAnsi="Arial" w:cs="Arial"/>
          <w:sz w:val="24"/>
          <w:szCs w:val="24"/>
        </w:rPr>
        <w:t xml:space="preserve">For the same reported period the following number of victims participated in the Parole Board meetings through various forms of representations during parole processes such as physical, written and audio recordings. </w:t>
      </w:r>
    </w:p>
    <w:tbl>
      <w:tblPr>
        <w:tblStyle w:val="TableGrid"/>
        <w:tblW w:w="0" w:type="auto"/>
        <w:tblLook w:val="04A0"/>
      </w:tblPr>
      <w:tblGrid>
        <w:gridCol w:w="3080"/>
        <w:gridCol w:w="3081"/>
        <w:gridCol w:w="3081"/>
      </w:tblGrid>
      <w:tr w:rsidR="0010239A" w:rsidRPr="0010239A" w:rsidTr="0010239A">
        <w:tc>
          <w:tcPr>
            <w:tcW w:w="3080" w:type="dxa"/>
            <w:shd w:val="clear" w:color="auto" w:fill="A6A6A6" w:themeFill="background1" w:themeFillShade="A6"/>
          </w:tcPr>
          <w:p w:rsidR="0010239A" w:rsidRPr="0010239A" w:rsidRDefault="0010239A" w:rsidP="0010239A">
            <w:pPr>
              <w:jc w:val="both"/>
              <w:rPr>
                <w:rFonts w:ascii="Arial" w:hAnsi="Arial" w:cs="Arial"/>
                <w:b/>
                <w:sz w:val="24"/>
                <w:szCs w:val="24"/>
              </w:rPr>
            </w:pPr>
            <w:r w:rsidRPr="0010239A">
              <w:rPr>
                <w:rFonts w:ascii="Arial" w:hAnsi="Arial" w:cs="Arial"/>
                <w:b/>
                <w:sz w:val="24"/>
                <w:szCs w:val="24"/>
              </w:rPr>
              <w:t>2019/2020</w:t>
            </w:r>
          </w:p>
        </w:tc>
        <w:tc>
          <w:tcPr>
            <w:tcW w:w="3081" w:type="dxa"/>
            <w:shd w:val="clear" w:color="auto" w:fill="A6A6A6" w:themeFill="background1" w:themeFillShade="A6"/>
          </w:tcPr>
          <w:p w:rsidR="0010239A" w:rsidRPr="0010239A" w:rsidRDefault="0010239A" w:rsidP="0010239A">
            <w:pPr>
              <w:jc w:val="both"/>
              <w:rPr>
                <w:rFonts w:ascii="Arial" w:hAnsi="Arial" w:cs="Arial"/>
                <w:b/>
                <w:sz w:val="24"/>
                <w:szCs w:val="24"/>
              </w:rPr>
            </w:pPr>
            <w:r w:rsidRPr="0010239A">
              <w:rPr>
                <w:rFonts w:ascii="Arial" w:hAnsi="Arial" w:cs="Arial"/>
                <w:b/>
                <w:sz w:val="24"/>
                <w:szCs w:val="24"/>
              </w:rPr>
              <w:t>2020/2021</w:t>
            </w:r>
          </w:p>
        </w:tc>
        <w:tc>
          <w:tcPr>
            <w:tcW w:w="3081" w:type="dxa"/>
            <w:shd w:val="clear" w:color="auto" w:fill="A6A6A6" w:themeFill="background1" w:themeFillShade="A6"/>
          </w:tcPr>
          <w:p w:rsidR="0010239A" w:rsidRPr="0010239A" w:rsidRDefault="0010239A" w:rsidP="0010239A">
            <w:pPr>
              <w:jc w:val="both"/>
              <w:rPr>
                <w:rFonts w:ascii="Arial" w:hAnsi="Arial" w:cs="Arial"/>
                <w:b/>
                <w:sz w:val="24"/>
                <w:szCs w:val="24"/>
              </w:rPr>
            </w:pPr>
            <w:r w:rsidRPr="0010239A">
              <w:rPr>
                <w:rFonts w:ascii="Arial" w:hAnsi="Arial" w:cs="Arial"/>
                <w:b/>
                <w:sz w:val="24"/>
                <w:szCs w:val="24"/>
              </w:rPr>
              <w:t>2021/2022</w:t>
            </w:r>
          </w:p>
        </w:tc>
      </w:tr>
      <w:tr w:rsidR="0010239A" w:rsidRPr="0010239A" w:rsidTr="0010239A">
        <w:tc>
          <w:tcPr>
            <w:tcW w:w="3080" w:type="dxa"/>
          </w:tcPr>
          <w:p w:rsidR="0010239A" w:rsidRPr="0010239A" w:rsidRDefault="0010239A" w:rsidP="0010239A">
            <w:pPr>
              <w:jc w:val="both"/>
              <w:rPr>
                <w:rFonts w:ascii="Arial" w:hAnsi="Arial" w:cs="Arial"/>
                <w:sz w:val="24"/>
                <w:szCs w:val="24"/>
              </w:rPr>
            </w:pPr>
            <w:r w:rsidRPr="0010239A">
              <w:rPr>
                <w:rFonts w:ascii="Arial" w:hAnsi="Arial" w:cs="Arial"/>
                <w:sz w:val="24"/>
                <w:szCs w:val="24"/>
              </w:rPr>
              <w:t>1456</w:t>
            </w:r>
          </w:p>
        </w:tc>
        <w:tc>
          <w:tcPr>
            <w:tcW w:w="3081" w:type="dxa"/>
          </w:tcPr>
          <w:p w:rsidR="0010239A" w:rsidRPr="0010239A" w:rsidRDefault="0010239A" w:rsidP="0010239A">
            <w:pPr>
              <w:jc w:val="both"/>
              <w:rPr>
                <w:rFonts w:ascii="Arial" w:hAnsi="Arial" w:cs="Arial"/>
                <w:sz w:val="24"/>
                <w:szCs w:val="24"/>
              </w:rPr>
            </w:pPr>
            <w:r w:rsidRPr="0010239A">
              <w:rPr>
                <w:rFonts w:ascii="Arial" w:hAnsi="Arial" w:cs="Arial"/>
                <w:sz w:val="24"/>
                <w:szCs w:val="24"/>
              </w:rPr>
              <w:t>1765</w:t>
            </w:r>
          </w:p>
        </w:tc>
        <w:tc>
          <w:tcPr>
            <w:tcW w:w="3081" w:type="dxa"/>
          </w:tcPr>
          <w:p w:rsidR="0010239A" w:rsidRPr="0010239A" w:rsidRDefault="0010239A" w:rsidP="0010239A">
            <w:pPr>
              <w:jc w:val="both"/>
              <w:rPr>
                <w:rFonts w:ascii="Arial" w:hAnsi="Arial" w:cs="Arial"/>
                <w:sz w:val="24"/>
                <w:szCs w:val="24"/>
              </w:rPr>
            </w:pPr>
            <w:r w:rsidRPr="0010239A">
              <w:rPr>
                <w:rFonts w:ascii="Arial" w:hAnsi="Arial" w:cs="Arial"/>
                <w:sz w:val="24"/>
                <w:szCs w:val="24"/>
              </w:rPr>
              <w:t>1721</w:t>
            </w:r>
          </w:p>
        </w:tc>
      </w:tr>
    </w:tbl>
    <w:p w:rsidR="0010239A" w:rsidRPr="0010239A" w:rsidRDefault="0010239A" w:rsidP="0010239A">
      <w:pPr>
        <w:jc w:val="both"/>
        <w:rPr>
          <w:rFonts w:ascii="Arial" w:hAnsi="Arial" w:cs="Arial"/>
          <w:sz w:val="24"/>
          <w:szCs w:val="24"/>
        </w:rPr>
      </w:pPr>
    </w:p>
    <w:p w:rsidR="0010239A" w:rsidRPr="0010239A" w:rsidRDefault="0010239A" w:rsidP="0010239A">
      <w:pPr>
        <w:jc w:val="both"/>
        <w:rPr>
          <w:rFonts w:ascii="Arial" w:hAnsi="Arial" w:cs="Arial"/>
          <w:b/>
          <w:sz w:val="24"/>
          <w:szCs w:val="24"/>
        </w:rPr>
      </w:pPr>
      <w:r w:rsidRPr="0010239A">
        <w:rPr>
          <w:rFonts w:ascii="Arial" w:hAnsi="Arial" w:cs="Arial"/>
          <w:b/>
          <w:sz w:val="24"/>
          <w:szCs w:val="24"/>
        </w:rPr>
        <w:t xml:space="preserve">END </w:t>
      </w:r>
    </w:p>
    <w:sectPr w:rsidR="0010239A" w:rsidRPr="0010239A" w:rsidSect="00FD35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C9" w:rsidRDefault="00890EC9" w:rsidP="00E82A53">
      <w:pPr>
        <w:spacing w:after="0" w:line="240" w:lineRule="auto"/>
      </w:pPr>
      <w:r>
        <w:separator/>
      </w:r>
    </w:p>
  </w:endnote>
  <w:endnote w:type="continuationSeparator" w:id="0">
    <w:p w:rsidR="00890EC9" w:rsidRDefault="00890EC9"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C9" w:rsidRDefault="00890EC9" w:rsidP="00E82A53">
      <w:pPr>
        <w:spacing w:after="0" w:line="240" w:lineRule="auto"/>
      </w:pPr>
      <w:r>
        <w:separator/>
      </w:r>
    </w:p>
  </w:footnote>
  <w:footnote w:type="continuationSeparator" w:id="0">
    <w:p w:rsidR="00890EC9" w:rsidRDefault="00890EC9"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BA1"/>
    <w:multiLevelType w:val="hybridMultilevel"/>
    <w:tmpl w:val="132CC33C"/>
    <w:lvl w:ilvl="0" w:tplc="A6F243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CC7B11"/>
    <w:multiLevelType w:val="hybridMultilevel"/>
    <w:tmpl w:val="3118C298"/>
    <w:lvl w:ilvl="0" w:tplc="3CE47F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6F93B14"/>
    <w:multiLevelType w:val="hybridMultilevel"/>
    <w:tmpl w:val="732613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82A53"/>
    <w:rsid w:val="0010239A"/>
    <w:rsid w:val="00282487"/>
    <w:rsid w:val="003A39AC"/>
    <w:rsid w:val="00512A1F"/>
    <w:rsid w:val="005D40C3"/>
    <w:rsid w:val="00890EC9"/>
    <w:rsid w:val="008D47F8"/>
    <w:rsid w:val="00930043"/>
    <w:rsid w:val="009411C1"/>
    <w:rsid w:val="00C54080"/>
    <w:rsid w:val="00E17322"/>
    <w:rsid w:val="00E57AF6"/>
    <w:rsid w:val="00E82A53"/>
    <w:rsid w:val="00FD35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8D47F8"/>
    <w:pPr>
      <w:ind w:left="720"/>
      <w:contextualSpacing/>
    </w:pPr>
  </w:style>
  <w:style w:type="table" w:styleId="TableGrid">
    <w:name w:val="Table Grid"/>
    <w:basedOn w:val="TableNormal"/>
    <w:uiPriority w:val="59"/>
    <w:rsid w:val="0028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8D47F8"/>
    <w:pPr>
      <w:ind w:left="720"/>
      <w:contextualSpacing/>
    </w:pPr>
  </w:style>
  <w:style w:type="table" w:styleId="TableGrid">
    <w:name w:val="Table Grid"/>
    <w:basedOn w:val="TableNormal"/>
    <w:uiPriority w:val="59"/>
    <w:rsid w:val="002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2022-08-03T07:54:00Z</dcterms:created>
  <dcterms:modified xsi:type="dcterms:W3CDTF">2022-08-03T07:54:00Z</dcterms:modified>
</cp:coreProperties>
</file>