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E61" w:rsidRPr="007863C9" w:rsidRDefault="00312E61" w:rsidP="007863C9">
      <w:pPr>
        <w:tabs>
          <w:tab w:val="left" w:pos="432"/>
          <w:tab w:val="left" w:pos="864"/>
        </w:tabs>
        <w:spacing w:line="276" w:lineRule="auto"/>
        <w:jc w:val="center"/>
        <w:rPr>
          <w:rFonts w:ascii="Arial" w:hAnsi="Arial" w:cs="Arial"/>
          <w:b/>
          <w:sz w:val="22"/>
          <w:szCs w:val="22"/>
        </w:rPr>
      </w:pPr>
      <w:r w:rsidRPr="007863C9">
        <w:rPr>
          <w:rFonts w:ascii="Arial" w:hAnsi="Arial" w:cs="Arial"/>
          <w:b/>
          <w:sz w:val="22"/>
          <w:szCs w:val="22"/>
        </w:rPr>
        <w:t>NATIONAL ASSEMBLY</w:t>
      </w:r>
    </w:p>
    <w:p w:rsidR="00312E61" w:rsidRPr="007863C9" w:rsidRDefault="00312E61" w:rsidP="007863C9">
      <w:pPr>
        <w:tabs>
          <w:tab w:val="left" w:pos="432"/>
          <w:tab w:val="left" w:pos="864"/>
        </w:tabs>
        <w:spacing w:line="276" w:lineRule="auto"/>
        <w:jc w:val="center"/>
        <w:rPr>
          <w:rFonts w:ascii="Arial" w:hAnsi="Arial" w:cs="Arial"/>
          <w:b/>
          <w:sz w:val="22"/>
          <w:szCs w:val="22"/>
        </w:rPr>
      </w:pPr>
      <w:r w:rsidRPr="007863C9">
        <w:rPr>
          <w:rFonts w:ascii="Arial" w:hAnsi="Arial" w:cs="Arial"/>
          <w:b/>
          <w:sz w:val="22"/>
          <w:szCs w:val="22"/>
        </w:rPr>
        <w:t>QUESTION FOR WRITTEN REPLY</w:t>
      </w:r>
    </w:p>
    <w:p w:rsidR="00312E61" w:rsidRPr="007863C9" w:rsidRDefault="00312E61" w:rsidP="007863C9">
      <w:pPr>
        <w:tabs>
          <w:tab w:val="left" w:pos="432"/>
          <w:tab w:val="left" w:pos="864"/>
        </w:tabs>
        <w:spacing w:line="276" w:lineRule="auto"/>
        <w:jc w:val="center"/>
        <w:rPr>
          <w:rFonts w:ascii="Arial" w:hAnsi="Arial" w:cs="Arial"/>
          <w:b/>
          <w:sz w:val="22"/>
          <w:szCs w:val="22"/>
        </w:rPr>
      </w:pPr>
      <w:r w:rsidRPr="007863C9">
        <w:rPr>
          <w:rFonts w:ascii="Arial" w:hAnsi="Arial" w:cs="Arial"/>
          <w:b/>
          <w:sz w:val="22"/>
          <w:szCs w:val="22"/>
        </w:rPr>
        <w:t>QUESTION NUMBER: 2360 [NW2722E]</w:t>
      </w:r>
    </w:p>
    <w:p w:rsidR="00312E61" w:rsidRPr="007863C9" w:rsidRDefault="00312E61" w:rsidP="007863C9">
      <w:pPr>
        <w:tabs>
          <w:tab w:val="left" w:pos="432"/>
          <w:tab w:val="left" w:pos="864"/>
        </w:tabs>
        <w:spacing w:line="276" w:lineRule="auto"/>
        <w:jc w:val="center"/>
        <w:rPr>
          <w:rFonts w:ascii="Arial" w:hAnsi="Arial" w:cs="Arial"/>
          <w:b/>
          <w:sz w:val="22"/>
          <w:szCs w:val="22"/>
        </w:rPr>
      </w:pPr>
      <w:r w:rsidRPr="007863C9">
        <w:rPr>
          <w:rFonts w:ascii="Arial" w:hAnsi="Arial" w:cs="Arial"/>
          <w:b/>
          <w:sz w:val="22"/>
          <w:szCs w:val="22"/>
        </w:rPr>
        <w:t>DATE OF PUBLICATION: 19 JUNE 2015</w:t>
      </w:r>
    </w:p>
    <w:p w:rsidR="00312E61" w:rsidRPr="007863C9" w:rsidRDefault="00312E61" w:rsidP="007863C9">
      <w:pPr>
        <w:spacing w:before="100" w:beforeAutospacing="1" w:after="100" w:afterAutospacing="1" w:line="276" w:lineRule="auto"/>
        <w:ind w:left="993" w:hanging="851"/>
        <w:jc w:val="both"/>
        <w:outlineLvl w:val="0"/>
        <w:rPr>
          <w:rFonts w:ascii="Arial" w:hAnsi="Arial" w:cs="Arial"/>
          <w:b/>
          <w:sz w:val="22"/>
          <w:szCs w:val="22"/>
          <w:lang w:val="en-GB"/>
        </w:rPr>
      </w:pPr>
      <w:r w:rsidRPr="007863C9">
        <w:rPr>
          <w:rFonts w:ascii="Arial" w:hAnsi="Arial" w:cs="Arial"/>
          <w:b/>
          <w:sz w:val="22"/>
          <w:szCs w:val="22"/>
          <w:lang w:val="en-GB"/>
        </w:rPr>
        <w:t>2360.</w:t>
      </w:r>
      <w:r w:rsidRPr="007863C9">
        <w:rPr>
          <w:rFonts w:ascii="Arial" w:hAnsi="Arial" w:cs="Arial"/>
          <w:b/>
          <w:sz w:val="22"/>
          <w:szCs w:val="22"/>
          <w:lang w:val="en-GB"/>
        </w:rPr>
        <w:tab/>
        <w:t>Ms N I Tarabella Marchesi (DA) to ask the Minister of Finance:</w:t>
      </w:r>
    </w:p>
    <w:p w:rsidR="00312E61" w:rsidRPr="007863C9" w:rsidRDefault="00312E61" w:rsidP="007863C9">
      <w:pPr>
        <w:spacing w:before="100" w:beforeAutospacing="1" w:after="100" w:afterAutospacing="1" w:line="276" w:lineRule="auto"/>
        <w:ind w:left="1560" w:hanging="567"/>
        <w:jc w:val="both"/>
        <w:outlineLvl w:val="0"/>
        <w:rPr>
          <w:rFonts w:ascii="Arial" w:hAnsi="Arial" w:cs="Arial"/>
          <w:sz w:val="22"/>
          <w:szCs w:val="22"/>
          <w:lang w:val="en-GB"/>
        </w:rPr>
      </w:pPr>
      <w:r w:rsidRPr="007863C9">
        <w:rPr>
          <w:rFonts w:ascii="Arial" w:hAnsi="Arial" w:cs="Arial"/>
          <w:sz w:val="22"/>
          <w:szCs w:val="22"/>
          <w:lang w:val="en-GB"/>
        </w:rPr>
        <w:t>(1)</w:t>
      </w:r>
      <w:r w:rsidRPr="007863C9">
        <w:rPr>
          <w:rFonts w:ascii="Arial" w:hAnsi="Arial" w:cs="Arial"/>
          <w:sz w:val="22"/>
          <w:szCs w:val="22"/>
          <w:lang w:val="en-GB"/>
        </w:rPr>
        <w:tab/>
        <w:t>What is the breakdown with regard to the current price per liter of (a) petrol and (b) diesel in terms of the (i) cost of petrol or diesel, (ii) fuel levy, (iii) tax and (iv) any other items;</w:t>
      </w:r>
    </w:p>
    <w:p w:rsidR="00312E61" w:rsidRPr="007863C9" w:rsidRDefault="00312E61" w:rsidP="007863C9">
      <w:pPr>
        <w:spacing w:before="100" w:beforeAutospacing="1" w:after="100" w:afterAutospacing="1" w:line="276" w:lineRule="auto"/>
        <w:ind w:left="1560" w:hanging="567"/>
        <w:jc w:val="both"/>
        <w:outlineLvl w:val="0"/>
        <w:rPr>
          <w:rFonts w:ascii="Arial" w:hAnsi="Arial" w:cs="Arial"/>
          <w:sz w:val="22"/>
          <w:szCs w:val="22"/>
          <w:lang w:val="en-GB"/>
        </w:rPr>
      </w:pPr>
      <w:r w:rsidRPr="007863C9">
        <w:rPr>
          <w:rFonts w:ascii="Arial" w:hAnsi="Arial" w:cs="Arial"/>
          <w:sz w:val="22"/>
          <w:szCs w:val="22"/>
          <w:lang w:val="en-GB"/>
        </w:rPr>
        <w:t>(2)</w:t>
      </w:r>
      <w:r w:rsidRPr="007863C9">
        <w:rPr>
          <w:rFonts w:ascii="Arial" w:hAnsi="Arial" w:cs="Arial"/>
          <w:sz w:val="22"/>
          <w:szCs w:val="22"/>
          <w:lang w:val="en-GB"/>
        </w:rPr>
        <w:tab/>
        <w:t>what amount has been collected by National Treasury through fuel levy (a) in the (i) 2011</w:t>
      </w:r>
      <w:r w:rsidRPr="007863C9">
        <w:rPr>
          <w:rFonts w:ascii="Arial" w:hAnsi="Arial" w:cs="Arial"/>
          <w:sz w:val="22"/>
          <w:szCs w:val="22"/>
          <w:lang w:val="en-GB"/>
        </w:rPr>
        <w:noBreakHyphen/>
        <w:t>12, (ii) 2012</w:t>
      </w:r>
      <w:r w:rsidRPr="007863C9">
        <w:rPr>
          <w:rFonts w:ascii="Arial" w:hAnsi="Arial" w:cs="Arial"/>
          <w:sz w:val="22"/>
          <w:szCs w:val="22"/>
          <w:lang w:val="en-GB"/>
        </w:rPr>
        <w:noBreakHyphen/>
        <w:t>13, (iii) 2013</w:t>
      </w:r>
      <w:r w:rsidRPr="007863C9">
        <w:rPr>
          <w:rFonts w:ascii="Arial" w:hAnsi="Arial" w:cs="Arial"/>
          <w:sz w:val="22"/>
          <w:szCs w:val="22"/>
          <w:lang w:val="en-GB"/>
        </w:rPr>
        <w:noBreakHyphen/>
        <w:t>14 and (iv) 2014</w:t>
      </w:r>
      <w:r w:rsidRPr="007863C9">
        <w:rPr>
          <w:rFonts w:ascii="Arial" w:hAnsi="Arial" w:cs="Arial"/>
          <w:sz w:val="22"/>
          <w:szCs w:val="22"/>
          <w:lang w:val="en-GB"/>
        </w:rPr>
        <w:noBreakHyphen/>
        <w:t>15 financial years and (b) since 1 April 2015;</w:t>
      </w:r>
    </w:p>
    <w:p w:rsidR="00312E61" w:rsidRPr="007863C9" w:rsidRDefault="00312E61" w:rsidP="007863C9">
      <w:pPr>
        <w:spacing w:before="100" w:beforeAutospacing="1" w:after="100" w:afterAutospacing="1" w:line="276" w:lineRule="auto"/>
        <w:ind w:left="1560" w:hanging="567"/>
        <w:jc w:val="both"/>
        <w:outlineLvl w:val="0"/>
        <w:rPr>
          <w:rFonts w:ascii="Arial" w:hAnsi="Arial" w:cs="Arial"/>
          <w:sz w:val="22"/>
          <w:szCs w:val="22"/>
          <w:lang w:val="en-GB"/>
        </w:rPr>
      </w:pPr>
      <w:r w:rsidRPr="007863C9">
        <w:rPr>
          <w:rFonts w:ascii="Arial" w:hAnsi="Arial" w:cs="Arial"/>
          <w:sz w:val="22"/>
          <w:szCs w:val="22"/>
          <w:lang w:val="en-GB"/>
        </w:rPr>
        <w:t>(3)</w:t>
      </w:r>
      <w:r w:rsidRPr="007863C9">
        <w:rPr>
          <w:rFonts w:ascii="Arial" w:hAnsi="Arial" w:cs="Arial"/>
          <w:sz w:val="22"/>
          <w:szCs w:val="22"/>
          <w:lang w:val="en-GB"/>
        </w:rPr>
        <w:tab/>
        <w:t>whether any amount is ring-fenced for the maintenance of roads; if so, what amount has been spent on maintaining roads (a) in the (i) 2011</w:t>
      </w:r>
      <w:r w:rsidRPr="007863C9">
        <w:rPr>
          <w:rFonts w:ascii="Arial" w:hAnsi="Arial" w:cs="Arial"/>
          <w:sz w:val="22"/>
          <w:szCs w:val="22"/>
          <w:lang w:val="en-GB"/>
        </w:rPr>
        <w:noBreakHyphen/>
        <w:t>12, (ii) 2012</w:t>
      </w:r>
      <w:r w:rsidRPr="007863C9">
        <w:rPr>
          <w:rFonts w:ascii="Arial" w:hAnsi="Arial" w:cs="Arial"/>
          <w:sz w:val="22"/>
          <w:szCs w:val="22"/>
          <w:lang w:val="en-GB"/>
        </w:rPr>
        <w:noBreakHyphen/>
        <w:t>13, (iii) 2013</w:t>
      </w:r>
      <w:r w:rsidRPr="007863C9">
        <w:rPr>
          <w:rFonts w:ascii="Arial" w:hAnsi="Arial" w:cs="Arial"/>
          <w:sz w:val="22"/>
          <w:szCs w:val="22"/>
          <w:lang w:val="en-GB"/>
        </w:rPr>
        <w:noBreakHyphen/>
        <w:t>14 and (iv) 2014</w:t>
      </w:r>
      <w:r w:rsidRPr="007863C9">
        <w:rPr>
          <w:rFonts w:ascii="Arial" w:hAnsi="Arial" w:cs="Arial"/>
          <w:sz w:val="22"/>
          <w:szCs w:val="22"/>
          <w:lang w:val="en-GB"/>
        </w:rPr>
        <w:noBreakHyphen/>
        <w:t>15 financial years and (b) since 1 April 2015?</w:t>
      </w:r>
      <w:r w:rsidRPr="007863C9">
        <w:rPr>
          <w:rFonts w:ascii="Arial" w:hAnsi="Arial" w:cs="Arial"/>
          <w:sz w:val="22"/>
          <w:szCs w:val="22"/>
          <w:lang w:val="en-GB"/>
        </w:rPr>
        <w:tab/>
      </w:r>
      <w:r w:rsidRPr="007863C9">
        <w:rPr>
          <w:rFonts w:ascii="Arial" w:hAnsi="Arial" w:cs="Arial"/>
          <w:sz w:val="22"/>
          <w:szCs w:val="22"/>
          <w:lang w:val="en-GB"/>
        </w:rPr>
        <w:tab/>
      </w:r>
      <w:r w:rsidRPr="007863C9">
        <w:rPr>
          <w:rFonts w:ascii="Arial" w:hAnsi="Arial" w:cs="Arial"/>
          <w:sz w:val="22"/>
          <w:szCs w:val="22"/>
          <w:lang w:val="en-GB"/>
        </w:rPr>
        <w:tab/>
      </w:r>
      <w:r w:rsidRPr="007863C9">
        <w:rPr>
          <w:rFonts w:ascii="Arial" w:hAnsi="Arial" w:cs="Arial"/>
          <w:sz w:val="22"/>
          <w:szCs w:val="22"/>
          <w:lang w:val="en-GB"/>
        </w:rPr>
        <w:tab/>
      </w:r>
      <w:r w:rsidRPr="007863C9">
        <w:rPr>
          <w:rFonts w:ascii="Arial" w:hAnsi="Arial" w:cs="Arial"/>
          <w:sz w:val="22"/>
          <w:szCs w:val="22"/>
          <w:lang w:val="en-GB"/>
        </w:rPr>
        <w:tab/>
      </w:r>
      <w:r w:rsidRPr="007863C9">
        <w:rPr>
          <w:rFonts w:ascii="Arial" w:hAnsi="Arial" w:cs="Arial"/>
          <w:sz w:val="22"/>
          <w:szCs w:val="22"/>
          <w:lang w:val="en-GB"/>
        </w:rPr>
        <w:tab/>
      </w:r>
      <w:r w:rsidRPr="007863C9">
        <w:rPr>
          <w:rFonts w:ascii="Arial" w:hAnsi="Arial" w:cs="Arial"/>
          <w:sz w:val="22"/>
          <w:szCs w:val="22"/>
          <w:lang w:val="en-GB"/>
        </w:rPr>
        <w:tab/>
      </w:r>
      <w:r w:rsidRPr="007863C9">
        <w:rPr>
          <w:rFonts w:ascii="Arial" w:hAnsi="Arial" w:cs="Arial"/>
          <w:sz w:val="22"/>
          <w:szCs w:val="22"/>
          <w:lang w:val="en-GB"/>
        </w:rPr>
        <w:tab/>
      </w:r>
      <w:r w:rsidRPr="007863C9">
        <w:rPr>
          <w:rFonts w:ascii="Arial" w:hAnsi="Arial" w:cs="Arial"/>
          <w:sz w:val="22"/>
          <w:szCs w:val="22"/>
          <w:lang w:val="en-GB"/>
        </w:rPr>
        <w:tab/>
      </w:r>
      <w:r w:rsidRPr="007863C9">
        <w:rPr>
          <w:rFonts w:ascii="Arial" w:hAnsi="Arial" w:cs="Arial"/>
          <w:sz w:val="22"/>
          <w:szCs w:val="22"/>
          <w:lang w:val="en-GB"/>
        </w:rPr>
        <w:tab/>
      </w:r>
      <w:r w:rsidRPr="007863C9">
        <w:rPr>
          <w:rFonts w:ascii="Arial" w:hAnsi="Arial" w:cs="Arial"/>
          <w:sz w:val="22"/>
          <w:szCs w:val="22"/>
          <w:lang w:val="en-GB"/>
        </w:rPr>
        <w:tab/>
        <w:t>NW2722E</w:t>
      </w:r>
    </w:p>
    <w:p w:rsidR="00312E61" w:rsidRPr="007863C9" w:rsidRDefault="00312E61" w:rsidP="007863C9">
      <w:pPr>
        <w:pStyle w:val="BodyTextIndent"/>
        <w:spacing w:line="276" w:lineRule="auto"/>
        <w:ind w:left="0" w:firstLine="0"/>
        <w:jc w:val="both"/>
        <w:rPr>
          <w:rFonts w:ascii="Arial" w:hAnsi="Arial" w:cs="Arial"/>
          <w:b/>
          <w:sz w:val="22"/>
          <w:szCs w:val="22"/>
        </w:rPr>
      </w:pPr>
      <w:r w:rsidRPr="007863C9">
        <w:rPr>
          <w:rFonts w:ascii="Arial" w:hAnsi="Arial" w:cs="Arial"/>
          <w:b/>
          <w:sz w:val="22"/>
          <w:szCs w:val="22"/>
        </w:rPr>
        <w:t>REPLY:</w:t>
      </w:r>
    </w:p>
    <w:p w:rsidR="00312E61" w:rsidRDefault="00312E61" w:rsidP="007863C9">
      <w:pPr>
        <w:pStyle w:val="BodyTextIndent"/>
        <w:spacing w:line="276" w:lineRule="auto"/>
        <w:ind w:left="0" w:firstLine="0"/>
        <w:jc w:val="both"/>
        <w:rPr>
          <w:rFonts w:ascii="Arial" w:hAnsi="Arial" w:cs="Arial"/>
          <w:sz w:val="22"/>
          <w:szCs w:val="22"/>
        </w:rPr>
      </w:pPr>
    </w:p>
    <w:p w:rsidR="00312E61" w:rsidRPr="007863C9" w:rsidRDefault="00312E61" w:rsidP="007863C9">
      <w:pPr>
        <w:pStyle w:val="BodyTextIndent"/>
        <w:spacing w:line="276" w:lineRule="auto"/>
        <w:ind w:left="0" w:firstLine="0"/>
        <w:jc w:val="both"/>
        <w:rPr>
          <w:rFonts w:ascii="Arial" w:hAnsi="Arial" w:cs="Arial"/>
          <w:sz w:val="22"/>
          <w:szCs w:val="22"/>
        </w:rPr>
      </w:pPr>
      <w:r w:rsidRPr="007863C9">
        <w:rPr>
          <w:rFonts w:ascii="Arial" w:hAnsi="Arial" w:cs="Arial"/>
          <w:sz w:val="22"/>
          <w:szCs w:val="22"/>
        </w:rPr>
        <w:t>The Honourable Member should note that the Department of Energy is responsible for administering the petrol and diesel prices, and also for determining the basic fuel price (BFP). The Minister of Finance is only responsible for setting the levies and any taxes on petrol and diesel. However, to make it easy for the Honourable Member, I will draw from the website of the Department of Energy (</w:t>
      </w:r>
      <w:hyperlink r:id="rId7" w:history="1">
        <w:r w:rsidRPr="007863C9">
          <w:rPr>
            <w:rStyle w:val="Hyperlink"/>
            <w:rFonts w:ascii="Arial" w:hAnsi="Arial" w:cs="Arial"/>
            <w:sz w:val="22"/>
            <w:szCs w:val="22"/>
            <w:lang w:val="en-ZA" w:eastAsia="en-ZA"/>
          </w:rPr>
          <w:t>http://www.energy.gov.za/files/petroleum_frame.html</w:t>
        </w:r>
      </w:hyperlink>
      <w:r w:rsidRPr="007863C9">
        <w:rPr>
          <w:rStyle w:val="Hyperlink"/>
          <w:rFonts w:ascii="Arial" w:hAnsi="Arial" w:cs="Arial"/>
          <w:sz w:val="22"/>
          <w:szCs w:val="22"/>
          <w:lang w:val="en-ZA" w:eastAsia="en-ZA"/>
        </w:rPr>
        <w:t xml:space="preserve">) </w:t>
      </w:r>
      <w:r w:rsidRPr="007863C9">
        <w:rPr>
          <w:rFonts w:ascii="Arial" w:hAnsi="Arial" w:cs="Arial"/>
          <w:sz w:val="22"/>
          <w:szCs w:val="22"/>
        </w:rPr>
        <w:t xml:space="preserve">to assist in providing a comprehensive response to the question. </w:t>
      </w:r>
      <w:r w:rsidRPr="007863C9">
        <w:rPr>
          <w:rFonts w:ascii="Arial" w:hAnsi="Arial" w:cs="Arial"/>
          <w:sz w:val="22"/>
          <w:szCs w:val="22"/>
          <w:lang w:val="en-ZA" w:eastAsia="en-ZA"/>
        </w:rPr>
        <w:t xml:space="preserve">The starting point in arriving at the domestic wholesale retail selling price of petrol diesel in South Africa is the calculation of the basic fuel price (BFP), and I will draw on the website of the Department of Energy in response to questions 1(a) and (b) (i) (and (iv)), and then provide my own response to the questions on the tax and levies on petrol and diesel.  </w:t>
      </w:r>
    </w:p>
    <w:p w:rsidR="00312E61" w:rsidRPr="007863C9" w:rsidRDefault="00312E61" w:rsidP="007863C9">
      <w:pPr>
        <w:pStyle w:val="BodyTextIndent"/>
        <w:spacing w:line="276" w:lineRule="auto"/>
        <w:ind w:left="0" w:firstLine="0"/>
        <w:jc w:val="both"/>
        <w:rPr>
          <w:rFonts w:ascii="Arial" w:hAnsi="Arial" w:cs="Arial"/>
          <w:b/>
          <w:sz w:val="22"/>
          <w:szCs w:val="22"/>
        </w:rPr>
      </w:pPr>
    </w:p>
    <w:p w:rsidR="00312E61" w:rsidRPr="007863C9" w:rsidRDefault="00312E61" w:rsidP="007863C9">
      <w:pPr>
        <w:pStyle w:val="BodyTextIndent"/>
        <w:spacing w:line="276" w:lineRule="auto"/>
        <w:ind w:left="0" w:firstLine="0"/>
        <w:jc w:val="both"/>
        <w:rPr>
          <w:rFonts w:ascii="Arial" w:hAnsi="Arial" w:cs="Arial"/>
          <w:sz w:val="22"/>
          <w:szCs w:val="22"/>
        </w:rPr>
      </w:pPr>
      <w:r w:rsidRPr="007863C9">
        <w:rPr>
          <w:rFonts w:ascii="Arial" w:hAnsi="Arial" w:cs="Arial"/>
          <w:b/>
          <w:sz w:val="22"/>
          <w:szCs w:val="22"/>
        </w:rPr>
        <w:t>(1)</w:t>
      </w:r>
      <w:r w:rsidRPr="007863C9">
        <w:rPr>
          <w:rFonts w:ascii="Arial" w:hAnsi="Arial" w:cs="Arial"/>
          <w:sz w:val="22"/>
          <w:szCs w:val="22"/>
          <w:lang w:val="en-ZA" w:eastAsia="en-ZA"/>
        </w:rPr>
        <w:t xml:space="preserve">. (i) and (iv) </w:t>
      </w:r>
      <w:r w:rsidRPr="007863C9">
        <w:rPr>
          <w:rFonts w:ascii="Arial" w:hAnsi="Arial" w:cs="Arial"/>
          <w:sz w:val="22"/>
          <w:szCs w:val="22"/>
        </w:rPr>
        <w:t xml:space="preserve">The website of the Department of Energy states that the </w:t>
      </w:r>
      <w:r w:rsidRPr="007863C9">
        <w:rPr>
          <w:rFonts w:ascii="Arial" w:hAnsi="Arial" w:cs="Arial"/>
          <w:sz w:val="22"/>
          <w:szCs w:val="22"/>
          <w:lang w:val="en-ZA" w:eastAsia="en-ZA"/>
        </w:rPr>
        <w:t xml:space="preserve">basic fuel price (BFP) </w:t>
      </w:r>
      <w:r w:rsidRPr="007863C9">
        <w:rPr>
          <w:rFonts w:ascii="Arial" w:hAnsi="Arial" w:cs="Arial"/>
          <w:sz w:val="22"/>
          <w:szCs w:val="22"/>
        </w:rPr>
        <w:t xml:space="preserve">attempts </w:t>
      </w:r>
    </w:p>
    <w:p w:rsidR="00312E61" w:rsidRPr="007863C9" w:rsidRDefault="00312E61" w:rsidP="007863C9">
      <w:pPr>
        <w:pStyle w:val="BodyTextIndent"/>
        <w:spacing w:line="276" w:lineRule="auto"/>
        <w:ind w:left="0" w:firstLine="0"/>
        <w:jc w:val="both"/>
        <w:rPr>
          <w:rFonts w:ascii="Arial" w:hAnsi="Arial" w:cs="Arial"/>
          <w:sz w:val="22"/>
          <w:szCs w:val="22"/>
          <w:lang w:val="en-ZA" w:eastAsia="en-ZA"/>
        </w:rPr>
      </w:pPr>
    </w:p>
    <w:p w:rsidR="00312E61" w:rsidRPr="007863C9" w:rsidRDefault="00312E61" w:rsidP="007863C9">
      <w:pPr>
        <w:pStyle w:val="BodyTextIndent"/>
        <w:spacing w:line="276" w:lineRule="auto"/>
        <w:ind w:left="0" w:firstLine="0"/>
        <w:jc w:val="both"/>
        <w:rPr>
          <w:rFonts w:ascii="Arial" w:hAnsi="Arial" w:cs="Arial"/>
          <w:sz w:val="22"/>
          <w:szCs w:val="22"/>
          <w:lang w:val="en-ZA" w:eastAsia="en-ZA"/>
        </w:rPr>
      </w:pPr>
      <w:r w:rsidRPr="007863C9">
        <w:rPr>
          <w:rFonts w:ascii="Arial" w:hAnsi="Arial" w:cs="Arial"/>
          <w:sz w:val="22"/>
          <w:szCs w:val="22"/>
          <w:lang w:val="en-ZA" w:eastAsia="en-ZA"/>
        </w:rPr>
        <w:t xml:space="preserve">“to represent the realistic, market-related costs of importing a substantial portion of South Africa's liquid fuels requirements, and it is therefore deemed that such supplies are sourced from overseas refining centres capable of meeting South Africa's requirements in terms of both product quality and sustained supply considerations.  </w:t>
      </w:r>
    </w:p>
    <w:p w:rsidR="00312E61" w:rsidRPr="007863C9" w:rsidRDefault="00312E61" w:rsidP="007863C9">
      <w:pPr>
        <w:pStyle w:val="BodyTextIndent"/>
        <w:spacing w:line="276" w:lineRule="auto"/>
        <w:ind w:left="0" w:firstLine="0"/>
        <w:jc w:val="both"/>
        <w:rPr>
          <w:rFonts w:ascii="Arial" w:hAnsi="Arial" w:cs="Arial"/>
          <w:sz w:val="22"/>
          <w:szCs w:val="22"/>
          <w:lang w:val="en-ZA" w:eastAsia="en-ZA"/>
        </w:rPr>
      </w:pPr>
    </w:p>
    <w:p w:rsidR="00312E61" w:rsidRPr="007863C9" w:rsidRDefault="00312E61" w:rsidP="007863C9">
      <w:pPr>
        <w:pStyle w:val="BodyTextIndent"/>
        <w:spacing w:line="276" w:lineRule="auto"/>
        <w:ind w:left="0" w:firstLine="0"/>
        <w:jc w:val="both"/>
        <w:rPr>
          <w:rFonts w:ascii="Arial" w:hAnsi="Arial" w:cs="Arial"/>
          <w:sz w:val="22"/>
          <w:szCs w:val="22"/>
          <w:lang w:val="en-ZA" w:eastAsia="en-ZA"/>
        </w:rPr>
      </w:pPr>
      <w:r w:rsidRPr="007863C9">
        <w:rPr>
          <w:rFonts w:ascii="Arial" w:hAnsi="Arial" w:cs="Arial"/>
          <w:i/>
          <w:sz w:val="22"/>
          <w:szCs w:val="22"/>
          <w:lang w:val="en-ZA" w:eastAsia="en-ZA"/>
        </w:rPr>
        <w:t>The petrol price in South Africa is therefore directly linked to the price of petrol quoted in US dollars at refined petroleum export orientated refining centres in the Mediterranean area, the Arab Gulf and Singapore. This means that the domestic prices of fuels are influenced by (a)</w:t>
      </w:r>
      <w:r w:rsidRPr="007863C9">
        <w:rPr>
          <w:rFonts w:ascii="Arial" w:hAnsi="Arial" w:cs="Arial"/>
          <w:sz w:val="22"/>
          <w:szCs w:val="22"/>
          <w:lang w:val="en-ZA" w:eastAsia="en-ZA"/>
        </w:rPr>
        <w:t xml:space="preserve"> </w:t>
      </w:r>
      <w:r w:rsidRPr="007863C9">
        <w:rPr>
          <w:rFonts w:ascii="Arial" w:hAnsi="Arial" w:cs="Arial"/>
          <w:i/>
          <w:sz w:val="22"/>
          <w:szCs w:val="22"/>
          <w:lang w:val="en-ZA" w:eastAsia="en-ZA"/>
        </w:rPr>
        <w:t>international crude oil prices, (b) international supply and demand balances for petroleum products and (c) the Rand/US Dollar exchange rate”.</w:t>
      </w:r>
      <w:r w:rsidRPr="007863C9">
        <w:rPr>
          <w:rFonts w:ascii="Arial" w:hAnsi="Arial" w:cs="Arial"/>
          <w:sz w:val="22"/>
          <w:szCs w:val="22"/>
          <w:lang w:val="en-ZA" w:eastAsia="en-ZA"/>
        </w:rPr>
        <w:t xml:space="preserve"> </w:t>
      </w:r>
    </w:p>
    <w:p w:rsidR="00312E61" w:rsidRPr="007863C9" w:rsidRDefault="00312E61" w:rsidP="007863C9">
      <w:pPr>
        <w:jc w:val="both"/>
        <w:rPr>
          <w:rFonts w:ascii="Arial" w:hAnsi="Arial" w:cs="Arial"/>
          <w:sz w:val="22"/>
          <w:szCs w:val="22"/>
          <w:lang w:val="en-ZA" w:eastAsia="en-ZA"/>
        </w:rPr>
      </w:pPr>
    </w:p>
    <w:p w:rsidR="00312E61" w:rsidRPr="007863C9" w:rsidRDefault="00312E61" w:rsidP="007863C9">
      <w:pPr>
        <w:jc w:val="both"/>
        <w:rPr>
          <w:rFonts w:ascii="Arial" w:hAnsi="Arial" w:cs="Arial"/>
          <w:sz w:val="22"/>
          <w:szCs w:val="22"/>
          <w:lang w:val="en-ZA" w:eastAsia="en-ZA"/>
        </w:rPr>
      </w:pPr>
      <w:r w:rsidRPr="007863C9">
        <w:rPr>
          <w:rFonts w:ascii="Arial" w:hAnsi="Arial" w:cs="Arial"/>
          <w:sz w:val="22"/>
          <w:szCs w:val="22"/>
          <w:lang w:val="en-ZA" w:eastAsia="en-ZA"/>
        </w:rPr>
        <w:t>The website goes on to note that there are both international and domestic influences that are added to the BFP  to arrive at the final pump prices in the different fuel pricing zones (magisterial district zones). The domestic influences include i</w:t>
      </w:r>
      <w:r w:rsidRPr="007863C9">
        <w:rPr>
          <w:rFonts w:ascii="Arial" w:hAnsi="Arial" w:cs="Arial"/>
          <w:bCs/>
          <w:sz w:val="22"/>
          <w:szCs w:val="22"/>
          <w:lang w:val="en-ZA" w:eastAsia="en-ZA"/>
        </w:rPr>
        <w:t xml:space="preserve">nland transport costs, wholesale margin, retail profit-margin, the slate levy, and various taxes / levies as listed below.  It should be noted that diesel prices are regulated only up to the wholesale level; so the retail price of diesel is not regulated.  </w:t>
      </w:r>
    </w:p>
    <w:p w:rsidR="00312E61" w:rsidRPr="007863C9" w:rsidRDefault="00312E61" w:rsidP="007863C9">
      <w:pPr>
        <w:pStyle w:val="BodyTextIndent"/>
        <w:tabs>
          <w:tab w:val="left" w:pos="360"/>
        </w:tabs>
        <w:spacing w:line="276" w:lineRule="auto"/>
        <w:ind w:left="0" w:firstLine="0"/>
        <w:jc w:val="both"/>
        <w:rPr>
          <w:rFonts w:ascii="Arial" w:hAnsi="Arial" w:cs="Arial"/>
          <w:b/>
          <w:sz w:val="22"/>
          <w:szCs w:val="22"/>
          <w:lang w:val="en-ZA" w:eastAsia="en-ZA"/>
        </w:rPr>
      </w:pPr>
    </w:p>
    <w:p w:rsidR="00312E61" w:rsidRPr="007863C9" w:rsidRDefault="00312E61" w:rsidP="007863C9">
      <w:pPr>
        <w:pStyle w:val="BodyTextIndent"/>
        <w:tabs>
          <w:tab w:val="left" w:pos="360"/>
        </w:tabs>
        <w:spacing w:line="276" w:lineRule="auto"/>
        <w:ind w:left="0" w:firstLine="0"/>
        <w:jc w:val="both"/>
        <w:rPr>
          <w:rFonts w:ascii="Arial" w:hAnsi="Arial" w:cs="Arial"/>
          <w:b/>
          <w:sz w:val="22"/>
          <w:szCs w:val="22"/>
          <w:lang w:val="en-ZA" w:eastAsia="en-ZA"/>
        </w:rPr>
      </w:pPr>
    </w:p>
    <w:p w:rsidR="00312E61" w:rsidRPr="007863C9" w:rsidRDefault="00312E61" w:rsidP="007863C9">
      <w:pPr>
        <w:pStyle w:val="BodyTextIndent"/>
        <w:tabs>
          <w:tab w:val="left" w:pos="360"/>
        </w:tabs>
        <w:spacing w:line="276" w:lineRule="auto"/>
        <w:ind w:left="0" w:firstLine="0"/>
        <w:jc w:val="both"/>
        <w:rPr>
          <w:rFonts w:ascii="Arial" w:hAnsi="Arial" w:cs="Arial"/>
          <w:b/>
          <w:sz w:val="22"/>
          <w:szCs w:val="22"/>
          <w:lang w:val="en-ZA" w:eastAsia="en-ZA"/>
        </w:rPr>
      </w:pPr>
      <w:r w:rsidRPr="007863C9">
        <w:rPr>
          <w:rFonts w:ascii="Arial" w:hAnsi="Arial" w:cs="Arial"/>
          <w:b/>
          <w:sz w:val="22"/>
          <w:szCs w:val="22"/>
          <w:lang w:val="en-ZA" w:eastAsia="en-ZA"/>
        </w:rPr>
        <w:t xml:space="preserve">(ii), and (iii) Levies on fuels and taxes </w:t>
      </w:r>
    </w:p>
    <w:p w:rsidR="00312E61" w:rsidRPr="007863C9" w:rsidRDefault="00312E61" w:rsidP="007863C9">
      <w:pPr>
        <w:pStyle w:val="BodyTextIndent"/>
        <w:spacing w:line="276" w:lineRule="auto"/>
        <w:ind w:left="0" w:firstLine="0"/>
        <w:jc w:val="both"/>
        <w:rPr>
          <w:rFonts w:ascii="Arial" w:hAnsi="Arial" w:cs="Arial"/>
          <w:bCs/>
          <w:sz w:val="22"/>
          <w:szCs w:val="22"/>
          <w:lang w:val="en-ZA" w:eastAsia="en-ZA"/>
        </w:rPr>
      </w:pPr>
      <w:r w:rsidRPr="007863C9">
        <w:rPr>
          <w:rFonts w:ascii="Arial" w:hAnsi="Arial" w:cs="Arial"/>
          <w:sz w:val="22"/>
          <w:szCs w:val="22"/>
        </w:rPr>
        <w:t>The following levies and taxes that apply to liquid fuels in South Africa are provided below:</w:t>
      </w:r>
    </w:p>
    <w:p w:rsidR="00312E61" w:rsidRPr="007863C9" w:rsidRDefault="00312E61" w:rsidP="007863C9">
      <w:pPr>
        <w:tabs>
          <w:tab w:val="left" w:pos="432"/>
          <w:tab w:val="left" w:pos="864"/>
        </w:tabs>
        <w:spacing w:line="276" w:lineRule="auto"/>
        <w:jc w:val="both"/>
        <w:rPr>
          <w:rFonts w:ascii="Arial" w:hAnsi="Arial" w:cs="Arial"/>
          <w:b/>
          <w:sz w:val="22"/>
          <w:szCs w:val="22"/>
        </w:rPr>
      </w:pPr>
    </w:p>
    <w:p w:rsidR="00312E61" w:rsidRPr="007863C9" w:rsidRDefault="00312E61" w:rsidP="007863C9">
      <w:pPr>
        <w:tabs>
          <w:tab w:val="left" w:pos="432"/>
          <w:tab w:val="left" w:pos="864"/>
        </w:tabs>
        <w:spacing w:line="276" w:lineRule="auto"/>
        <w:jc w:val="both"/>
        <w:rPr>
          <w:rFonts w:ascii="Arial" w:hAnsi="Arial" w:cs="Arial"/>
          <w:b/>
          <w:sz w:val="22"/>
          <w:szCs w:val="22"/>
        </w:rPr>
      </w:pPr>
      <w:r w:rsidRPr="007863C9">
        <w:rPr>
          <w:rFonts w:ascii="Arial" w:hAnsi="Arial" w:cs="Arial"/>
          <w:b/>
          <w:sz w:val="22"/>
          <w:szCs w:val="22"/>
        </w:rPr>
        <w:t xml:space="preserve">Table 1:  Levy, tax and additional items on PETROL AND DIESEL </w:t>
      </w:r>
    </w:p>
    <w:tbl>
      <w:tblPr>
        <w:tblpPr w:leftFromText="180" w:rightFromText="180" w:vertAnchor="text" w:tblpY="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1618"/>
        <w:gridCol w:w="1688"/>
        <w:gridCol w:w="1550"/>
        <w:gridCol w:w="3899"/>
      </w:tblGrid>
      <w:tr w:rsidR="00312E61" w:rsidRPr="007863C9" w:rsidTr="00A67E76">
        <w:tc>
          <w:tcPr>
            <w:tcW w:w="1618" w:type="dxa"/>
            <w:tcBorders>
              <w:bottom w:val="single" w:sz="18" w:space="0" w:color="000000"/>
            </w:tcBorders>
          </w:tcPr>
          <w:p w:rsidR="00312E61" w:rsidRPr="00A67E76" w:rsidRDefault="00312E61" w:rsidP="00A67E76">
            <w:pPr>
              <w:tabs>
                <w:tab w:val="left" w:pos="432"/>
                <w:tab w:val="left" w:pos="864"/>
              </w:tabs>
              <w:spacing w:line="276" w:lineRule="auto"/>
              <w:rPr>
                <w:rFonts w:ascii="Arial" w:eastAsia="MS Gothic" w:hAnsi="Arial" w:cs="Arial"/>
                <w:b/>
                <w:bCs/>
                <w:sz w:val="20"/>
                <w:szCs w:val="20"/>
              </w:rPr>
            </w:pPr>
            <w:r w:rsidRPr="00A67E76">
              <w:rPr>
                <w:rFonts w:ascii="Arial" w:eastAsia="MS Gothic" w:hAnsi="Arial" w:cs="Arial"/>
                <w:b/>
                <w:bCs/>
                <w:sz w:val="20"/>
                <w:szCs w:val="20"/>
              </w:rPr>
              <w:t xml:space="preserve">Levy </w:t>
            </w:r>
          </w:p>
        </w:tc>
        <w:tc>
          <w:tcPr>
            <w:tcW w:w="1688" w:type="dxa"/>
            <w:tcBorders>
              <w:bottom w:val="single" w:sz="18" w:space="0" w:color="000000"/>
            </w:tcBorders>
          </w:tcPr>
          <w:p w:rsidR="00312E61" w:rsidRPr="00A67E76" w:rsidRDefault="00312E61" w:rsidP="00A67E76">
            <w:pPr>
              <w:tabs>
                <w:tab w:val="left" w:pos="432"/>
                <w:tab w:val="left" w:pos="864"/>
              </w:tabs>
              <w:spacing w:line="276" w:lineRule="auto"/>
              <w:rPr>
                <w:rFonts w:ascii="Arial" w:eastAsia="MS Gothic" w:hAnsi="Arial" w:cs="Arial"/>
                <w:b/>
                <w:bCs/>
                <w:sz w:val="20"/>
                <w:szCs w:val="20"/>
              </w:rPr>
            </w:pPr>
            <w:r w:rsidRPr="00A67E76">
              <w:rPr>
                <w:rFonts w:ascii="Arial" w:eastAsia="MS Gothic" w:hAnsi="Arial" w:cs="Arial"/>
                <w:b/>
                <w:bCs/>
                <w:sz w:val="20"/>
                <w:szCs w:val="20"/>
              </w:rPr>
              <w:t xml:space="preserve">Date first imposed </w:t>
            </w:r>
          </w:p>
        </w:tc>
        <w:tc>
          <w:tcPr>
            <w:tcW w:w="1550" w:type="dxa"/>
            <w:tcBorders>
              <w:bottom w:val="single" w:sz="18" w:space="0" w:color="000000"/>
            </w:tcBorders>
          </w:tcPr>
          <w:p w:rsidR="00312E61" w:rsidRPr="00A67E76" w:rsidRDefault="00312E61" w:rsidP="00A67E76">
            <w:pPr>
              <w:tabs>
                <w:tab w:val="left" w:pos="432"/>
                <w:tab w:val="left" w:pos="864"/>
              </w:tabs>
              <w:spacing w:line="276" w:lineRule="auto"/>
              <w:rPr>
                <w:rFonts w:ascii="Arial" w:eastAsia="MS Gothic" w:hAnsi="Arial" w:cs="Arial"/>
                <w:b/>
                <w:bCs/>
                <w:sz w:val="20"/>
                <w:szCs w:val="20"/>
              </w:rPr>
            </w:pPr>
            <w:r w:rsidRPr="00A67E76">
              <w:rPr>
                <w:rFonts w:ascii="Arial" w:eastAsia="MS Gothic" w:hAnsi="Arial" w:cs="Arial"/>
                <w:b/>
                <w:bCs/>
                <w:sz w:val="20"/>
                <w:szCs w:val="20"/>
              </w:rPr>
              <w:t>Amount of levy</w:t>
            </w:r>
          </w:p>
          <w:p w:rsidR="00312E61" w:rsidRPr="00A67E76" w:rsidRDefault="00312E61" w:rsidP="00A67E76">
            <w:pPr>
              <w:tabs>
                <w:tab w:val="left" w:pos="432"/>
                <w:tab w:val="left" w:pos="864"/>
              </w:tabs>
              <w:spacing w:line="276" w:lineRule="auto"/>
              <w:rPr>
                <w:rFonts w:ascii="Arial" w:eastAsia="MS Gothic" w:hAnsi="Arial" w:cs="Arial"/>
                <w:b/>
                <w:bCs/>
                <w:sz w:val="20"/>
                <w:szCs w:val="20"/>
              </w:rPr>
            </w:pPr>
          </w:p>
          <w:p w:rsidR="00312E61" w:rsidRPr="00A67E76" w:rsidRDefault="00312E61" w:rsidP="00A67E76">
            <w:pPr>
              <w:tabs>
                <w:tab w:val="left" w:pos="432"/>
                <w:tab w:val="left" w:pos="864"/>
              </w:tabs>
              <w:spacing w:line="276" w:lineRule="auto"/>
              <w:rPr>
                <w:rFonts w:ascii="Arial" w:eastAsia="MS Gothic" w:hAnsi="Arial" w:cs="Arial"/>
                <w:b/>
                <w:bCs/>
                <w:sz w:val="20"/>
                <w:szCs w:val="20"/>
              </w:rPr>
            </w:pPr>
            <w:r w:rsidRPr="00A67E76">
              <w:rPr>
                <w:rFonts w:ascii="Arial" w:eastAsia="MS Gothic" w:hAnsi="Arial" w:cs="Arial"/>
                <w:b/>
                <w:bCs/>
                <w:sz w:val="20"/>
                <w:szCs w:val="20"/>
              </w:rPr>
              <w:t>Fiscal year 2015/16</w:t>
            </w:r>
          </w:p>
        </w:tc>
        <w:tc>
          <w:tcPr>
            <w:tcW w:w="3899" w:type="dxa"/>
            <w:tcBorders>
              <w:bottom w:val="single" w:sz="18" w:space="0" w:color="000000"/>
            </w:tcBorders>
          </w:tcPr>
          <w:p w:rsidR="00312E61" w:rsidRPr="00A67E76" w:rsidRDefault="00312E61" w:rsidP="00A67E76">
            <w:pPr>
              <w:tabs>
                <w:tab w:val="left" w:pos="432"/>
                <w:tab w:val="left" w:pos="864"/>
              </w:tabs>
              <w:spacing w:line="276" w:lineRule="auto"/>
              <w:rPr>
                <w:rFonts w:ascii="Arial" w:eastAsia="MS Gothic" w:hAnsi="Arial" w:cs="Arial"/>
                <w:b/>
                <w:bCs/>
                <w:sz w:val="20"/>
                <w:szCs w:val="20"/>
              </w:rPr>
            </w:pPr>
            <w:r w:rsidRPr="00A67E76">
              <w:rPr>
                <w:rFonts w:ascii="Arial" w:eastAsia="MS Gothic" w:hAnsi="Arial" w:cs="Arial"/>
                <w:b/>
                <w:bCs/>
                <w:sz w:val="20"/>
                <w:szCs w:val="20"/>
              </w:rPr>
              <w:t>Objective of the levy</w:t>
            </w:r>
          </w:p>
        </w:tc>
      </w:tr>
      <w:tr w:rsidR="00312E61" w:rsidRPr="007863C9" w:rsidTr="00A67E76">
        <w:tc>
          <w:tcPr>
            <w:tcW w:w="1618" w:type="dxa"/>
            <w:shd w:val="clear" w:color="auto" w:fill="C0C0C0"/>
          </w:tcPr>
          <w:p w:rsidR="00312E61" w:rsidRPr="00A67E76" w:rsidRDefault="00312E61" w:rsidP="00A67E76">
            <w:pPr>
              <w:tabs>
                <w:tab w:val="left" w:pos="432"/>
                <w:tab w:val="left" w:pos="864"/>
              </w:tabs>
              <w:spacing w:line="276" w:lineRule="auto"/>
              <w:rPr>
                <w:rFonts w:ascii="Arial" w:eastAsia="MS Gothic" w:hAnsi="Arial" w:cs="Arial"/>
                <w:b/>
                <w:bCs/>
                <w:sz w:val="20"/>
                <w:szCs w:val="20"/>
              </w:rPr>
            </w:pPr>
            <w:r w:rsidRPr="00A67E76">
              <w:rPr>
                <w:rFonts w:ascii="Arial" w:eastAsia="MS Gothic" w:hAnsi="Arial" w:cs="Arial"/>
                <w:bCs/>
                <w:sz w:val="20"/>
                <w:szCs w:val="20"/>
                <w:lang w:val="en-GB"/>
              </w:rPr>
              <w:t>General fuel levy</w:t>
            </w:r>
          </w:p>
        </w:tc>
        <w:tc>
          <w:tcPr>
            <w:tcW w:w="1688" w:type="dxa"/>
            <w:shd w:val="clear" w:color="auto" w:fill="C0C0C0"/>
          </w:tcPr>
          <w:p w:rsidR="00312E61" w:rsidRPr="00A67E76" w:rsidRDefault="00312E61" w:rsidP="00A67E76">
            <w:pPr>
              <w:tabs>
                <w:tab w:val="left" w:pos="432"/>
                <w:tab w:val="left" w:pos="864"/>
              </w:tabs>
              <w:spacing w:line="276" w:lineRule="auto"/>
              <w:rPr>
                <w:rFonts w:ascii="Arial" w:hAnsi="Arial" w:cs="Arial"/>
                <w:sz w:val="20"/>
                <w:szCs w:val="20"/>
                <w:lang w:val="en-GB"/>
              </w:rPr>
            </w:pPr>
            <w:r w:rsidRPr="00A67E76">
              <w:rPr>
                <w:rFonts w:ascii="Arial" w:hAnsi="Arial" w:cs="Arial"/>
                <w:sz w:val="20"/>
                <w:szCs w:val="20"/>
              </w:rPr>
              <w:t xml:space="preserve">Early 1980s; </w:t>
            </w:r>
            <w:r w:rsidRPr="00A67E76">
              <w:rPr>
                <w:rFonts w:ascii="Arial" w:hAnsi="Arial" w:cs="Arial"/>
                <w:sz w:val="20"/>
                <w:szCs w:val="20"/>
                <w:lang w:val="en-GB"/>
              </w:rPr>
              <w:t>Customs and Excise Act, No.91 of 1964</w:t>
            </w:r>
          </w:p>
          <w:p w:rsidR="00312E61" w:rsidRPr="00A67E76" w:rsidRDefault="00312E61" w:rsidP="00A67E76">
            <w:pPr>
              <w:tabs>
                <w:tab w:val="left" w:pos="432"/>
                <w:tab w:val="left" w:pos="864"/>
              </w:tabs>
              <w:spacing w:line="276" w:lineRule="auto"/>
              <w:rPr>
                <w:rFonts w:ascii="Arial" w:hAnsi="Arial" w:cs="Arial"/>
                <w:sz w:val="20"/>
                <w:szCs w:val="20"/>
                <w:lang w:val="en-GB"/>
              </w:rPr>
            </w:pPr>
          </w:p>
          <w:p w:rsidR="00312E61" w:rsidRPr="00A67E76" w:rsidRDefault="00312E61" w:rsidP="00A67E76">
            <w:pPr>
              <w:tabs>
                <w:tab w:val="left" w:pos="432"/>
                <w:tab w:val="left" w:pos="864"/>
              </w:tabs>
              <w:spacing w:line="276" w:lineRule="auto"/>
              <w:rPr>
                <w:rFonts w:ascii="Arial" w:hAnsi="Arial" w:cs="Arial"/>
                <w:sz w:val="20"/>
                <w:szCs w:val="20"/>
              </w:rPr>
            </w:pPr>
            <w:r w:rsidRPr="00A67E76">
              <w:rPr>
                <w:rFonts w:ascii="Arial" w:hAnsi="Arial" w:cs="Arial"/>
                <w:sz w:val="20"/>
                <w:szCs w:val="20"/>
                <w:lang w:val="en-GB"/>
              </w:rPr>
              <w:t>Introduced for the first time around April 1983</w:t>
            </w:r>
          </w:p>
        </w:tc>
        <w:tc>
          <w:tcPr>
            <w:tcW w:w="1550" w:type="dxa"/>
            <w:shd w:val="clear" w:color="auto" w:fill="C0C0C0"/>
          </w:tcPr>
          <w:p w:rsidR="00312E61" w:rsidRPr="00A67E76" w:rsidRDefault="00312E61" w:rsidP="00A67E76">
            <w:pPr>
              <w:tabs>
                <w:tab w:val="left" w:pos="432"/>
                <w:tab w:val="left" w:pos="864"/>
              </w:tabs>
              <w:spacing w:line="276" w:lineRule="auto"/>
              <w:rPr>
                <w:rFonts w:ascii="Arial" w:hAnsi="Arial" w:cs="Arial"/>
                <w:sz w:val="20"/>
                <w:szCs w:val="20"/>
              </w:rPr>
            </w:pPr>
            <w:r w:rsidRPr="00A67E76">
              <w:rPr>
                <w:rFonts w:ascii="Arial" w:hAnsi="Arial" w:cs="Arial"/>
                <w:sz w:val="20"/>
                <w:szCs w:val="20"/>
                <w:lang w:val="en-GB"/>
              </w:rPr>
              <w:t>255 cent per litre on petrol and 240 cent per litre on diesel</w:t>
            </w:r>
          </w:p>
        </w:tc>
        <w:tc>
          <w:tcPr>
            <w:tcW w:w="3899" w:type="dxa"/>
            <w:shd w:val="clear" w:color="auto" w:fill="C0C0C0"/>
          </w:tcPr>
          <w:p w:rsidR="00312E61" w:rsidRPr="00A67E76" w:rsidRDefault="00312E61" w:rsidP="00A67E76">
            <w:pPr>
              <w:tabs>
                <w:tab w:val="left" w:pos="432"/>
                <w:tab w:val="left" w:pos="864"/>
              </w:tabs>
              <w:spacing w:line="276" w:lineRule="auto"/>
              <w:rPr>
                <w:rFonts w:ascii="Arial" w:hAnsi="Arial" w:cs="Arial"/>
                <w:sz w:val="20"/>
                <w:szCs w:val="20"/>
                <w:lang w:val="en-GB"/>
              </w:rPr>
            </w:pPr>
            <w:r w:rsidRPr="00A67E76">
              <w:rPr>
                <w:rFonts w:ascii="Arial" w:hAnsi="Arial" w:cs="Arial"/>
                <w:sz w:val="20"/>
                <w:szCs w:val="20"/>
                <w:lang w:val="en-GB"/>
              </w:rPr>
              <w:t xml:space="preserve">Revenue (net of the refunds) go to the National Revenue Fund, from which they are appropriated to fund government’s general expenditure programmes, including the construction and maintenance of roads and support of public transport. Refer to the annual Budget Review for more information for any specific fiscal year. .  </w:t>
            </w:r>
          </w:p>
          <w:p w:rsidR="00312E61" w:rsidRPr="00A67E76" w:rsidRDefault="00312E61" w:rsidP="00A67E76">
            <w:pPr>
              <w:tabs>
                <w:tab w:val="left" w:pos="432"/>
                <w:tab w:val="left" w:pos="864"/>
              </w:tabs>
              <w:spacing w:line="276" w:lineRule="auto"/>
              <w:rPr>
                <w:rFonts w:ascii="Arial" w:hAnsi="Arial" w:cs="Arial"/>
                <w:sz w:val="20"/>
                <w:szCs w:val="20"/>
              </w:rPr>
            </w:pPr>
            <w:r w:rsidRPr="00A67E76">
              <w:rPr>
                <w:rFonts w:ascii="Arial" w:hAnsi="Arial" w:cs="Arial"/>
                <w:sz w:val="20"/>
                <w:szCs w:val="20"/>
                <w:lang w:val="en-GB"/>
              </w:rPr>
              <w:t xml:space="preserve">Since the abolishment of RSC levies, about one third of the revenue is shared with metropolitan municipalities. </w:t>
            </w:r>
          </w:p>
        </w:tc>
      </w:tr>
      <w:tr w:rsidR="00312E61" w:rsidRPr="007863C9" w:rsidTr="00A67E76">
        <w:tc>
          <w:tcPr>
            <w:tcW w:w="1618" w:type="dxa"/>
          </w:tcPr>
          <w:p w:rsidR="00312E61" w:rsidRPr="00A67E76" w:rsidRDefault="00312E61" w:rsidP="00A67E76">
            <w:pPr>
              <w:tabs>
                <w:tab w:val="left" w:pos="432"/>
                <w:tab w:val="left" w:pos="864"/>
              </w:tabs>
              <w:spacing w:line="276" w:lineRule="auto"/>
              <w:rPr>
                <w:rFonts w:ascii="Arial" w:eastAsia="MS Gothic" w:hAnsi="Arial" w:cs="Arial"/>
                <w:b/>
                <w:bCs/>
                <w:sz w:val="20"/>
                <w:szCs w:val="20"/>
              </w:rPr>
            </w:pPr>
            <w:r w:rsidRPr="00A67E76">
              <w:rPr>
                <w:rFonts w:ascii="Arial" w:eastAsia="MS Gothic" w:hAnsi="Arial" w:cs="Arial"/>
                <w:bCs/>
                <w:sz w:val="20"/>
                <w:szCs w:val="20"/>
                <w:lang w:val="en-GB"/>
              </w:rPr>
              <w:t>Customs and excise levy</w:t>
            </w:r>
          </w:p>
        </w:tc>
        <w:tc>
          <w:tcPr>
            <w:tcW w:w="1688" w:type="dxa"/>
          </w:tcPr>
          <w:p w:rsidR="00312E61" w:rsidRPr="00A67E76" w:rsidRDefault="00312E61" w:rsidP="00A67E76">
            <w:pPr>
              <w:tabs>
                <w:tab w:val="left" w:pos="432"/>
                <w:tab w:val="left" w:pos="864"/>
              </w:tabs>
              <w:spacing w:line="276" w:lineRule="auto"/>
              <w:rPr>
                <w:rFonts w:ascii="Arial" w:hAnsi="Arial" w:cs="Arial"/>
                <w:sz w:val="20"/>
                <w:szCs w:val="20"/>
                <w:lang w:val="en-GB"/>
              </w:rPr>
            </w:pPr>
            <w:r w:rsidRPr="00A67E76">
              <w:rPr>
                <w:rFonts w:ascii="Arial" w:hAnsi="Arial" w:cs="Arial"/>
                <w:sz w:val="20"/>
                <w:szCs w:val="20"/>
              </w:rPr>
              <w:t xml:space="preserve">1994; </w:t>
            </w:r>
            <w:r w:rsidRPr="00A67E76">
              <w:rPr>
                <w:rFonts w:ascii="Arial" w:hAnsi="Arial" w:cs="Arial"/>
                <w:sz w:val="20"/>
                <w:szCs w:val="20"/>
                <w:lang w:val="en-GB"/>
              </w:rPr>
              <w:t>Customs and Excise Act, No.91 of 1964</w:t>
            </w:r>
          </w:p>
          <w:p w:rsidR="00312E61" w:rsidRPr="00A67E76" w:rsidRDefault="00312E61" w:rsidP="00A67E76">
            <w:pPr>
              <w:tabs>
                <w:tab w:val="left" w:pos="432"/>
                <w:tab w:val="left" w:pos="864"/>
              </w:tabs>
              <w:spacing w:line="276" w:lineRule="auto"/>
              <w:rPr>
                <w:rFonts w:ascii="Arial" w:hAnsi="Arial" w:cs="Arial"/>
                <w:sz w:val="20"/>
                <w:szCs w:val="20"/>
                <w:lang w:val="en-GB"/>
              </w:rPr>
            </w:pPr>
          </w:p>
          <w:p w:rsidR="00312E61" w:rsidRPr="00A67E76" w:rsidRDefault="00312E61" w:rsidP="00A67E76">
            <w:pPr>
              <w:tabs>
                <w:tab w:val="left" w:pos="432"/>
                <w:tab w:val="left" w:pos="864"/>
              </w:tabs>
              <w:spacing w:line="276" w:lineRule="auto"/>
              <w:rPr>
                <w:rFonts w:ascii="Arial" w:hAnsi="Arial" w:cs="Arial"/>
                <w:sz w:val="20"/>
                <w:szCs w:val="20"/>
              </w:rPr>
            </w:pPr>
            <w:r w:rsidRPr="00A67E76">
              <w:rPr>
                <w:rFonts w:ascii="Arial" w:hAnsi="Arial" w:cs="Arial"/>
                <w:sz w:val="20"/>
                <w:szCs w:val="20"/>
                <w:lang w:val="en-GB"/>
              </w:rPr>
              <w:t xml:space="preserve">Introduced in April 1983 </w:t>
            </w:r>
          </w:p>
        </w:tc>
        <w:tc>
          <w:tcPr>
            <w:tcW w:w="1550" w:type="dxa"/>
          </w:tcPr>
          <w:p w:rsidR="00312E61" w:rsidRPr="00A67E76" w:rsidRDefault="00312E61" w:rsidP="00A67E76">
            <w:pPr>
              <w:tabs>
                <w:tab w:val="left" w:pos="432"/>
                <w:tab w:val="left" w:pos="864"/>
              </w:tabs>
              <w:spacing w:line="276" w:lineRule="auto"/>
              <w:rPr>
                <w:rFonts w:ascii="Arial" w:hAnsi="Arial" w:cs="Arial"/>
                <w:sz w:val="20"/>
                <w:szCs w:val="20"/>
                <w:lang w:val="en-GB"/>
              </w:rPr>
            </w:pPr>
            <w:r w:rsidRPr="00A67E76">
              <w:rPr>
                <w:rFonts w:ascii="Arial" w:hAnsi="Arial" w:cs="Arial"/>
                <w:sz w:val="20"/>
                <w:szCs w:val="20"/>
                <w:lang w:val="en-GB"/>
              </w:rPr>
              <w:t>4 cents per litre on petrol, diesel and biodiesel.</w:t>
            </w:r>
          </w:p>
          <w:p w:rsidR="00312E61" w:rsidRPr="00A67E76" w:rsidRDefault="00312E61" w:rsidP="00A67E76">
            <w:pPr>
              <w:tabs>
                <w:tab w:val="left" w:pos="432"/>
                <w:tab w:val="left" w:pos="864"/>
              </w:tabs>
              <w:spacing w:line="276" w:lineRule="auto"/>
              <w:rPr>
                <w:rFonts w:ascii="Arial" w:hAnsi="Arial" w:cs="Arial"/>
                <w:sz w:val="20"/>
                <w:szCs w:val="20"/>
                <w:lang w:val="en-GB"/>
              </w:rPr>
            </w:pPr>
          </w:p>
          <w:p w:rsidR="00312E61" w:rsidRPr="00A67E76" w:rsidRDefault="00312E61" w:rsidP="00A67E76">
            <w:pPr>
              <w:tabs>
                <w:tab w:val="left" w:pos="432"/>
                <w:tab w:val="left" w:pos="864"/>
              </w:tabs>
              <w:spacing w:line="276" w:lineRule="auto"/>
              <w:rPr>
                <w:rFonts w:ascii="Arial" w:hAnsi="Arial" w:cs="Arial"/>
                <w:sz w:val="20"/>
                <w:szCs w:val="20"/>
              </w:rPr>
            </w:pPr>
            <w:r w:rsidRPr="00A67E76">
              <w:rPr>
                <w:rFonts w:ascii="Arial" w:hAnsi="Arial" w:cs="Arial"/>
                <w:sz w:val="20"/>
                <w:szCs w:val="20"/>
                <w:lang w:val="en-GB"/>
              </w:rPr>
              <w:t>The 4 cents per litre has been fixed since the 1990s.</w:t>
            </w:r>
          </w:p>
        </w:tc>
        <w:tc>
          <w:tcPr>
            <w:tcW w:w="3899" w:type="dxa"/>
          </w:tcPr>
          <w:p w:rsidR="00312E61" w:rsidRPr="00A67E76" w:rsidRDefault="00312E61" w:rsidP="00A67E76">
            <w:pPr>
              <w:tabs>
                <w:tab w:val="left" w:pos="432"/>
                <w:tab w:val="left" w:pos="864"/>
              </w:tabs>
              <w:spacing w:line="276" w:lineRule="auto"/>
              <w:rPr>
                <w:rFonts w:ascii="Arial" w:hAnsi="Arial" w:cs="Arial"/>
                <w:sz w:val="20"/>
                <w:szCs w:val="20"/>
              </w:rPr>
            </w:pPr>
            <w:r w:rsidRPr="00A67E76">
              <w:rPr>
                <w:rFonts w:ascii="Arial" w:hAnsi="Arial" w:cs="Arial"/>
                <w:sz w:val="20"/>
                <w:szCs w:val="20"/>
                <w:lang w:val="en-GB"/>
              </w:rPr>
              <w:t xml:space="preserve">Included in the Southern African Custom Union (SACU) pool and shared amongst the SACU member countries.  </w:t>
            </w:r>
          </w:p>
        </w:tc>
      </w:tr>
      <w:tr w:rsidR="00312E61" w:rsidRPr="007863C9" w:rsidTr="00A67E76">
        <w:tc>
          <w:tcPr>
            <w:tcW w:w="1618" w:type="dxa"/>
            <w:shd w:val="clear" w:color="auto" w:fill="C0C0C0"/>
          </w:tcPr>
          <w:p w:rsidR="00312E61" w:rsidRPr="00A67E76" w:rsidRDefault="00312E61" w:rsidP="00A67E76">
            <w:pPr>
              <w:tabs>
                <w:tab w:val="left" w:pos="432"/>
                <w:tab w:val="left" w:pos="864"/>
              </w:tabs>
              <w:spacing w:line="276" w:lineRule="auto"/>
              <w:rPr>
                <w:rFonts w:ascii="Arial" w:eastAsia="MS Gothic" w:hAnsi="Arial" w:cs="Arial"/>
                <w:b/>
                <w:bCs/>
                <w:sz w:val="20"/>
                <w:szCs w:val="20"/>
              </w:rPr>
            </w:pPr>
            <w:r w:rsidRPr="00A67E76">
              <w:rPr>
                <w:rFonts w:ascii="Arial" w:eastAsia="MS Gothic" w:hAnsi="Arial" w:cs="Arial"/>
                <w:bCs/>
                <w:sz w:val="20"/>
                <w:szCs w:val="20"/>
                <w:lang w:val="en-GB"/>
              </w:rPr>
              <w:t>Road accident fund levy</w:t>
            </w:r>
          </w:p>
        </w:tc>
        <w:tc>
          <w:tcPr>
            <w:tcW w:w="1688" w:type="dxa"/>
            <w:shd w:val="clear" w:color="auto" w:fill="C0C0C0"/>
          </w:tcPr>
          <w:p w:rsidR="00312E61" w:rsidRPr="00A67E76" w:rsidRDefault="00312E61" w:rsidP="00A67E76">
            <w:pPr>
              <w:tabs>
                <w:tab w:val="left" w:pos="432"/>
                <w:tab w:val="left" w:pos="864"/>
              </w:tabs>
              <w:spacing w:line="276" w:lineRule="auto"/>
              <w:rPr>
                <w:rFonts w:ascii="Arial" w:hAnsi="Arial" w:cs="Arial"/>
                <w:sz w:val="20"/>
                <w:szCs w:val="20"/>
                <w:lang w:val="en-GB"/>
              </w:rPr>
            </w:pPr>
            <w:r w:rsidRPr="00A67E76">
              <w:rPr>
                <w:rFonts w:ascii="Arial" w:hAnsi="Arial" w:cs="Arial"/>
                <w:sz w:val="20"/>
                <w:szCs w:val="20"/>
                <w:lang w:val="en-GB"/>
              </w:rPr>
              <w:t>Road Accident Fund Act, No.56 of 1996</w:t>
            </w:r>
          </w:p>
          <w:p w:rsidR="00312E61" w:rsidRPr="00A67E76" w:rsidRDefault="00312E61" w:rsidP="00A67E76">
            <w:pPr>
              <w:tabs>
                <w:tab w:val="left" w:pos="432"/>
                <w:tab w:val="left" w:pos="864"/>
              </w:tabs>
              <w:spacing w:line="276" w:lineRule="auto"/>
              <w:rPr>
                <w:rFonts w:ascii="Arial" w:hAnsi="Arial" w:cs="Arial"/>
                <w:sz w:val="20"/>
                <w:szCs w:val="20"/>
                <w:lang w:val="en-GB"/>
              </w:rPr>
            </w:pPr>
          </w:p>
          <w:p w:rsidR="00312E61" w:rsidRPr="00A67E76" w:rsidRDefault="00312E61" w:rsidP="00A67E76">
            <w:pPr>
              <w:tabs>
                <w:tab w:val="left" w:pos="432"/>
                <w:tab w:val="left" w:pos="864"/>
              </w:tabs>
              <w:spacing w:line="276" w:lineRule="auto"/>
              <w:rPr>
                <w:rFonts w:ascii="Arial" w:hAnsi="Arial" w:cs="Arial"/>
                <w:sz w:val="20"/>
                <w:szCs w:val="20"/>
              </w:rPr>
            </w:pPr>
            <w:r w:rsidRPr="00A67E76">
              <w:rPr>
                <w:rFonts w:ascii="Arial" w:hAnsi="Arial" w:cs="Arial"/>
                <w:sz w:val="20"/>
                <w:szCs w:val="20"/>
                <w:lang w:val="en-GB"/>
              </w:rPr>
              <w:t xml:space="preserve">Introduced in May 1997 </w:t>
            </w:r>
          </w:p>
        </w:tc>
        <w:tc>
          <w:tcPr>
            <w:tcW w:w="1550" w:type="dxa"/>
            <w:shd w:val="clear" w:color="auto" w:fill="C0C0C0"/>
          </w:tcPr>
          <w:p w:rsidR="00312E61" w:rsidRPr="00A67E76" w:rsidRDefault="00312E61" w:rsidP="00A67E76">
            <w:pPr>
              <w:tabs>
                <w:tab w:val="left" w:pos="432"/>
                <w:tab w:val="left" w:pos="864"/>
              </w:tabs>
              <w:spacing w:line="276" w:lineRule="auto"/>
              <w:rPr>
                <w:rFonts w:ascii="Arial" w:hAnsi="Arial" w:cs="Arial"/>
                <w:sz w:val="20"/>
                <w:szCs w:val="20"/>
              </w:rPr>
            </w:pPr>
            <w:r w:rsidRPr="00A67E76">
              <w:rPr>
                <w:rFonts w:ascii="Arial" w:hAnsi="Arial" w:cs="Arial"/>
                <w:sz w:val="20"/>
                <w:szCs w:val="20"/>
                <w:lang w:val="en-GB"/>
              </w:rPr>
              <w:t>154 cents per litre on petrol, diesel and biodiesel</w:t>
            </w:r>
          </w:p>
        </w:tc>
        <w:tc>
          <w:tcPr>
            <w:tcW w:w="3899" w:type="dxa"/>
            <w:shd w:val="clear" w:color="auto" w:fill="C0C0C0"/>
          </w:tcPr>
          <w:p w:rsidR="00312E61" w:rsidRPr="00A67E76" w:rsidRDefault="00312E61" w:rsidP="00A67E76">
            <w:pPr>
              <w:tabs>
                <w:tab w:val="left" w:pos="432"/>
                <w:tab w:val="left" w:pos="864"/>
              </w:tabs>
              <w:spacing w:line="276" w:lineRule="auto"/>
              <w:rPr>
                <w:rFonts w:ascii="Arial" w:hAnsi="Arial" w:cs="Arial"/>
                <w:sz w:val="20"/>
                <w:szCs w:val="20"/>
                <w:lang w:val="en-GB"/>
              </w:rPr>
            </w:pPr>
            <w:r w:rsidRPr="00A67E76">
              <w:rPr>
                <w:rFonts w:ascii="Arial" w:hAnsi="Arial" w:cs="Arial"/>
                <w:sz w:val="20"/>
                <w:szCs w:val="20"/>
                <w:lang w:val="en-GB"/>
              </w:rPr>
              <w:t>Provides cover for all road users against injuries sustained or death arising from accidents involving motor vehicles.</w:t>
            </w:r>
          </w:p>
          <w:p w:rsidR="00312E61" w:rsidRPr="00A67E76" w:rsidRDefault="00312E61" w:rsidP="00A67E76">
            <w:pPr>
              <w:tabs>
                <w:tab w:val="left" w:pos="432"/>
                <w:tab w:val="left" w:pos="864"/>
              </w:tabs>
              <w:spacing w:line="276" w:lineRule="auto"/>
              <w:rPr>
                <w:rFonts w:ascii="Arial" w:hAnsi="Arial" w:cs="Arial"/>
                <w:sz w:val="20"/>
                <w:szCs w:val="20"/>
              </w:rPr>
            </w:pPr>
          </w:p>
        </w:tc>
      </w:tr>
      <w:tr w:rsidR="00312E61" w:rsidRPr="007863C9" w:rsidTr="00A67E76">
        <w:tc>
          <w:tcPr>
            <w:tcW w:w="1618" w:type="dxa"/>
          </w:tcPr>
          <w:p w:rsidR="00312E61" w:rsidRPr="00A67E76" w:rsidRDefault="00312E61" w:rsidP="00A67E76">
            <w:pPr>
              <w:tabs>
                <w:tab w:val="left" w:pos="432"/>
                <w:tab w:val="left" w:pos="864"/>
              </w:tabs>
              <w:spacing w:line="276" w:lineRule="auto"/>
              <w:rPr>
                <w:rFonts w:ascii="Arial" w:eastAsia="MS Gothic" w:hAnsi="Arial" w:cs="Arial"/>
                <w:b/>
                <w:bCs/>
                <w:sz w:val="20"/>
                <w:szCs w:val="20"/>
              </w:rPr>
            </w:pPr>
            <w:r w:rsidRPr="00A67E76">
              <w:rPr>
                <w:rFonts w:ascii="Arial" w:eastAsia="MS Gothic" w:hAnsi="Arial" w:cs="Arial"/>
                <w:bCs/>
                <w:sz w:val="20"/>
                <w:szCs w:val="20"/>
                <w:lang w:val="en-GB"/>
              </w:rPr>
              <w:t>Equalisation fund levy</w:t>
            </w:r>
          </w:p>
        </w:tc>
        <w:tc>
          <w:tcPr>
            <w:tcW w:w="1688" w:type="dxa"/>
          </w:tcPr>
          <w:p w:rsidR="00312E61" w:rsidRPr="00A67E76" w:rsidRDefault="00312E61" w:rsidP="00A67E76">
            <w:pPr>
              <w:tabs>
                <w:tab w:val="left" w:pos="432"/>
                <w:tab w:val="left" w:pos="864"/>
              </w:tabs>
              <w:spacing w:line="276" w:lineRule="auto"/>
              <w:rPr>
                <w:rFonts w:ascii="Arial" w:hAnsi="Arial" w:cs="Arial"/>
                <w:sz w:val="20"/>
                <w:szCs w:val="20"/>
                <w:lang w:val="en-ZA"/>
              </w:rPr>
            </w:pPr>
            <w:r w:rsidRPr="00A67E76">
              <w:rPr>
                <w:rFonts w:ascii="Arial" w:hAnsi="Arial" w:cs="Arial"/>
                <w:sz w:val="20"/>
                <w:szCs w:val="20"/>
                <w:lang w:val="en-ZA"/>
              </w:rPr>
              <w:t xml:space="preserve">Central Energy Fund Act, No. 38 of 1977; </w:t>
            </w:r>
          </w:p>
          <w:p w:rsidR="00312E61" w:rsidRPr="00A67E76" w:rsidRDefault="00312E61" w:rsidP="00A67E76">
            <w:pPr>
              <w:tabs>
                <w:tab w:val="left" w:pos="432"/>
                <w:tab w:val="left" w:pos="864"/>
              </w:tabs>
              <w:spacing w:line="276" w:lineRule="auto"/>
              <w:rPr>
                <w:rFonts w:ascii="Arial" w:hAnsi="Arial" w:cs="Arial"/>
                <w:sz w:val="20"/>
                <w:szCs w:val="20"/>
                <w:lang w:val="en-ZA"/>
              </w:rPr>
            </w:pPr>
          </w:p>
          <w:p w:rsidR="00312E61" w:rsidRPr="00A67E76" w:rsidRDefault="00312E61" w:rsidP="00A67E76">
            <w:pPr>
              <w:tabs>
                <w:tab w:val="left" w:pos="432"/>
                <w:tab w:val="left" w:pos="864"/>
              </w:tabs>
              <w:spacing w:line="276" w:lineRule="auto"/>
              <w:rPr>
                <w:rFonts w:ascii="Arial" w:hAnsi="Arial" w:cs="Arial"/>
                <w:sz w:val="20"/>
                <w:szCs w:val="20"/>
              </w:rPr>
            </w:pPr>
            <w:r w:rsidRPr="00A67E76">
              <w:rPr>
                <w:rFonts w:ascii="Arial" w:hAnsi="Arial" w:cs="Arial"/>
                <w:sz w:val="20"/>
                <w:szCs w:val="20"/>
                <w:lang w:val="en-ZA"/>
              </w:rPr>
              <w:t xml:space="preserve">Introduced in January 1979  </w:t>
            </w:r>
          </w:p>
        </w:tc>
        <w:tc>
          <w:tcPr>
            <w:tcW w:w="1550" w:type="dxa"/>
          </w:tcPr>
          <w:p w:rsidR="00312E61" w:rsidRPr="00A67E76" w:rsidRDefault="00312E61" w:rsidP="00A67E76">
            <w:pPr>
              <w:tabs>
                <w:tab w:val="left" w:pos="432"/>
                <w:tab w:val="left" w:pos="864"/>
              </w:tabs>
              <w:spacing w:line="276" w:lineRule="auto"/>
              <w:rPr>
                <w:rFonts w:ascii="Arial" w:hAnsi="Arial" w:cs="Arial"/>
                <w:sz w:val="20"/>
                <w:szCs w:val="20"/>
              </w:rPr>
            </w:pPr>
            <w:r w:rsidRPr="00A67E76">
              <w:rPr>
                <w:rFonts w:ascii="Arial" w:hAnsi="Arial" w:cs="Arial"/>
                <w:sz w:val="20"/>
                <w:szCs w:val="20"/>
              </w:rPr>
              <w:t>Zero cents per litre on both diesel and petrol since 1996</w:t>
            </w:r>
          </w:p>
        </w:tc>
        <w:tc>
          <w:tcPr>
            <w:tcW w:w="3899" w:type="dxa"/>
          </w:tcPr>
          <w:p w:rsidR="00312E61" w:rsidRPr="00A67E76" w:rsidRDefault="00312E61" w:rsidP="00A67E76">
            <w:pPr>
              <w:tabs>
                <w:tab w:val="left" w:pos="432"/>
                <w:tab w:val="left" w:pos="864"/>
              </w:tabs>
              <w:spacing w:line="276" w:lineRule="auto"/>
              <w:rPr>
                <w:rFonts w:ascii="Arial" w:hAnsi="Arial" w:cs="Arial"/>
                <w:sz w:val="20"/>
                <w:szCs w:val="20"/>
              </w:rPr>
            </w:pPr>
            <w:r w:rsidRPr="00A67E76">
              <w:rPr>
                <w:rFonts w:ascii="Arial" w:hAnsi="Arial" w:cs="Arial"/>
                <w:sz w:val="20"/>
                <w:szCs w:val="20"/>
              </w:rPr>
              <w:t xml:space="preserve">The fund was in the past primarily used to smooth out monthly fluctuations in the price of liquid fuels. This was an attempt to </w:t>
            </w:r>
            <w:r w:rsidRPr="00A67E76">
              <w:rPr>
                <w:rFonts w:ascii="Arial" w:hAnsi="Arial" w:cs="Arial"/>
                <w:bCs/>
                <w:sz w:val="20"/>
                <w:szCs w:val="20"/>
              </w:rPr>
              <w:t xml:space="preserve">try and limit the impact of volatile international crude oil prices and fluctuations in the Rand / US $ exchange rate on fuel prices.  This effort has not been very successful and was ceased about 5 years ago. </w:t>
            </w:r>
          </w:p>
        </w:tc>
      </w:tr>
      <w:tr w:rsidR="00312E61" w:rsidRPr="007863C9" w:rsidTr="00A67E76">
        <w:tc>
          <w:tcPr>
            <w:tcW w:w="1618" w:type="dxa"/>
            <w:shd w:val="clear" w:color="auto" w:fill="C0C0C0"/>
          </w:tcPr>
          <w:p w:rsidR="00312E61" w:rsidRPr="00A67E76" w:rsidRDefault="00312E61" w:rsidP="00A67E76">
            <w:pPr>
              <w:tabs>
                <w:tab w:val="left" w:pos="432"/>
                <w:tab w:val="left" w:pos="864"/>
              </w:tabs>
              <w:spacing w:line="276" w:lineRule="auto"/>
              <w:rPr>
                <w:rFonts w:ascii="Arial" w:eastAsia="MS Gothic" w:hAnsi="Arial" w:cs="Arial"/>
                <w:b/>
                <w:bCs/>
                <w:sz w:val="20"/>
                <w:szCs w:val="20"/>
              </w:rPr>
            </w:pPr>
            <w:r w:rsidRPr="00A67E76">
              <w:rPr>
                <w:rFonts w:ascii="Arial" w:eastAsia="MS Gothic" w:hAnsi="Arial" w:cs="Arial"/>
                <w:bCs/>
                <w:sz w:val="20"/>
                <w:szCs w:val="20"/>
                <w:lang w:val="en-GB"/>
              </w:rPr>
              <w:t>Demand Side Management Levy</w:t>
            </w:r>
          </w:p>
        </w:tc>
        <w:tc>
          <w:tcPr>
            <w:tcW w:w="1688" w:type="dxa"/>
            <w:shd w:val="clear" w:color="auto" w:fill="C0C0C0"/>
          </w:tcPr>
          <w:p w:rsidR="00312E61" w:rsidRPr="00A67E76" w:rsidRDefault="00312E61" w:rsidP="00A67E76">
            <w:pPr>
              <w:tabs>
                <w:tab w:val="left" w:pos="432"/>
                <w:tab w:val="left" w:pos="864"/>
              </w:tabs>
              <w:spacing w:line="276" w:lineRule="auto"/>
              <w:rPr>
                <w:rFonts w:ascii="Arial" w:hAnsi="Arial" w:cs="Arial"/>
                <w:sz w:val="20"/>
                <w:szCs w:val="20"/>
                <w:lang w:val="en-ZA"/>
              </w:rPr>
            </w:pPr>
            <w:r w:rsidRPr="00A67E76">
              <w:rPr>
                <w:rFonts w:ascii="Arial" w:hAnsi="Arial" w:cs="Arial"/>
                <w:sz w:val="20"/>
                <w:szCs w:val="20"/>
                <w:lang w:val="en-GB"/>
              </w:rPr>
              <w:t xml:space="preserve">The </w:t>
            </w:r>
            <w:r w:rsidRPr="00A67E76">
              <w:rPr>
                <w:rFonts w:ascii="Arial" w:hAnsi="Arial" w:cs="Arial"/>
                <w:sz w:val="20"/>
                <w:szCs w:val="20"/>
                <w:lang w:val="en-ZA"/>
              </w:rPr>
              <w:t>Central Energy Fund Act, No. 38 of 1977;</w:t>
            </w:r>
          </w:p>
          <w:p w:rsidR="00312E61" w:rsidRPr="00A67E76" w:rsidRDefault="00312E61" w:rsidP="00A67E76">
            <w:pPr>
              <w:tabs>
                <w:tab w:val="left" w:pos="432"/>
                <w:tab w:val="left" w:pos="864"/>
              </w:tabs>
              <w:spacing w:line="276" w:lineRule="auto"/>
              <w:rPr>
                <w:rFonts w:ascii="Arial" w:hAnsi="Arial" w:cs="Arial"/>
                <w:sz w:val="20"/>
                <w:szCs w:val="20"/>
                <w:lang w:val="en-ZA"/>
              </w:rPr>
            </w:pPr>
          </w:p>
          <w:p w:rsidR="00312E61" w:rsidRPr="00A67E76" w:rsidRDefault="00312E61" w:rsidP="00A67E76">
            <w:pPr>
              <w:tabs>
                <w:tab w:val="left" w:pos="432"/>
                <w:tab w:val="left" w:pos="864"/>
              </w:tabs>
              <w:spacing w:line="276" w:lineRule="auto"/>
              <w:rPr>
                <w:rFonts w:ascii="Arial" w:hAnsi="Arial" w:cs="Arial"/>
                <w:sz w:val="20"/>
                <w:szCs w:val="20"/>
              </w:rPr>
            </w:pPr>
            <w:r w:rsidRPr="00A67E76">
              <w:rPr>
                <w:rFonts w:ascii="Arial" w:hAnsi="Arial" w:cs="Arial"/>
                <w:sz w:val="20"/>
                <w:szCs w:val="20"/>
                <w:lang w:val="en-GB"/>
              </w:rPr>
              <w:t>Introduced in January 2006</w:t>
            </w:r>
          </w:p>
        </w:tc>
        <w:tc>
          <w:tcPr>
            <w:tcW w:w="1550" w:type="dxa"/>
            <w:shd w:val="clear" w:color="auto" w:fill="C0C0C0"/>
          </w:tcPr>
          <w:p w:rsidR="00312E61" w:rsidRPr="00A67E76" w:rsidRDefault="00312E61" w:rsidP="00A67E76">
            <w:pPr>
              <w:tabs>
                <w:tab w:val="left" w:pos="432"/>
                <w:tab w:val="left" w:pos="864"/>
              </w:tabs>
              <w:spacing w:line="276" w:lineRule="auto"/>
              <w:rPr>
                <w:rFonts w:ascii="Arial" w:hAnsi="Arial" w:cs="Arial"/>
                <w:sz w:val="20"/>
                <w:szCs w:val="20"/>
              </w:rPr>
            </w:pPr>
            <w:r w:rsidRPr="00A67E76">
              <w:rPr>
                <w:rFonts w:ascii="Arial" w:hAnsi="Arial" w:cs="Arial"/>
                <w:sz w:val="20"/>
                <w:szCs w:val="20"/>
                <w:lang w:val="en-GB"/>
              </w:rPr>
              <w:t>10 cents per litre on 95 Octane petrol in inland areas</w:t>
            </w:r>
          </w:p>
        </w:tc>
        <w:tc>
          <w:tcPr>
            <w:tcW w:w="3899" w:type="dxa"/>
            <w:shd w:val="clear" w:color="auto" w:fill="C0C0C0"/>
          </w:tcPr>
          <w:p w:rsidR="00312E61" w:rsidRPr="00A67E76" w:rsidRDefault="00312E61" w:rsidP="00A67E76">
            <w:pPr>
              <w:tabs>
                <w:tab w:val="left" w:pos="432"/>
                <w:tab w:val="left" w:pos="864"/>
              </w:tabs>
              <w:spacing w:line="276" w:lineRule="auto"/>
              <w:rPr>
                <w:rFonts w:ascii="Arial" w:hAnsi="Arial" w:cs="Arial"/>
                <w:sz w:val="20"/>
                <w:szCs w:val="20"/>
              </w:rPr>
            </w:pPr>
            <w:r w:rsidRPr="00A67E76">
              <w:rPr>
                <w:rFonts w:ascii="Arial" w:hAnsi="Arial" w:cs="Arial"/>
                <w:sz w:val="20"/>
                <w:szCs w:val="20"/>
                <w:lang w:val="en-GB"/>
              </w:rPr>
              <w:t xml:space="preserve">Most vehicles in the inland market do not require 95 ULP. In an effort to limit </w:t>
            </w:r>
            <w:r w:rsidRPr="00A67E76">
              <w:rPr>
                <w:rFonts w:ascii="Arial" w:hAnsi="Arial" w:cs="Arial"/>
                <w:sz w:val="20"/>
                <w:szCs w:val="20"/>
              </w:rPr>
              <w:t>the demand for 95 ULP in the inland area</w:t>
            </w:r>
            <w:r w:rsidRPr="00A67E76">
              <w:rPr>
                <w:rFonts w:ascii="Arial" w:hAnsi="Arial" w:cs="Arial"/>
                <w:sz w:val="20"/>
                <w:szCs w:val="20"/>
                <w:lang w:val="en-GB"/>
              </w:rPr>
              <w:t xml:space="preserve"> to prevent "octane wastage" and to ensure sufficient supply for motorist who really need it the DSM levy was introduced. </w:t>
            </w:r>
          </w:p>
        </w:tc>
      </w:tr>
      <w:tr w:rsidR="00312E61" w:rsidRPr="007863C9" w:rsidTr="00A67E76">
        <w:tc>
          <w:tcPr>
            <w:tcW w:w="1618" w:type="dxa"/>
          </w:tcPr>
          <w:p w:rsidR="00312E61" w:rsidRPr="00A67E76" w:rsidRDefault="00312E61" w:rsidP="00A67E76">
            <w:pPr>
              <w:tabs>
                <w:tab w:val="left" w:pos="432"/>
                <w:tab w:val="left" w:pos="864"/>
              </w:tabs>
              <w:spacing w:line="276" w:lineRule="auto"/>
              <w:rPr>
                <w:rFonts w:ascii="Arial" w:eastAsia="MS Gothic" w:hAnsi="Arial" w:cs="Arial"/>
                <w:b/>
                <w:bCs/>
                <w:sz w:val="20"/>
                <w:szCs w:val="20"/>
              </w:rPr>
            </w:pPr>
            <w:r w:rsidRPr="00A67E76">
              <w:rPr>
                <w:rFonts w:ascii="Arial" w:eastAsia="MS Gothic" w:hAnsi="Arial" w:cs="Arial"/>
                <w:bCs/>
                <w:sz w:val="20"/>
                <w:szCs w:val="20"/>
                <w:lang w:val="en-GB"/>
              </w:rPr>
              <w:t>Petroleum Pipelines Levy</w:t>
            </w:r>
          </w:p>
        </w:tc>
        <w:tc>
          <w:tcPr>
            <w:tcW w:w="1688" w:type="dxa"/>
          </w:tcPr>
          <w:p w:rsidR="00312E61" w:rsidRPr="00A67E76" w:rsidRDefault="00312E61" w:rsidP="00A67E76">
            <w:pPr>
              <w:tabs>
                <w:tab w:val="left" w:pos="432"/>
                <w:tab w:val="left" w:pos="864"/>
              </w:tabs>
              <w:spacing w:line="276" w:lineRule="auto"/>
              <w:rPr>
                <w:rFonts w:ascii="Arial" w:hAnsi="Arial" w:cs="Arial"/>
                <w:sz w:val="20"/>
                <w:szCs w:val="20"/>
                <w:lang w:val="en-GB"/>
              </w:rPr>
            </w:pPr>
            <w:r w:rsidRPr="00A67E76">
              <w:rPr>
                <w:rFonts w:ascii="Arial" w:hAnsi="Arial" w:cs="Arial"/>
                <w:sz w:val="20"/>
                <w:szCs w:val="20"/>
                <w:lang w:val="en-GB"/>
              </w:rPr>
              <w:t>The Petroleum Pipelines Levies Act, No. 28 of 2004</w:t>
            </w:r>
          </w:p>
          <w:p w:rsidR="00312E61" w:rsidRPr="00A67E76" w:rsidRDefault="00312E61" w:rsidP="00A67E76">
            <w:pPr>
              <w:tabs>
                <w:tab w:val="left" w:pos="432"/>
                <w:tab w:val="left" w:pos="864"/>
              </w:tabs>
              <w:spacing w:line="276" w:lineRule="auto"/>
              <w:rPr>
                <w:rFonts w:ascii="Arial" w:hAnsi="Arial" w:cs="Arial"/>
                <w:sz w:val="20"/>
                <w:szCs w:val="20"/>
                <w:lang w:val="en-GB"/>
              </w:rPr>
            </w:pPr>
          </w:p>
          <w:p w:rsidR="00312E61" w:rsidRPr="00A67E76" w:rsidRDefault="00312E61" w:rsidP="00A67E76">
            <w:pPr>
              <w:tabs>
                <w:tab w:val="left" w:pos="432"/>
                <w:tab w:val="left" w:pos="864"/>
              </w:tabs>
              <w:spacing w:line="276" w:lineRule="auto"/>
              <w:rPr>
                <w:rFonts w:ascii="Arial" w:hAnsi="Arial" w:cs="Arial"/>
                <w:sz w:val="20"/>
                <w:szCs w:val="20"/>
              </w:rPr>
            </w:pPr>
            <w:r w:rsidRPr="00A67E76">
              <w:rPr>
                <w:rFonts w:ascii="Arial" w:hAnsi="Arial" w:cs="Arial"/>
                <w:sz w:val="20"/>
                <w:szCs w:val="20"/>
                <w:lang w:val="en-GB"/>
              </w:rPr>
              <w:t>Introduced in March 2007</w:t>
            </w:r>
          </w:p>
        </w:tc>
        <w:tc>
          <w:tcPr>
            <w:tcW w:w="1550" w:type="dxa"/>
          </w:tcPr>
          <w:p w:rsidR="00312E61" w:rsidRPr="00A67E76" w:rsidRDefault="00312E61" w:rsidP="00A67E76">
            <w:pPr>
              <w:tabs>
                <w:tab w:val="left" w:pos="432"/>
                <w:tab w:val="left" w:pos="864"/>
              </w:tabs>
              <w:spacing w:line="276" w:lineRule="auto"/>
              <w:rPr>
                <w:rFonts w:ascii="Arial" w:hAnsi="Arial" w:cs="Arial"/>
                <w:sz w:val="20"/>
                <w:szCs w:val="20"/>
                <w:lang w:val="en-GB"/>
              </w:rPr>
            </w:pPr>
            <w:r w:rsidRPr="00A67E76">
              <w:rPr>
                <w:rFonts w:ascii="Arial" w:hAnsi="Arial" w:cs="Arial"/>
                <w:sz w:val="20"/>
                <w:szCs w:val="20"/>
                <w:lang w:val="en-GB"/>
              </w:rPr>
              <w:t>0.15 cents per litre - NERSA</w:t>
            </w:r>
          </w:p>
          <w:p w:rsidR="00312E61" w:rsidRPr="00A67E76" w:rsidRDefault="00312E61" w:rsidP="00A67E76">
            <w:pPr>
              <w:tabs>
                <w:tab w:val="left" w:pos="432"/>
                <w:tab w:val="left" w:pos="864"/>
              </w:tabs>
              <w:spacing w:line="276" w:lineRule="auto"/>
              <w:rPr>
                <w:rFonts w:ascii="Arial" w:hAnsi="Arial" w:cs="Arial"/>
                <w:sz w:val="20"/>
                <w:szCs w:val="20"/>
              </w:rPr>
            </w:pPr>
          </w:p>
        </w:tc>
        <w:tc>
          <w:tcPr>
            <w:tcW w:w="3899" w:type="dxa"/>
          </w:tcPr>
          <w:p w:rsidR="00312E61" w:rsidRPr="00A67E76" w:rsidRDefault="00312E61" w:rsidP="00A67E76">
            <w:pPr>
              <w:tabs>
                <w:tab w:val="left" w:pos="432"/>
                <w:tab w:val="left" w:pos="864"/>
              </w:tabs>
              <w:spacing w:line="276" w:lineRule="auto"/>
              <w:rPr>
                <w:rFonts w:ascii="Arial" w:hAnsi="Arial" w:cs="Arial"/>
                <w:sz w:val="20"/>
                <w:szCs w:val="20"/>
              </w:rPr>
            </w:pPr>
            <w:r w:rsidRPr="00A67E76">
              <w:rPr>
                <w:rFonts w:ascii="Arial" w:hAnsi="Arial" w:cs="Arial"/>
                <w:sz w:val="20"/>
                <w:szCs w:val="20"/>
                <w:lang w:val="en-GB"/>
              </w:rPr>
              <w:t xml:space="preserve">To meet the general administrative and other costs for the functions performed by the </w:t>
            </w:r>
            <w:r w:rsidRPr="00A67E76">
              <w:rPr>
                <w:rFonts w:ascii="Arial" w:hAnsi="Arial" w:cs="Arial"/>
                <w:sz w:val="20"/>
                <w:szCs w:val="20"/>
                <w:lang w:val="en-ZA"/>
              </w:rPr>
              <w:t>Petroleum Pipelines Regulatory Authority.</w:t>
            </w:r>
          </w:p>
        </w:tc>
      </w:tr>
      <w:tr w:rsidR="00312E61" w:rsidRPr="007863C9" w:rsidTr="00A67E76">
        <w:tc>
          <w:tcPr>
            <w:tcW w:w="1618" w:type="dxa"/>
            <w:shd w:val="clear" w:color="auto" w:fill="C0C0C0"/>
          </w:tcPr>
          <w:p w:rsidR="00312E61" w:rsidRPr="00A67E76" w:rsidRDefault="00312E61" w:rsidP="00A67E76">
            <w:pPr>
              <w:tabs>
                <w:tab w:val="left" w:pos="432"/>
                <w:tab w:val="left" w:pos="864"/>
              </w:tabs>
              <w:spacing w:line="276" w:lineRule="auto"/>
              <w:rPr>
                <w:rFonts w:ascii="Arial" w:eastAsia="MS Gothic" w:hAnsi="Arial" w:cs="Arial"/>
                <w:b/>
                <w:bCs/>
                <w:sz w:val="20"/>
                <w:szCs w:val="20"/>
              </w:rPr>
            </w:pPr>
            <w:r w:rsidRPr="00A67E76">
              <w:rPr>
                <w:rFonts w:ascii="Arial" w:eastAsia="MS Gothic" w:hAnsi="Arial" w:cs="Arial"/>
                <w:bCs/>
                <w:sz w:val="20"/>
                <w:szCs w:val="20"/>
                <w:lang w:val="en-GB"/>
              </w:rPr>
              <w:t>Slate Levy</w:t>
            </w:r>
          </w:p>
        </w:tc>
        <w:tc>
          <w:tcPr>
            <w:tcW w:w="1688" w:type="dxa"/>
            <w:shd w:val="clear" w:color="auto" w:fill="C0C0C0"/>
          </w:tcPr>
          <w:p w:rsidR="00312E61" w:rsidRPr="00A67E76" w:rsidRDefault="00312E61" w:rsidP="00A67E76">
            <w:pPr>
              <w:tabs>
                <w:tab w:val="left" w:pos="432"/>
                <w:tab w:val="left" w:pos="864"/>
              </w:tabs>
              <w:spacing w:line="276" w:lineRule="auto"/>
              <w:rPr>
                <w:rFonts w:ascii="Arial" w:hAnsi="Arial" w:cs="Arial"/>
                <w:sz w:val="20"/>
                <w:szCs w:val="20"/>
                <w:lang w:val="en-GB"/>
              </w:rPr>
            </w:pPr>
            <w:r w:rsidRPr="00A67E76">
              <w:rPr>
                <w:rFonts w:ascii="Arial" w:hAnsi="Arial" w:cs="Arial"/>
                <w:sz w:val="20"/>
                <w:szCs w:val="20"/>
                <w:lang w:val="en-GB"/>
              </w:rPr>
              <w:t>The Central Energy Act, No.38 of 1977</w:t>
            </w:r>
          </w:p>
          <w:p w:rsidR="00312E61" w:rsidRPr="00A67E76" w:rsidRDefault="00312E61" w:rsidP="00A67E76">
            <w:pPr>
              <w:tabs>
                <w:tab w:val="left" w:pos="432"/>
                <w:tab w:val="left" w:pos="864"/>
              </w:tabs>
              <w:spacing w:line="276" w:lineRule="auto"/>
              <w:rPr>
                <w:rFonts w:ascii="Arial" w:hAnsi="Arial" w:cs="Arial"/>
                <w:sz w:val="20"/>
                <w:szCs w:val="20"/>
                <w:lang w:val="en-GB"/>
              </w:rPr>
            </w:pPr>
          </w:p>
          <w:p w:rsidR="00312E61" w:rsidRPr="00A67E76" w:rsidRDefault="00312E61" w:rsidP="00A67E76">
            <w:pPr>
              <w:tabs>
                <w:tab w:val="left" w:pos="432"/>
                <w:tab w:val="left" w:pos="864"/>
              </w:tabs>
              <w:spacing w:line="276" w:lineRule="auto"/>
              <w:rPr>
                <w:rFonts w:ascii="Arial" w:hAnsi="Arial" w:cs="Arial"/>
                <w:sz w:val="20"/>
                <w:szCs w:val="20"/>
              </w:rPr>
            </w:pPr>
            <w:r w:rsidRPr="00A67E76">
              <w:rPr>
                <w:rFonts w:ascii="Arial" w:hAnsi="Arial" w:cs="Arial"/>
                <w:sz w:val="20"/>
                <w:szCs w:val="20"/>
                <w:lang w:val="en-GB"/>
              </w:rPr>
              <w:t>Introduced in January 2009</w:t>
            </w:r>
          </w:p>
        </w:tc>
        <w:tc>
          <w:tcPr>
            <w:tcW w:w="1550" w:type="dxa"/>
            <w:shd w:val="clear" w:color="auto" w:fill="C0C0C0"/>
          </w:tcPr>
          <w:p w:rsidR="00312E61" w:rsidRPr="00A67E76" w:rsidRDefault="00312E61" w:rsidP="00A67E76">
            <w:pPr>
              <w:tabs>
                <w:tab w:val="left" w:pos="432"/>
                <w:tab w:val="left" w:pos="864"/>
              </w:tabs>
              <w:spacing w:line="276" w:lineRule="auto"/>
              <w:rPr>
                <w:rFonts w:ascii="Arial" w:hAnsi="Arial" w:cs="Arial"/>
                <w:sz w:val="20"/>
                <w:szCs w:val="20"/>
              </w:rPr>
            </w:pPr>
            <w:r w:rsidRPr="00A67E76">
              <w:rPr>
                <w:rFonts w:ascii="Arial" w:hAnsi="Arial" w:cs="Arial"/>
                <w:sz w:val="20"/>
                <w:szCs w:val="20"/>
              </w:rPr>
              <w:t xml:space="preserve">Fluctuates </w:t>
            </w:r>
          </w:p>
        </w:tc>
        <w:tc>
          <w:tcPr>
            <w:tcW w:w="3899" w:type="dxa"/>
            <w:shd w:val="clear" w:color="auto" w:fill="C0C0C0"/>
          </w:tcPr>
          <w:p w:rsidR="00312E61" w:rsidRPr="00A67E76" w:rsidRDefault="00312E61" w:rsidP="00A67E76">
            <w:pPr>
              <w:tabs>
                <w:tab w:val="left" w:pos="432"/>
                <w:tab w:val="left" w:pos="864"/>
              </w:tabs>
              <w:spacing w:line="276" w:lineRule="auto"/>
              <w:rPr>
                <w:rFonts w:ascii="Arial" w:hAnsi="Arial" w:cs="Arial"/>
                <w:sz w:val="20"/>
                <w:szCs w:val="20"/>
              </w:rPr>
            </w:pPr>
            <w:r w:rsidRPr="00A67E76">
              <w:rPr>
                <w:rFonts w:ascii="Arial" w:hAnsi="Arial" w:cs="Arial"/>
                <w:sz w:val="20"/>
                <w:szCs w:val="20"/>
                <w:lang w:val="en-GB"/>
              </w:rPr>
              <w:t>To finance the balance in the Slate account when the Slate is in a negative balance.</w:t>
            </w:r>
            <w:r w:rsidRPr="00A67E76">
              <w:rPr>
                <w:rFonts w:ascii="Arial" w:hAnsi="Arial" w:cs="Arial"/>
                <w:sz w:val="20"/>
                <w:szCs w:val="20"/>
                <w:lang w:val="en-GB" w:eastAsia="en-ZA"/>
              </w:rPr>
              <w:t xml:space="preserve"> </w:t>
            </w:r>
            <w:r w:rsidRPr="00A67E76">
              <w:rPr>
                <w:rFonts w:ascii="Arial" w:hAnsi="Arial" w:cs="Arial"/>
                <w:sz w:val="20"/>
                <w:szCs w:val="20"/>
                <w:lang w:val="en-GB"/>
              </w:rPr>
              <w:t>If the daily Basic Fuel Price (BFP) is higher than the BFP in the fuel price structure, a unit under recovery is realised otherwise there is an over recovery for the oil companies.</w:t>
            </w:r>
          </w:p>
        </w:tc>
      </w:tr>
      <w:tr w:rsidR="00312E61" w:rsidRPr="007863C9" w:rsidTr="00A67E76">
        <w:tc>
          <w:tcPr>
            <w:tcW w:w="1618" w:type="dxa"/>
          </w:tcPr>
          <w:p w:rsidR="00312E61" w:rsidRPr="00A67E76" w:rsidRDefault="00312E61" w:rsidP="00A67E76">
            <w:pPr>
              <w:tabs>
                <w:tab w:val="left" w:pos="432"/>
                <w:tab w:val="left" w:pos="864"/>
              </w:tabs>
              <w:spacing w:line="276" w:lineRule="auto"/>
              <w:rPr>
                <w:rFonts w:ascii="Arial" w:eastAsia="MS Gothic" w:hAnsi="Arial" w:cs="Arial"/>
                <w:b/>
                <w:bCs/>
                <w:sz w:val="20"/>
                <w:szCs w:val="20"/>
                <w:lang w:val="en-GB"/>
              </w:rPr>
            </w:pPr>
            <w:r w:rsidRPr="00A67E76">
              <w:rPr>
                <w:rFonts w:ascii="Arial" w:eastAsia="MS Gothic" w:hAnsi="Arial" w:cs="Arial"/>
                <w:bCs/>
                <w:sz w:val="20"/>
                <w:szCs w:val="20"/>
              </w:rPr>
              <w:t>IP tracer dye levy</w:t>
            </w:r>
          </w:p>
        </w:tc>
        <w:tc>
          <w:tcPr>
            <w:tcW w:w="1688" w:type="dxa"/>
          </w:tcPr>
          <w:p w:rsidR="00312E61" w:rsidRPr="00A67E76" w:rsidRDefault="00312E61" w:rsidP="00A67E76">
            <w:pPr>
              <w:tabs>
                <w:tab w:val="left" w:pos="432"/>
                <w:tab w:val="left" w:pos="864"/>
              </w:tabs>
              <w:spacing w:line="276" w:lineRule="auto"/>
              <w:rPr>
                <w:rFonts w:ascii="Arial" w:hAnsi="Arial" w:cs="Arial"/>
                <w:sz w:val="20"/>
                <w:szCs w:val="20"/>
                <w:lang w:val="en-ZA"/>
              </w:rPr>
            </w:pPr>
            <w:r w:rsidRPr="00A67E76">
              <w:rPr>
                <w:rFonts w:ascii="Arial" w:hAnsi="Arial" w:cs="Arial"/>
                <w:sz w:val="20"/>
                <w:szCs w:val="20"/>
                <w:lang w:val="en-ZA"/>
              </w:rPr>
              <w:t>Central Energy Fund Act, No. 38 of 1977.</w:t>
            </w:r>
          </w:p>
          <w:p w:rsidR="00312E61" w:rsidRPr="00A67E76" w:rsidRDefault="00312E61" w:rsidP="00A67E76">
            <w:pPr>
              <w:tabs>
                <w:tab w:val="left" w:pos="432"/>
                <w:tab w:val="left" w:pos="864"/>
              </w:tabs>
              <w:spacing w:line="276" w:lineRule="auto"/>
              <w:rPr>
                <w:rFonts w:ascii="Arial" w:hAnsi="Arial" w:cs="Arial"/>
                <w:sz w:val="20"/>
                <w:szCs w:val="20"/>
                <w:lang w:val="en-ZA"/>
              </w:rPr>
            </w:pPr>
          </w:p>
          <w:p w:rsidR="00312E61" w:rsidRPr="00A67E76" w:rsidRDefault="00312E61" w:rsidP="00A67E76">
            <w:pPr>
              <w:tabs>
                <w:tab w:val="left" w:pos="432"/>
                <w:tab w:val="left" w:pos="864"/>
              </w:tabs>
              <w:spacing w:line="276" w:lineRule="auto"/>
              <w:rPr>
                <w:rFonts w:ascii="Arial" w:hAnsi="Arial" w:cs="Arial"/>
                <w:sz w:val="20"/>
                <w:szCs w:val="20"/>
                <w:lang w:val="en-ZA"/>
              </w:rPr>
            </w:pPr>
            <w:r w:rsidRPr="00A67E76">
              <w:rPr>
                <w:rFonts w:ascii="Arial" w:hAnsi="Arial" w:cs="Arial"/>
                <w:sz w:val="20"/>
                <w:szCs w:val="20"/>
                <w:lang w:val="en-ZA"/>
              </w:rPr>
              <w:t>Introduced in August 1999</w:t>
            </w:r>
          </w:p>
          <w:p w:rsidR="00312E61" w:rsidRPr="00A67E76" w:rsidRDefault="00312E61" w:rsidP="00A67E76">
            <w:pPr>
              <w:tabs>
                <w:tab w:val="left" w:pos="432"/>
                <w:tab w:val="left" w:pos="864"/>
              </w:tabs>
              <w:spacing w:line="276" w:lineRule="auto"/>
              <w:rPr>
                <w:rFonts w:ascii="Arial" w:hAnsi="Arial" w:cs="Arial"/>
                <w:sz w:val="20"/>
                <w:szCs w:val="20"/>
                <w:lang w:val="en-GB"/>
              </w:rPr>
            </w:pPr>
          </w:p>
        </w:tc>
        <w:tc>
          <w:tcPr>
            <w:tcW w:w="1550" w:type="dxa"/>
          </w:tcPr>
          <w:p w:rsidR="00312E61" w:rsidRPr="00A67E76" w:rsidRDefault="00312E61" w:rsidP="00A67E76">
            <w:pPr>
              <w:tabs>
                <w:tab w:val="left" w:pos="432"/>
                <w:tab w:val="left" w:pos="864"/>
              </w:tabs>
              <w:spacing w:line="276" w:lineRule="auto"/>
              <w:rPr>
                <w:rFonts w:ascii="Arial" w:hAnsi="Arial" w:cs="Arial"/>
                <w:sz w:val="20"/>
                <w:szCs w:val="20"/>
              </w:rPr>
            </w:pPr>
            <w:r w:rsidRPr="00A67E76">
              <w:rPr>
                <w:rFonts w:ascii="Arial" w:hAnsi="Arial" w:cs="Arial"/>
                <w:sz w:val="20"/>
                <w:szCs w:val="20"/>
                <w:lang w:val="en-GB"/>
              </w:rPr>
              <w:t>0.01 cents per litre</w:t>
            </w:r>
          </w:p>
        </w:tc>
        <w:tc>
          <w:tcPr>
            <w:tcW w:w="3899" w:type="dxa"/>
          </w:tcPr>
          <w:p w:rsidR="00312E61" w:rsidRPr="00A67E76" w:rsidRDefault="00312E61" w:rsidP="00A67E76">
            <w:pPr>
              <w:tabs>
                <w:tab w:val="left" w:pos="432"/>
                <w:tab w:val="left" w:pos="864"/>
              </w:tabs>
              <w:spacing w:line="276" w:lineRule="auto"/>
              <w:rPr>
                <w:rFonts w:ascii="Arial" w:hAnsi="Arial" w:cs="Arial"/>
                <w:sz w:val="20"/>
                <w:szCs w:val="20"/>
                <w:lang w:val="en-GB"/>
              </w:rPr>
            </w:pPr>
            <w:r w:rsidRPr="00A67E76">
              <w:rPr>
                <w:rFonts w:ascii="Arial" w:hAnsi="Arial" w:cs="Arial"/>
                <w:sz w:val="20"/>
                <w:szCs w:val="20"/>
              </w:rPr>
              <w:t>To curtail the unlawful mixing of diesel and illuminating paraffin, an illuminating paraffin tracer dye is injected into illuminating paraffin. An illuminating paraffin tracer dye levy was introduced into the price structures of diesel to finance expenses related thereto.</w:t>
            </w:r>
          </w:p>
        </w:tc>
      </w:tr>
      <w:tr w:rsidR="00312E61" w:rsidRPr="007863C9" w:rsidTr="00A67E76">
        <w:tc>
          <w:tcPr>
            <w:tcW w:w="1618" w:type="dxa"/>
            <w:shd w:val="clear" w:color="auto" w:fill="C0C0C0"/>
          </w:tcPr>
          <w:p w:rsidR="00312E61" w:rsidRPr="00A67E76" w:rsidRDefault="00312E61" w:rsidP="00A67E76">
            <w:pPr>
              <w:tabs>
                <w:tab w:val="left" w:pos="432"/>
                <w:tab w:val="left" w:pos="864"/>
              </w:tabs>
              <w:spacing w:line="276" w:lineRule="auto"/>
              <w:jc w:val="both"/>
              <w:rPr>
                <w:rFonts w:ascii="Arial" w:eastAsia="MS Gothic" w:hAnsi="Arial" w:cs="Arial"/>
                <w:b/>
                <w:bCs/>
                <w:sz w:val="22"/>
                <w:szCs w:val="22"/>
              </w:rPr>
            </w:pPr>
          </w:p>
        </w:tc>
        <w:tc>
          <w:tcPr>
            <w:tcW w:w="1688" w:type="dxa"/>
            <w:shd w:val="clear" w:color="auto" w:fill="C0C0C0"/>
          </w:tcPr>
          <w:p w:rsidR="00312E61" w:rsidRPr="00A67E76" w:rsidRDefault="00312E61" w:rsidP="00A67E76">
            <w:pPr>
              <w:tabs>
                <w:tab w:val="left" w:pos="432"/>
                <w:tab w:val="left" w:pos="864"/>
              </w:tabs>
              <w:spacing w:line="276" w:lineRule="auto"/>
              <w:jc w:val="both"/>
              <w:rPr>
                <w:rFonts w:ascii="Arial" w:hAnsi="Arial" w:cs="Arial"/>
                <w:sz w:val="22"/>
                <w:szCs w:val="22"/>
                <w:lang w:val="en-ZA"/>
              </w:rPr>
            </w:pPr>
          </w:p>
        </w:tc>
        <w:tc>
          <w:tcPr>
            <w:tcW w:w="1550" w:type="dxa"/>
            <w:shd w:val="clear" w:color="auto" w:fill="C0C0C0"/>
          </w:tcPr>
          <w:p w:rsidR="00312E61" w:rsidRPr="00A67E76" w:rsidRDefault="00312E61" w:rsidP="00A67E76">
            <w:pPr>
              <w:tabs>
                <w:tab w:val="left" w:pos="432"/>
                <w:tab w:val="left" w:pos="864"/>
              </w:tabs>
              <w:spacing w:line="276" w:lineRule="auto"/>
              <w:jc w:val="both"/>
              <w:rPr>
                <w:rFonts w:ascii="Arial" w:hAnsi="Arial" w:cs="Arial"/>
                <w:sz w:val="22"/>
                <w:szCs w:val="22"/>
                <w:lang w:val="en-GB"/>
              </w:rPr>
            </w:pPr>
          </w:p>
        </w:tc>
        <w:tc>
          <w:tcPr>
            <w:tcW w:w="3899" w:type="dxa"/>
            <w:shd w:val="clear" w:color="auto" w:fill="C0C0C0"/>
          </w:tcPr>
          <w:p w:rsidR="00312E61" w:rsidRPr="00A67E76" w:rsidRDefault="00312E61" w:rsidP="00A67E76">
            <w:pPr>
              <w:tabs>
                <w:tab w:val="left" w:pos="432"/>
                <w:tab w:val="left" w:pos="864"/>
              </w:tabs>
              <w:spacing w:line="276" w:lineRule="auto"/>
              <w:jc w:val="both"/>
              <w:rPr>
                <w:rFonts w:ascii="Arial" w:hAnsi="Arial" w:cs="Arial"/>
                <w:sz w:val="22"/>
                <w:szCs w:val="22"/>
              </w:rPr>
            </w:pPr>
          </w:p>
        </w:tc>
      </w:tr>
    </w:tbl>
    <w:p w:rsidR="00312E61" w:rsidRPr="007863C9" w:rsidRDefault="00312E61" w:rsidP="007863C9">
      <w:pPr>
        <w:pStyle w:val="BodyTextIndent"/>
        <w:spacing w:line="276" w:lineRule="auto"/>
        <w:ind w:left="0" w:firstLine="0"/>
        <w:jc w:val="both"/>
        <w:rPr>
          <w:rFonts w:ascii="Arial" w:hAnsi="Arial" w:cs="Arial"/>
          <w:b/>
          <w:sz w:val="22"/>
          <w:szCs w:val="22"/>
        </w:rPr>
      </w:pPr>
    </w:p>
    <w:p w:rsidR="00312E61" w:rsidRPr="007863C9" w:rsidRDefault="00312E61" w:rsidP="007863C9">
      <w:pPr>
        <w:tabs>
          <w:tab w:val="left" w:pos="432"/>
          <w:tab w:val="left" w:pos="864"/>
        </w:tabs>
        <w:spacing w:line="276" w:lineRule="auto"/>
        <w:jc w:val="both"/>
        <w:rPr>
          <w:rFonts w:ascii="Arial" w:hAnsi="Arial" w:cs="Arial"/>
          <w:b/>
          <w:sz w:val="22"/>
          <w:szCs w:val="22"/>
        </w:rPr>
      </w:pPr>
    </w:p>
    <w:p w:rsidR="00312E61" w:rsidRPr="007863C9" w:rsidRDefault="00312E61" w:rsidP="007863C9">
      <w:pPr>
        <w:tabs>
          <w:tab w:val="left" w:pos="432"/>
          <w:tab w:val="left" w:pos="864"/>
        </w:tabs>
        <w:spacing w:line="276" w:lineRule="auto"/>
        <w:jc w:val="both"/>
        <w:rPr>
          <w:rFonts w:ascii="Arial" w:hAnsi="Arial" w:cs="Arial"/>
          <w:b/>
          <w:sz w:val="22"/>
          <w:szCs w:val="22"/>
        </w:rPr>
      </w:pPr>
    </w:p>
    <w:p w:rsidR="00312E61" w:rsidRPr="007863C9" w:rsidRDefault="00312E61" w:rsidP="007863C9">
      <w:pPr>
        <w:tabs>
          <w:tab w:val="left" w:pos="432"/>
          <w:tab w:val="left" w:pos="864"/>
        </w:tabs>
        <w:spacing w:line="276" w:lineRule="auto"/>
        <w:jc w:val="both"/>
        <w:rPr>
          <w:rFonts w:ascii="Arial" w:hAnsi="Arial" w:cs="Arial"/>
          <w:b/>
          <w:sz w:val="22"/>
          <w:szCs w:val="22"/>
        </w:rPr>
      </w:pPr>
    </w:p>
    <w:p w:rsidR="00312E61" w:rsidRPr="007863C9" w:rsidRDefault="00312E61" w:rsidP="007863C9">
      <w:pPr>
        <w:tabs>
          <w:tab w:val="left" w:pos="432"/>
          <w:tab w:val="left" w:pos="864"/>
        </w:tabs>
        <w:spacing w:line="276" w:lineRule="auto"/>
        <w:jc w:val="both"/>
        <w:rPr>
          <w:rFonts w:ascii="Arial" w:hAnsi="Arial" w:cs="Arial"/>
          <w:b/>
          <w:sz w:val="22"/>
          <w:szCs w:val="22"/>
        </w:rPr>
      </w:pPr>
    </w:p>
    <w:p w:rsidR="00312E61" w:rsidRPr="007863C9" w:rsidRDefault="00312E61" w:rsidP="007863C9">
      <w:pPr>
        <w:tabs>
          <w:tab w:val="left" w:pos="432"/>
          <w:tab w:val="left" w:pos="864"/>
        </w:tabs>
        <w:spacing w:line="276" w:lineRule="auto"/>
        <w:jc w:val="both"/>
        <w:rPr>
          <w:rFonts w:ascii="Arial" w:hAnsi="Arial" w:cs="Arial"/>
          <w:b/>
          <w:sz w:val="22"/>
          <w:szCs w:val="22"/>
        </w:rPr>
      </w:pPr>
    </w:p>
    <w:p w:rsidR="00312E61" w:rsidRPr="007863C9" w:rsidRDefault="00312E61" w:rsidP="007863C9">
      <w:pPr>
        <w:tabs>
          <w:tab w:val="left" w:pos="432"/>
          <w:tab w:val="left" w:pos="864"/>
        </w:tabs>
        <w:spacing w:line="276" w:lineRule="auto"/>
        <w:jc w:val="both"/>
        <w:rPr>
          <w:rFonts w:ascii="Arial" w:hAnsi="Arial" w:cs="Arial"/>
          <w:b/>
          <w:sz w:val="22"/>
          <w:szCs w:val="22"/>
        </w:rPr>
      </w:pPr>
    </w:p>
    <w:p w:rsidR="00312E61" w:rsidRPr="007863C9" w:rsidRDefault="00312E61" w:rsidP="007863C9">
      <w:pPr>
        <w:tabs>
          <w:tab w:val="left" w:pos="432"/>
          <w:tab w:val="left" w:pos="864"/>
        </w:tabs>
        <w:spacing w:line="276" w:lineRule="auto"/>
        <w:jc w:val="both"/>
        <w:rPr>
          <w:rFonts w:ascii="Arial" w:hAnsi="Arial" w:cs="Arial"/>
          <w:b/>
          <w:sz w:val="22"/>
          <w:szCs w:val="22"/>
        </w:rPr>
      </w:pPr>
    </w:p>
    <w:p w:rsidR="00312E61" w:rsidRPr="007863C9" w:rsidRDefault="00312E61" w:rsidP="007863C9">
      <w:pPr>
        <w:tabs>
          <w:tab w:val="left" w:pos="432"/>
          <w:tab w:val="left" w:pos="864"/>
        </w:tabs>
        <w:spacing w:line="276" w:lineRule="auto"/>
        <w:jc w:val="both"/>
        <w:rPr>
          <w:rFonts w:ascii="Arial" w:hAnsi="Arial" w:cs="Arial"/>
          <w:b/>
          <w:sz w:val="22"/>
          <w:szCs w:val="22"/>
        </w:rPr>
      </w:pPr>
    </w:p>
    <w:p w:rsidR="00312E61" w:rsidRPr="007863C9" w:rsidRDefault="00312E61" w:rsidP="007863C9">
      <w:pPr>
        <w:tabs>
          <w:tab w:val="left" w:pos="432"/>
          <w:tab w:val="left" w:pos="864"/>
        </w:tabs>
        <w:spacing w:line="276" w:lineRule="auto"/>
        <w:jc w:val="both"/>
        <w:rPr>
          <w:rFonts w:ascii="Arial" w:hAnsi="Arial" w:cs="Arial"/>
          <w:b/>
          <w:sz w:val="22"/>
          <w:szCs w:val="22"/>
        </w:rPr>
      </w:pPr>
    </w:p>
    <w:p w:rsidR="00312E61" w:rsidRPr="007863C9" w:rsidRDefault="00312E61" w:rsidP="007863C9">
      <w:pPr>
        <w:tabs>
          <w:tab w:val="left" w:pos="432"/>
          <w:tab w:val="left" w:pos="864"/>
        </w:tabs>
        <w:spacing w:line="276" w:lineRule="auto"/>
        <w:jc w:val="both"/>
        <w:rPr>
          <w:rFonts w:ascii="Arial" w:hAnsi="Arial" w:cs="Arial"/>
          <w:b/>
          <w:sz w:val="22"/>
          <w:szCs w:val="22"/>
        </w:rPr>
      </w:pPr>
    </w:p>
    <w:p w:rsidR="00312E61" w:rsidRPr="007863C9" w:rsidRDefault="00312E61" w:rsidP="007863C9">
      <w:pPr>
        <w:tabs>
          <w:tab w:val="left" w:pos="432"/>
          <w:tab w:val="left" w:pos="864"/>
        </w:tabs>
        <w:spacing w:line="276" w:lineRule="auto"/>
        <w:jc w:val="both"/>
        <w:rPr>
          <w:rFonts w:ascii="Arial" w:hAnsi="Arial" w:cs="Arial"/>
          <w:b/>
          <w:sz w:val="22"/>
          <w:szCs w:val="22"/>
        </w:rPr>
      </w:pPr>
    </w:p>
    <w:p w:rsidR="00312E61" w:rsidRPr="007863C9" w:rsidRDefault="00312E61" w:rsidP="007863C9">
      <w:pPr>
        <w:tabs>
          <w:tab w:val="left" w:pos="432"/>
          <w:tab w:val="left" w:pos="864"/>
        </w:tabs>
        <w:spacing w:line="276" w:lineRule="auto"/>
        <w:jc w:val="both"/>
        <w:rPr>
          <w:rFonts w:ascii="Arial" w:hAnsi="Arial" w:cs="Arial"/>
          <w:b/>
          <w:sz w:val="22"/>
          <w:szCs w:val="22"/>
        </w:rPr>
      </w:pPr>
    </w:p>
    <w:p w:rsidR="00312E61" w:rsidRPr="007863C9" w:rsidRDefault="00312E61" w:rsidP="007863C9">
      <w:pPr>
        <w:tabs>
          <w:tab w:val="left" w:pos="432"/>
          <w:tab w:val="left" w:pos="864"/>
        </w:tabs>
        <w:spacing w:line="276" w:lineRule="auto"/>
        <w:jc w:val="both"/>
        <w:rPr>
          <w:rFonts w:ascii="Arial" w:hAnsi="Arial" w:cs="Arial"/>
          <w:b/>
          <w:sz w:val="22"/>
          <w:szCs w:val="22"/>
        </w:rPr>
      </w:pPr>
    </w:p>
    <w:p w:rsidR="00312E61" w:rsidRPr="007863C9" w:rsidRDefault="00312E61" w:rsidP="007863C9">
      <w:pPr>
        <w:tabs>
          <w:tab w:val="left" w:pos="432"/>
          <w:tab w:val="left" w:pos="864"/>
        </w:tabs>
        <w:spacing w:line="276" w:lineRule="auto"/>
        <w:jc w:val="both"/>
        <w:rPr>
          <w:rFonts w:ascii="Arial" w:hAnsi="Arial" w:cs="Arial"/>
          <w:b/>
          <w:sz w:val="22"/>
          <w:szCs w:val="22"/>
        </w:rPr>
      </w:pPr>
    </w:p>
    <w:p w:rsidR="00312E61" w:rsidRPr="007863C9" w:rsidRDefault="00312E61" w:rsidP="007863C9">
      <w:pPr>
        <w:tabs>
          <w:tab w:val="left" w:pos="432"/>
          <w:tab w:val="left" w:pos="864"/>
        </w:tabs>
        <w:spacing w:line="276" w:lineRule="auto"/>
        <w:jc w:val="both"/>
        <w:rPr>
          <w:rFonts w:ascii="Arial" w:hAnsi="Arial" w:cs="Arial"/>
          <w:b/>
          <w:sz w:val="22"/>
          <w:szCs w:val="22"/>
        </w:rPr>
      </w:pPr>
    </w:p>
    <w:p w:rsidR="00312E61" w:rsidRPr="007863C9" w:rsidRDefault="00312E61" w:rsidP="007863C9">
      <w:pPr>
        <w:tabs>
          <w:tab w:val="left" w:pos="432"/>
          <w:tab w:val="left" w:pos="864"/>
        </w:tabs>
        <w:spacing w:line="276" w:lineRule="auto"/>
        <w:jc w:val="both"/>
        <w:rPr>
          <w:rFonts w:ascii="Arial" w:hAnsi="Arial" w:cs="Arial"/>
          <w:b/>
          <w:sz w:val="22"/>
          <w:szCs w:val="22"/>
        </w:rPr>
      </w:pPr>
    </w:p>
    <w:p w:rsidR="00312E61" w:rsidRPr="007863C9" w:rsidRDefault="00312E61" w:rsidP="007863C9">
      <w:pPr>
        <w:tabs>
          <w:tab w:val="left" w:pos="432"/>
          <w:tab w:val="left" w:pos="864"/>
        </w:tabs>
        <w:spacing w:line="276" w:lineRule="auto"/>
        <w:jc w:val="both"/>
        <w:rPr>
          <w:rFonts w:ascii="Arial" w:hAnsi="Arial" w:cs="Arial"/>
          <w:b/>
          <w:sz w:val="22"/>
          <w:szCs w:val="22"/>
        </w:rPr>
      </w:pPr>
    </w:p>
    <w:p w:rsidR="00312E61" w:rsidRPr="007863C9" w:rsidRDefault="00312E61" w:rsidP="007863C9">
      <w:pPr>
        <w:tabs>
          <w:tab w:val="left" w:pos="432"/>
          <w:tab w:val="left" w:pos="864"/>
        </w:tabs>
        <w:spacing w:line="276" w:lineRule="auto"/>
        <w:jc w:val="both"/>
        <w:rPr>
          <w:rFonts w:ascii="Arial" w:hAnsi="Arial" w:cs="Arial"/>
          <w:b/>
          <w:sz w:val="22"/>
          <w:szCs w:val="22"/>
        </w:rPr>
      </w:pPr>
    </w:p>
    <w:p w:rsidR="00312E61" w:rsidRPr="007863C9" w:rsidRDefault="00312E61" w:rsidP="007863C9">
      <w:pPr>
        <w:tabs>
          <w:tab w:val="left" w:pos="432"/>
          <w:tab w:val="left" w:pos="864"/>
        </w:tabs>
        <w:spacing w:line="276" w:lineRule="auto"/>
        <w:jc w:val="both"/>
        <w:rPr>
          <w:rFonts w:ascii="Arial" w:hAnsi="Arial" w:cs="Arial"/>
          <w:b/>
          <w:sz w:val="22"/>
          <w:szCs w:val="22"/>
        </w:rPr>
      </w:pPr>
    </w:p>
    <w:p w:rsidR="00312E61" w:rsidRPr="007863C9" w:rsidRDefault="00312E61" w:rsidP="007863C9">
      <w:pPr>
        <w:tabs>
          <w:tab w:val="left" w:pos="432"/>
          <w:tab w:val="left" w:pos="864"/>
        </w:tabs>
        <w:spacing w:line="276" w:lineRule="auto"/>
        <w:jc w:val="both"/>
        <w:rPr>
          <w:rFonts w:ascii="Arial" w:hAnsi="Arial" w:cs="Arial"/>
          <w:b/>
          <w:sz w:val="22"/>
          <w:szCs w:val="22"/>
        </w:rPr>
      </w:pPr>
    </w:p>
    <w:p w:rsidR="00312E61" w:rsidRPr="007863C9" w:rsidRDefault="00312E61" w:rsidP="007863C9">
      <w:pPr>
        <w:tabs>
          <w:tab w:val="left" w:pos="432"/>
          <w:tab w:val="left" w:pos="864"/>
        </w:tabs>
        <w:spacing w:line="276" w:lineRule="auto"/>
        <w:jc w:val="both"/>
        <w:rPr>
          <w:rFonts w:ascii="Arial" w:hAnsi="Arial" w:cs="Arial"/>
          <w:b/>
          <w:sz w:val="22"/>
          <w:szCs w:val="22"/>
        </w:rPr>
      </w:pPr>
    </w:p>
    <w:p w:rsidR="00312E61" w:rsidRPr="007863C9" w:rsidRDefault="00312E61" w:rsidP="007863C9">
      <w:pPr>
        <w:tabs>
          <w:tab w:val="left" w:pos="432"/>
          <w:tab w:val="left" w:pos="864"/>
        </w:tabs>
        <w:spacing w:line="276" w:lineRule="auto"/>
        <w:jc w:val="both"/>
        <w:rPr>
          <w:rFonts w:ascii="Arial" w:hAnsi="Arial" w:cs="Arial"/>
          <w:b/>
          <w:sz w:val="22"/>
          <w:szCs w:val="22"/>
        </w:rPr>
      </w:pPr>
    </w:p>
    <w:p w:rsidR="00312E61" w:rsidRPr="007863C9" w:rsidRDefault="00312E61" w:rsidP="007863C9">
      <w:pPr>
        <w:tabs>
          <w:tab w:val="left" w:pos="432"/>
          <w:tab w:val="left" w:pos="864"/>
        </w:tabs>
        <w:spacing w:line="276" w:lineRule="auto"/>
        <w:jc w:val="both"/>
        <w:rPr>
          <w:rFonts w:ascii="Arial" w:hAnsi="Arial" w:cs="Arial"/>
          <w:b/>
          <w:sz w:val="22"/>
          <w:szCs w:val="22"/>
        </w:rPr>
      </w:pPr>
    </w:p>
    <w:p w:rsidR="00312E61" w:rsidRPr="007863C9" w:rsidRDefault="00312E61" w:rsidP="007863C9">
      <w:pPr>
        <w:tabs>
          <w:tab w:val="left" w:pos="432"/>
          <w:tab w:val="left" w:pos="864"/>
        </w:tabs>
        <w:spacing w:line="276" w:lineRule="auto"/>
        <w:jc w:val="both"/>
        <w:rPr>
          <w:rFonts w:ascii="Arial" w:hAnsi="Arial" w:cs="Arial"/>
          <w:b/>
          <w:sz w:val="22"/>
          <w:szCs w:val="22"/>
        </w:rPr>
      </w:pPr>
    </w:p>
    <w:p w:rsidR="00312E61" w:rsidRPr="007863C9" w:rsidRDefault="00312E61" w:rsidP="007863C9">
      <w:pPr>
        <w:tabs>
          <w:tab w:val="left" w:pos="432"/>
          <w:tab w:val="left" w:pos="864"/>
        </w:tabs>
        <w:spacing w:line="276" w:lineRule="auto"/>
        <w:jc w:val="both"/>
        <w:rPr>
          <w:rFonts w:ascii="Arial" w:hAnsi="Arial" w:cs="Arial"/>
          <w:b/>
          <w:sz w:val="22"/>
          <w:szCs w:val="22"/>
        </w:rPr>
      </w:pPr>
    </w:p>
    <w:p w:rsidR="00312E61" w:rsidRPr="007863C9" w:rsidRDefault="00312E61" w:rsidP="007863C9">
      <w:pPr>
        <w:tabs>
          <w:tab w:val="left" w:pos="432"/>
          <w:tab w:val="left" w:pos="864"/>
        </w:tabs>
        <w:spacing w:line="276" w:lineRule="auto"/>
        <w:jc w:val="both"/>
        <w:rPr>
          <w:rFonts w:ascii="Arial" w:hAnsi="Arial" w:cs="Arial"/>
          <w:b/>
          <w:sz w:val="22"/>
          <w:szCs w:val="22"/>
        </w:rPr>
      </w:pPr>
    </w:p>
    <w:p w:rsidR="00312E61" w:rsidRPr="007863C9" w:rsidRDefault="00312E61" w:rsidP="007863C9">
      <w:pPr>
        <w:tabs>
          <w:tab w:val="left" w:pos="432"/>
          <w:tab w:val="left" w:pos="864"/>
        </w:tabs>
        <w:spacing w:line="276" w:lineRule="auto"/>
        <w:jc w:val="both"/>
        <w:rPr>
          <w:rFonts w:ascii="Arial" w:hAnsi="Arial" w:cs="Arial"/>
          <w:b/>
          <w:sz w:val="22"/>
          <w:szCs w:val="22"/>
        </w:rPr>
      </w:pPr>
    </w:p>
    <w:p w:rsidR="00312E61" w:rsidRPr="007863C9" w:rsidRDefault="00312E61" w:rsidP="007863C9">
      <w:pPr>
        <w:tabs>
          <w:tab w:val="left" w:pos="432"/>
          <w:tab w:val="left" w:pos="864"/>
        </w:tabs>
        <w:spacing w:line="276" w:lineRule="auto"/>
        <w:jc w:val="both"/>
        <w:rPr>
          <w:rFonts w:ascii="Arial" w:hAnsi="Arial" w:cs="Arial"/>
          <w:b/>
          <w:sz w:val="22"/>
          <w:szCs w:val="22"/>
        </w:rPr>
      </w:pPr>
    </w:p>
    <w:p w:rsidR="00312E61" w:rsidRPr="007863C9" w:rsidRDefault="00312E61" w:rsidP="007863C9">
      <w:pPr>
        <w:tabs>
          <w:tab w:val="left" w:pos="432"/>
          <w:tab w:val="left" w:pos="864"/>
        </w:tabs>
        <w:spacing w:line="276" w:lineRule="auto"/>
        <w:jc w:val="both"/>
        <w:rPr>
          <w:rFonts w:ascii="Arial" w:hAnsi="Arial" w:cs="Arial"/>
          <w:b/>
          <w:sz w:val="22"/>
          <w:szCs w:val="22"/>
        </w:rPr>
      </w:pPr>
    </w:p>
    <w:p w:rsidR="00312E61" w:rsidRPr="007863C9" w:rsidRDefault="00312E61" w:rsidP="007863C9">
      <w:pPr>
        <w:tabs>
          <w:tab w:val="left" w:pos="432"/>
          <w:tab w:val="left" w:pos="864"/>
        </w:tabs>
        <w:spacing w:line="276" w:lineRule="auto"/>
        <w:jc w:val="both"/>
        <w:rPr>
          <w:rFonts w:ascii="Arial" w:hAnsi="Arial" w:cs="Arial"/>
          <w:b/>
          <w:sz w:val="22"/>
          <w:szCs w:val="22"/>
        </w:rPr>
      </w:pPr>
    </w:p>
    <w:p w:rsidR="00312E61" w:rsidRPr="007863C9" w:rsidRDefault="00312E61" w:rsidP="007863C9">
      <w:pPr>
        <w:tabs>
          <w:tab w:val="left" w:pos="432"/>
          <w:tab w:val="left" w:pos="864"/>
        </w:tabs>
        <w:spacing w:line="276" w:lineRule="auto"/>
        <w:jc w:val="both"/>
        <w:rPr>
          <w:rFonts w:ascii="Arial" w:hAnsi="Arial" w:cs="Arial"/>
          <w:b/>
          <w:sz w:val="22"/>
          <w:szCs w:val="22"/>
        </w:rPr>
      </w:pPr>
    </w:p>
    <w:p w:rsidR="00312E61" w:rsidRPr="007863C9" w:rsidRDefault="00312E61" w:rsidP="007863C9">
      <w:pPr>
        <w:tabs>
          <w:tab w:val="left" w:pos="432"/>
          <w:tab w:val="left" w:pos="864"/>
        </w:tabs>
        <w:spacing w:line="276" w:lineRule="auto"/>
        <w:jc w:val="both"/>
        <w:rPr>
          <w:rFonts w:ascii="Arial" w:hAnsi="Arial" w:cs="Arial"/>
          <w:b/>
          <w:sz w:val="22"/>
          <w:szCs w:val="22"/>
        </w:rPr>
      </w:pPr>
    </w:p>
    <w:p w:rsidR="00312E61" w:rsidRPr="007863C9" w:rsidRDefault="00312E61" w:rsidP="007863C9">
      <w:pPr>
        <w:tabs>
          <w:tab w:val="left" w:pos="432"/>
          <w:tab w:val="left" w:pos="864"/>
        </w:tabs>
        <w:spacing w:line="276" w:lineRule="auto"/>
        <w:jc w:val="both"/>
        <w:rPr>
          <w:rFonts w:ascii="Arial" w:hAnsi="Arial" w:cs="Arial"/>
          <w:b/>
          <w:sz w:val="22"/>
          <w:szCs w:val="22"/>
        </w:rPr>
      </w:pPr>
    </w:p>
    <w:p w:rsidR="00312E61" w:rsidRPr="007863C9" w:rsidRDefault="00312E61" w:rsidP="007863C9">
      <w:pPr>
        <w:tabs>
          <w:tab w:val="left" w:pos="432"/>
          <w:tab w:val="left" w:pos="864"/>
        </w:tabs>
        <w:spacing w:line="276" w:lineRule="auto"/>
        <w:jc w:val="both"/>
        <w:rPr>
          <w:rFonts w:ascii="Arial" w:hAnsi="Arial" w:cs="Arial"/>
          <w:b/>
          <w:sz w:val="22"/>
          <w:szCs w:val="22"/>
        </w:rPr>
      </w:pPr>
    </w:p>
    <w:p w:rsidR="00312E61" w:rsidRPr="007863C9" w:rsidRDefault="00312E61" w:rsidP="007863C9">
      <w:pPr>
        <w:tabs>
          <w:tab w:val="left" w:pos="432"/>
          <w:tab w:val="left" w:pos="864"/>
        </w:tabs>
        <w:spacing w:line="276" w:lineRule="auto"/>
        <w:jc w:val="both"/>
        <w:rPr>
          <w:rFonts w:ascii="Arial" w:hAnsi="Arial" w:cs="Arial"/>
          <w:b/>
          <w:sz w:val="22"/>
          <w:szCs w:val="22"/>
        </w:rPr>
      </w:pPr>
    </w:p>
    <w:p w:rsidR="00312E61" w:rsidRPr="007863C9" w:rsidRDefault="00312E61" w:rsidP="007863C9">
      <w:pPr>
        <w:tabs>
          <w:tab w:val="left" w:pos="432"/>
          <w:tab w:val="left" w:pos="864"/>
        </w:tabs>
        <w:spacing w:line="276" w:lineRule="auto"/>
        <w:jc w:val="both"/>
        <w:rPr>
          <w:rFonts w:ascii="Arial" w:hAnsi="Arial" w:cs="Arial"/>
          <w:b/>
          <w:sz w:val="22"/>
          <w:szCs w:val="22"/>
        </w:rPr>
      </w:pPr>
    </w:p>
    <w:p w:rsidR="00312E61" w:rsidRDefault="00312E61" w:rsidP="007863C9">
      <w:pPr>
        <w:tabs>
          <w:tab w:val="left" w:pos="432"/>
          <w:tab w:val="left" w:pos="864"/>
        </w:tabs>
        <w:spacing w:line="276" w:lineRule="auto"/>
        <w:jc w:val="both"/>
        <w:rPr>
          <w:rFonts w:ascii="Arial" w:hAnsi="Arial" w:cs="Arial"/>
          <w:sz w:val="22"/>
          <w:szCs w:val="22"/>
        </w:rPr>
      </w:pPr>
      <w:r w:rsidRPr="007863C9">
        <w:rPr>
          <w:rFonts w:ascii="Arial" w:hAnsi="Arial" w:cs="Arial"/>
          <w:sz w:val="22"/>
          <w:szCs w:val="22"/>
        </w:rPr>
        <w:t xml:space="preserve">The Table below indicates how the pump price for petrol, and the wholesale price for diesel, is determined for an inland province like Gauteng. </w:t>
      </w:r>
    </w:p>
    <w:p w:rsidR="00312E61" w:rsidRDefault="00312E61" w:rsidP="007863C9">
      <w:pPr>
        <w:tabs>
          <w:tab w:val="left" w:pos="432"/>
          <w:tab w:val="left" w:pos="864"/>
        </w:tabs>
        <w:spacing w:line="276" w:lineRule="auto"/>
        <w:jc w:val="both"/>
        <w:rPr>
          <w:rFonts w:ascii="Arial" w:hAnsi="Arial" w:cs="Arial"/>
          <w:sz w:val="22"/>
          <w:szCs w:val="22"/>
        </w:rPr>
      </w:pPr>
    </w:p>
    <w:p w:rsidR="00312E61" w:rsidRDefault="00312E61" w:rsidP="007863C9">
      <w:pPr>
        <w:tabs>
          <w:tab w:val="left" w:pos="432"/>
          <w:tab w:val="left" w:pos="864"/>
        </w:tabs>
        <w:spacing w:line="276" w:lineRule="auto"/>
        <w:jc w:val="both"/>
        <w:rPr>
          <w:rFonts w:ascii="Arial" w:hAnsi="Arial" w:cs="Arial"/>
          <w:sz w:val="22"/>
          <w:szCs w:val="22"/>
        </w:rPr>
      </w:pPr>
    </w:p>
    <w:p w:rsidR="00312E61" w:rsidRDefault="00312E61" w:rsidP="007863C9">
      <w:pPr>
        <w:tabs>
          <w:tab w:val="left" w:pos="432"/>
          <w:tab w:val="left" w:pos="864"/>
        </w:tabs>
        <w:spacing w:line="276" w:lineRule="auto"/>
        <w:jc w:val="both"/>
        <w:rPr>
          <w:rFonts w:ascii="Arial" w:hAnsi="Arial" w:cs="Arial"/>
          <w:sz w:val="22"/>
          <w:szCs w:val="22"/>
        </w:rPr>
      </w:pPr>
    </w:p>
    <w:p w:rsidR="00312E61" w:rsidRDefault="00312E61" w:rsidP="007863C9">
      <w:pPr>
        <w:tabs>
          <w:tab w:val="left" w:pos="432"/>
          <w:tab w:val="left" w:pos="864"/>
        </w:tabs>
        <w:spacing w:line="276" w:lineRule="auto"/>
        <w:jc w:val="both"/>
        <w:rPr>
          <w:rFonts w:ascii="Arial" w:hAnsi="Arial" w:cs="Arial"/>
          <w:sz w:val="22"/>
          <w:szCs w:val="22"/>
        </w:rPr>
      </w:pPr>
    </w:p>
    <w:p w:rsidR="00312E61" w:rsidRDefault="00312E61" w:rsidP="007863C9">
      <w:pPr>
        <w:tabs>
          <w:tab w:val="left" w:pos="432"/>
          <w:tab w:val="left" w:pos="864"/>
        </w:tabs>
        <w:spacing w:line="276" w:lineRule="auto"/>
        <w:jc w:val="both"/>
        <w:rPr>
          <w:rFonts w:ascii="Arial" w:hAnsi="Arial" w:cs="Arial"/>
          <w:sz w:val="22"/>
          <w:szCs w:val="22"/>
        </w:rPr>
      </w:pPr>
    </w:p>
    <w:p w:rsidR="00312E61" w:rsidRDefault="00312E61" w:rsidP="007863C9">
      <w:pPr>
        <w:tabs>
          <w:tab w:val="left" w:pos="432"/>
          <w:tab w:val="left" w:pos="864"/>
        </w:tabs>
        <w:spacing w:line="276" w:lineRule="auto"/>
        <w:jc w:val="both"/>
        <w:rPr>
          <w:rFonts w:ascii="Arial" w:hAnsi="Arial" w:cs="Arial"/>
          <w:sz w:val="22"/>
          <w:szCs w:val="22"/>
        </w:rPr>
      </w:pPr>
    </w:p>
    <w:p w:rsidR="00312E61" w:rsidRPr="007863C9" w:rsidRDefault="00312E61" w:rsidP="007863C9">
      <w:pPr>
        <w:tabs>
          <w:tab w:val="left" w:pos="432"/>
          <w:tab w:val="left" w:pos="864"/>
        </w:tabs>
        <w:spacing w:line="276" w:lineRule="auto"/>
        <w:jc w:val="both"/>
        <w:rPr>
          <w:rFonts w:ascii="Arial" w:hAnsi="Arial" w:cs="Arial"/>
          <w:b/>
          <w:sz w:val="22"/>
          <w:szCs w:val="22"/>
        </w:rPr>
      </w:pPr>
      <w:r w:rsidRPr="007863C9">
        <w:rPr>
          <w:rFonts w:ascii="Arial" w:hAnsi="Arial" w:cs="Arial"/>
          <w:b/>
          <w:sz w:val="22"/>
          <w:szCs w:val="22"/>
        </w:rPr>
        <w:t>Table 2: Composition of levy, tax and additional items in Gauteng</w:t>
      </w:r>
    </w:p>
    <w:tbl>
      <w:tblPr>
        <w:tblW w:w="6874" w:type="dxa"/>
        <w:tblInd w:w="93" w:type="dxa"/>
        <w:tblLook w:val="00A0"/>
      </w:tblPr>
      <w:tblGrid>
        <w:gridCol w:w="2780"/>
        <w:gridCol w:w="2055"/>
        <w:gridCol w:w="2039"/>
      </w:tblGrid>
      <w:tr w:rsidR="00312E61" w:rsidRPr="007863C9" w:rsidTr="004545E3">
        <w:trPr>
          <w:trHeight w:val="1095"/>
        </w:trPr>
        <w:tc>
          <w:tcPr>
            <w:tcW w:w="6874" w:type="dxa"/>
            <w:gridSpan w:val="3"/>
            <w:tcBorders>
              <w:top w:val="single" w:sz="8" w:space="0" w:color="auto"/>
              <w:left w:val="single" w:sz="8" w:space="0" w:color="auto"/>
              <w:bottom w:val="single" w:sz="4" w:space="0" w:color="000000"/>
              <w:right w:val="nil"/>
            </w:tcBorders>
            <w:shd w:val="clear" w:color="000000" w:fill="A6A6A6"/>
            <w:vAlign w:val="center"/>
          </w:tcPr>
          <w:p w:rsidR="00312E61" w:rsidRPr="007863C9" w:rsidRDefault="00312E61" w:rsidP="007863C9">
            <w:pPr>
              <w:jc w:val="both"/>
              <w:rPr>
                <w:rFonts w:ascii="Verdana" w:hAnsi="Verdana"/>
                <w:b/>
                <w:bCs/>
                <w:color w:val="000000"/>
                <w:sz w:val="22"/>
                <w:szCs w:val="22"/>
              </w:rPr>
            </w:pPr>
            <w:bookmarkStart w:id="0" w:name="RANGE!B2:G28"/>
            <w:bookmarkEnd w:id="0"/>
            <w:r w:rsidRPr="007863C9">
              <w:rPr>
                <w:rFonts w:ascii="Verdana" w:hAnsi="Verdana"/>
                <w:b/>
                <w:bCs/>
                <w:color w:val="000000"/>
                <w:sz w:val="22"/>
                <w:szCs w:val="22"/>
              </w:rPr>
              <w:t xml:space="preserve">COMPOSITION OF THE RETAIL PRICE OF PETROL AND THE WHOLESALE PRICES FOR DIESEL IN GAUTENG FOR June 2015 </w:t>
            </w:r>
          </w:p>
        </w:tc>
      </w:tr>
      <w:tr w:rsidR="00312E61" w:rsidRPr="007863C9" w:rsidTr="004545E3">
        <w:trPr>
          <w:trHeight w:val="300"/>
        </w:trPr>
        <w:tc>
          <w:tcPr>
            <w:tcW w:w="6874" w:type="dxa"/>
            <w:gridSpan w:val="3"/>
            <w:tcBorders>
              <w:top w:val="single" w:sz="4" w:space="0" w:color="000000"/>
              <w:left w:val="single" w:sz="8" w:space="0" w:color="auto"/>
              <w:bottom w:val="nil"/>
              <w:right w:val="nil"/>
            </w:tcBorders>
            <w:shd w:val="clear" w:color="000000" w:fill="A6A6A6"/>
            <w:vAlign w:val="center"/>
          </w:tcPr>
          <w:p w:rsidR="00312E61" w:rsidRPr="007863C9" w:rsidRDefault="00312E61" w:rsidP="007863C9">
            <w:pPr>
              <w:jc w:val="both"/>
              <w:rPr>
                <w:rFonts w:ascii="Verdana" w:hAnsi="Verdana"/>
                <w:color w:val="000000"/>
                <w:sz w:val="22"/>
                <w:szCs w:val="22"/>
              </w:rPr>
            </w:pPr>
            <w:r w:rsidRPr="007863C9">
              <w:rPr>
                <w:rFonts w:ascii="Verdana" w:hAnsi="Verdana"/>
                <w:color w:val="000000"/>
                <w:sz w:val="22"/>
                <w:szCs w:val="22"/>
              </w:rPr>
              <w:t> </w:t>
            </w:r>
          </w:p>
        </w:tc>
      </w:tr>
      <w:tr w:rsidR="00312E61" w:rsidRPr="007863C9" w:rsidTr="004545E3">
        <w:trPr>
          <w:trHeight w:val="600"/>
        </w:trPr>
        <w:tc>
          <w:tcPr>
            <w:tcW w:w="2780" w:type="dxa"/>
            <w:tcBorders>
              <w:top w:val="single" w:sz="4" w:space="0" w:color="auto"/>
              <w:left w:val="single" w:sz="8" w:space="0" w:color="auto"/>
              <w:bottom w:val="single" w:sz="4" w:space="0" w:color="auto"/>
              <w:right w:val="single" w:sz="4" w:space="0" w:color="auto"/>
            </w:tcBorders>
            <w:shd w:val="clear" w:color="000000" w:fill="A6A6A6"/>
            <w:vAlign w:val="center"/>
          </w:tcPr>
          <w:p w:rsidR="00312E61" w:rsidRPr="007863C9" w:rsidRDefault="00312E61" w:rsidP="007863C9">
            <w:pPr>
              <w:jc w:val="both"/>
              <w:rPr>
                <w:rFonts w:ascii="Calibri" w:hAnsi="Calibri"/>
                <w:b/>
                <w:bCs/>
                <w:color w:val="000000"/>
                <w:sz w:val="22"/>
                <w:szCs w:val="22"/>
              </w:rPr>
            </w:pPr>
            <w:r w:rsidRPr="007863C9">
              <w:rPr>
                <w:rFonts w:ascii="Calibri" w:hAnsi="Calibri"/>
                <w:b/>
                <w:bCs/>
                <w:color w:val="000000"/>
                <w:sz w:val="22"/>
                <w:szCs w:val="22"/>
              </w:rPr>
              <w:t>GAUTENG FUEL PRICES</w:t>
            </w:r>
          </w:p>
        </w:tc>
        <w:tc>
          <w:tcPr>
            <w:tcW w:w="2055" w:type="dxa"/>
            <w:tcBorders>
              <w:top w:val="single" w:sz="4" w:space="0" w:color="auto"/>
              <w:left w:val="nil"/>
              <w:bottom w:val="single" w:sz="4" w:space="0" w:color="auto"/>
              <w:right w:val="single" w:sz="4" w:space="0" w:color="auto"/>
            </w:tcBorders>
            <w:shd w:val="clear" w:color="000000" w:fill="A6A6A6"/>
            <w:vAlign w:val="center"/>
          </w:tcPr>
          <w:p w:rsidR="00312E61" w:rsidRPr="007863C9" w:rsidRDefault="00312E61" w:rsidP="007863C9">
            <w:pPr>
              <w:jc w:val="both"/>
              <w:rPr>
                <w:rFonts w:ascii="Calibri" w:hAnsi="Calibri"/>
                <w:b/>
                <w:bCs/>
                <w:color w:val="000000"/>
                <w:sz w:val="22"/>
                <w:szCs w:val="22"/>
              </w:rPr>
            </w:pPr>
            <w:r w:rsidRPr="007863C9">
              <w:rPr>
                <w:rFonts w:ascii="Calibri" w:hAnsi="Calibri"/>
                <w:b/>
                <w:bCs/>
                <w:color w:val="000000"/>
                <w:sz w:val="22"/>
                <w:szCs w:val="22"/>
              </w:rPr>
              <w:t xml:space="preserve">Petrol 93 ULP </w:t>
            </w:r>
          </w:p>
        </w:tc>
        <w:tc>
          <w:tcPr>
            <w:tcW w:w="2039" w:type="dxa"/>
            <w:tcBorders>
              <w:top w:val="single" w:sz="4" w:space="0" w:color="auto"/>
              <w:left w:val="nil"/>
              <w:bottom w:val="single" w:sz="4" w:space="0" w:color="auto"/>
              <w:right w:val="single" w:sz="4" w:space="0" w:color="auto"/>
            </w:tcBorders>
            <w:shd w:val="clear" w:color="000000" w:fill="A6A6A6"/>
            <w:vAlign w:val="center"/>
          </w:tcPr>
          <w:p w:rsidR="00312E61" w:rsidRPr="007863C9" w:rsidRDefault="00312E61" w:rsidP="007863C9">
            <w:pPr>
              <w:jc w:val="both"/>
              <w:rPr>
                <w:rFonts w:ascii="Calibri" w:hAnsi="Calibri"/>
                <w:b/>
                <w:bCs/>
                <w:color w:val="000000"/>
                <w:sz w:val="22"/>
                <w:szCs w:val="22"/>
              </w:rPr>
            </w:pPr>
            <w:r w:rsidRPr="007863C9">
              <w:rPr>
                <w:rFonts w:ascii="Calibri" w:hAnsi="Calibri"/>
                <w:b/>
                <w:bCs/>
                <w:color w:val="000000"/>
                <w:sz w:val="22"/>
                <w:szCs w:val="22"/>
              </w:rPr>
              <w:t>Diesel * 0.05% S</w:t>
            </w:r>
          </w:p>
        </w:tc>
      </w:tr>
      <w:tr w:rsidR="00312E61" w:rsidRPr="007863C9" w:rsidTr="004545E3">
        <w:trPr>
          <w:trHeight w:val="300"/>
        </w:trPr>
        <w:tc>
          <w:tcPr>
            <w:tcW w:w="2780" w:type="dxa"/>
            <w:tcBorders>
              <w:top w:val="nil"/>
              <w:left w:val="single" w:sz="8" w:space="0" w:color="auto"/>
              <w:bottom w:val="single" w:sz="4" w:space="0" w:color="auto"/>
              <w:right w:val="single" w:sz="4" w:space="0" w:color="auto"/>
            </w:tcBorders>
            <w:shd w:val="clear" w:color="000000" w:fill="A6A6A6"/>
            <w:vAlign w:val="center"/>
          </w:tcPr>
          <w:p w:rsidR="00312E61" w:rsidRPr="007863C9" w:rsidRDefault="00312E61" w:rsidP="007863C9">
            <w:pPr>
              <w:jc w:val="both"/>
              <w:rPr>
                <w:rFonts w:ascii="Calibri" w:hAnsi="Calibri"/>
                <w:color w:val="000000"/>
                <w:sz w:val="22"/>
                <w:szCs w:val="22"/>
              </w:rPr>
            </w:pPr>
            <w:r w:rsidRPr="007863C9">
              <w:rPr>
                <w:rFonts w:ascii="Calibri" w:hAnsi="Calibri"/>
                <w:color w:val="000000"/>
                <w:sz w:val="22"/>
                <w:szCs w:val="22"/>
              </w:rPr>
              <w:t> </w:t>
            </w:r>
          </w:p>
        </w:tc>
        <w:tc>
          <w:tcPr>
            <w:tcW w:w="2055" w:type="dxa"/>
            <w:tcBorders>
              <w:top w:val="nil"/>
              <w:left w:val="nil"/>
              <w:bottom w:val="single" w:sz="4" w:space="0" w:color="auto"/>
              <w:right w:val="single" w:sz="4" w:space="0" w:color="auto"/>
            </w:tcBorders>
            <w:shd w:val="clear" w:color="000000" w:fill="A6A6A6"/>
            <w:vAlign w:val="center"/>
          </w:tcPr>
          <w:p w:rsidR="00312E61" w:rsidRPr="007863C9" w:rsidRDefault="00312E61" w:rsidP="007863C9">
            <w:pPr>
              <w:jc w:val="both"/>
              <w:rPr>
                <w:rFonts w:ascii="Calibri" w:hAnsi="Calibri"/>
                <w:color w:val="000000"/>
                <w:sz w:val="22"/>
                <w:szCs w:val="22"/>
              </w:rPr>
            </w:pPr>
            <w:r w:rsidRPr="007863C9">
              <w:rPr>
                <w:rFonts w:ascii="Calibri" w:hAnsi="Calibri"/>
                <w:color w:val="000000"/>
                <w:sz w:val="22"/>
                <w:szCs w:val="22"/>
              </w:rPr>
              <w:t>c/l</w:t>
            </w:r>
          </w:p>
        </w:tc>
        <w:tc>
          <w:tcPr>
            <w:tcW w:w="2039" w:type="dxa"/>
            <w:tcBorders>
              <w:top w:val="nil"/>
              <w:left w:val="nil"/>
              <w:bottom w:val="single" w:sz="4" w:space="0" w:color="auto"/>
              <w:right w:val="single" w:sz="4" w:space="0" w:color="auto"/>
            </w:tcBorders>
            <w:shd w:val="clear" w:color="000000" w:fill="A6A6A6"/>
            <w:vAlign w:val="center"/>
          </w:tcPr>
          <w:p w:rsidR="00312E61" w:rsidRPr="007863C9" w:rsidRDefault="00312E61" w:rsidP="007863C9">
            <w:pPr>
              <w:jc w:val="both"/>
              <w:rPr>
                <w:rFonts w:ascii="Calibri" w:hAnsi="Calibri"/>
                <w:color w:val="000000"/>
                <w:sz w:val="22"/>
                <w:szCs w:val="22"/>
              </w:rPr>
            </w:pPr>
            <w:r w:rsidRPr="007863C9">
              <w:rPr>
                <w:rFonts w:ascii="Calibri" w:hAnsi="Calibri"/>
                <w:color w:val="000000"/>
                <w:sz w:val="22"/>
                <w:szCs w:val="22"/>
              </w:rPr>
              <w:t>c/l</w:t>
            </w:r>
          </w:p>
        </w:tc>
      </w:tr>
      <w:tr w:rsidR="00312E61" w:rsidRPr="007863C9" w:rsidTr="004545E3">
        <w:trPr>
          <w:trHeight w:val="690"/>
        </w:trPr>
        <w:tc>
          <w:tcPr>
            <w:tcW w:w="2780" w:type="dxa"/>
            <w:tcBorders>
              <w:top w:val="nil"/>
              <w:left w:val="single" w:sz="8" w:space="0" w:color="auto"/>
              <w:bottom w:val="single" w:sz="4" w:space="0" w:color="auto"/>
              <w:right w:val="single" w:sz="4" w:space="0" w:color="auto"/>
            </w:tcBorders>
            <w:vAlign w:val="center"/>
          </w:tcPr>
          <w:p w:rsidR="00312E61" w:rsidRPr="007863C9" w:rsidRDefault="00312E61" w:rsidP="007863C9">
            <w:pPr>
              <w:jc w:val="both"/>
              <w:rPr>
                <w:rFonts w:ascii="Calibri" w:hAnsi="Calibri"/>
                <w:b/>
                <w:bCs/>
                <w:color w:val="000000"/>
                <w:sz w:val="22"/>
                <w:szCs w:val="22"/>
              </w:rPr>
            </w:pPr>
            <w:r w:rsidRPr="007863C9">
              <w:rPr>
                <w:rFonts w:ascii="Calibri" w:hAnsi="Calibri"/>
                <w:b/>
                <w:bCs/>
                <w:color w:val="000000"/>
                <w:sz w:val="22"/>
                <w:szCs w:val="22"/>
              </w:rPr>
              <w:t>Basic fuel price (BFP)</w:t>
            </w:r>
          </w:p>
        </w:tc>
        <w:tc>
          <w:tcPr>
            <w:tcW w:w="2055" w:type="dxa"/>
            <w:tcBorders>
              <w:top w:val="nil"/>
              <w:left w:val="nil"/>
              <w:bottom w:val="single" w:sz="4" w:space="0" w:color="auto"/>
              <w:right w:val="single" w:sz="4" w:space="0" w:color="auto"/>
            </w:tcBorders>
            <w:vAlign w:val="center"/>
          </w:tcPr>
          <w:p w:rsidR="00312E61" w:rsidRPr="007863C9" w:rsidRDefault="00312E61" w:rsidP="007863C9">
            <w:pPr>
              <w:jc w:val="right"/>
              <w:rPr>
                <w:rFonts w:ascii="Calibri" w:hAnsi="Calibri"/>
                <w:sz w:val="22"/>
                <w:szCs w:val="22"/>
              </w:rPr>
            </w:pPr>
            <w:r w:rsidRPr="007863C9">
              <w:rPr>
                <w:rFonts w:ascii="Calibri" w:hAnsi="Calibri"/>
                <w:sz w:val="22"/>
                <w:szCs w:val="22"/>
              </w:rPr>
              <w:t>644.65</w:t>
            </w:r>
          </w:p>
        </w:tc>
        <w:tc>
          <w:tcPr>
            <w:tcW w:w="2039" w:type="dxa"/>
            <w:tcBorders>
              <w:top w:val="nil"/>
              <w:left w:val="nil"/>
              <w:bottom w:val="single" w:sz="4" w:space="0" w:color="auto"/>
              <w:right w:val="single" w:sz="4" w:space="0" w:color="auto"/>
            </w:tcBorders>
            <w:vAlign w:val="center"/>
          </w:tcPr>
          <w:p w:rsidR="00312E61" w:rsidRPr="007863C9" w:rsidRDefault="00312E61" w:rsidP="007863C9">
            <w:pPr>
              <w:jc w:val="right"/>
              <w:rPr>
                <w:rFonts w:ascii="Calibri" w:hAnsi="Calibri"/>
                <w:sz w:val="22"/>
                <w:szCs w:val="22"/>
              </w:rPr>
            </w:pPr>
            <w:r w:rsidRPr="007863C9">
              <w:rPr>
                <w:rFonts w:ascii="Calibri" w:hAnsi="Calibri"/>
                <w:sz w:val="22"/>
                <w:szCs w:val="22"/>
              </w:rPr>
              <w:t>638.63</w:t>
            </w:r>
          </w:p>
        </w:tc>
      </w:tr>
      <w:tr w:rsidR="00312E61" w:rsidRPr="007863C9" w:rsidTr="004545E3">
        <w:trPr>
          <w:trHeight w:val="300"/>
        </w:trPr>
        <w:tc>
          <w:tcPr>
            <w:tcW w:w="2780" w:type="dxa"/>
            <w:tcBorders>
              <w:top w:val="nil"/>
              <w:left w:val="single" w:sz="8" w:space="0" w:color="auto"/>
              <w:bottom w:val="single" w:sz="4" w:space="0" w:color="auto"/>
              <w:right w:val="single" w:sz="4" w:space="0" w:color="auto"/>
            </w:tcBorders>
            <w:vAlign w:val="center"/>
          </w:tcPr>
          <w:p w:rsidR="00312E61" w:rsidRPr="007863C9" w:rsidRDefault="00312E61" w:rsidP="007863C9">
            <w:pPr>
              <w:jc w:val="both"/>
              <w:rPr>
                <w:rFonts w:ascii="Calibri" w:hAnsi="Calibri"/>
                <w:b/>
                <w:bCs/>
                <w:color w:val="000000"/>
                <w:sz w:val="22"/>
                <w:szCs w:val="22"/>
              </w:rPr>
            </w:pPr>
            <w:r w:rsidRPr="007863C9">
              <w:rPr>
                <w:rFonts w:ascii="Calibri" w:hAnsi="Calibri"/>
                <w:b/>
                <w:bCs/>
                <w:color w:val="000000"/>
                <w:sz w:val="22"/>
                <w:szCs w:val="22"/>
              </w:rPr>
              <w:t>Wholesale margin</w:t>
            </w:r>
          </w:p>
        </w:tc>
        <w:tc>
          <w:tcPr>
            <w:tcW w:w="2055" w:type="dxa"/>
            <w:tcBorders>
              <w:top w:val="nil"/>
              <w:left w:val="nil"/>
              <w:bottom w:val="single" w:sz="4" w:space="0" w:color="auto"/>
              <w:right w:val="single" w:sz="4" w:space="0" w:color="auto"/>
            </w:tcBorders>
            <w:vAlign w:val="center"/>
          </w:tcPr>
          <w:p w:rsidR="00312E61" w:rsidRPr="007863C9" w:rsidRDefault="00312E61" w:rsidP="007863C9">
            <w:pPr>
              <w:jc w:val="right"/>
              <w:rPr>
                <w:rFonts w:ascii="Calibri" w:hAnsi="Calibri"/>
                <w:sz w:val="22"/>
                <w:szCs w:val="22"/>
              </w:rPr>
            </w:pPr>
            <w:r w:rsidRPr="007863C9">
              <w:rPr>
                <w:rFonts w:ascii="Calibri" w:hAnsi="Calibri"/>
                <w:sz w:val="22"/>
                <w:szCs w:val="22"/>
              </w:rPr>
              <w:t xml:space="preserve">                   33.50 </w:t>
            </w:r>
          </w:p>
        </w:tc>
        <w:tc>
          <w:tcPr>
            <w:tcW w:w="2039" w:type="dxa"/>
            <w:tcBorders>
              <w:top w:val="nil"/>
              <w:left w:val="nil"/>
              <w:bottom w:val="single" w:sz="4" w:space="0" w:color="auto"/>
              <w:right w:val="single" w:sz="4" w:space="0" w:color="auto"/>
            </w:tcBorders>
            <w:vAlign w:val="center"/>
          </w:tcPr>
          <w:p w:rsidR="00312E61" w:rsidRPr="007863C9" w:rsidRDefault="00312E61" w:rsidP="007863C9">
            <w:pPr>
              <w:jc w:val="right"/>
              <w:rPr>
                <w:rFonts w:ascii="Calibri" w:hAnsi="Calibri"/>
                <w:sz w:val="22"/>
                <w:szCs w:val="22"/>
              </w:rPr>
            </w:pPr>
            <w:r w:rsidRPr="007863C9">
              <w:rPr>
                <w:rFonts w:ascii="Calibri" w:hAnsi="Calibri"/>
                <w:sz w:val="22"/>
                <w:szCs w:val="22"/>
              </w:rPr>
              <w:t xml:space="preserve">                         64.70 </w:t>
            </w:r>
          </w:p>
        </w:tc>
      </w:tr>
      <w:tr w:rsidR="00312E61" w:rsidRPr="007863C9" w:rsidTr="004545E3">
        <w:trPr>
          <w:trHeight w:val="300"/>
        </w:trPr>
        <w:tc>
          <w:tcPr>
            <w:tcW w:w="2780" w:type="dxa"/>
            <w:tcBorders>
              <w:top w:val="nil"/>
              <w:left w:val="single" w:sz="4" w:space="0" w:color="auto"/>
              <w:bottom w:val="single" w:sz="4" w:space="0" w:color="auto"/>
              <w:right w:val="single" w:sz="4" w:space="0" w:color="auto"/>
            </w:tcBorders>
            <w:vAlign w:val="center"/>
          </w:tcPr>
          <w:p w:rsidR="00312E61" w:rsidRPr="007863C9" w:rsidRDefault="00312E61" w:rsidP="007863C9">
            <w:pPr>
              <w:jc w:val="both"/>
              <w:rPr>
                <w:rFonts w:ascii="Calibri" w:hAnsi="Calibri"/>
                <w:b/>
                <w:bCs/>
                <w:color w:val="000000"/>
                <w:sz w:val="22"/>
                <w:szCs w:val="22"/>
              </w:rPr>
            </w:pPr>
            <w:r w:rsidRPr="007863C9">
              <w:rPr>
                <w:rFonts w:ascii="Calibri" w:hAnsi="Calibri"/>
                <w:b/>
                <w:bCs/>
                <w:color w:val="000000"/>
                <w:sz w:val="22"/>
                <w:szCs w:val="22"/>
              </w:rPr>
              <w:t>Service cost recoveries</w:t>
            </w:r>
          </w:p>
        </w:tc>
        <w:tc>
          <w:tcPr>
            <w:tcW w:w="2055" w:type="dxa"/>
            <w:tcBorders>
              <w:top w:val="nil"/>
              <w:left w:val="nil"/>
              <w:bottom w:val="single" w:sz="4" w:space="0" w:color="auto"/>
              <w:right w:val="single" w:sz="4" w:space="0" w:color="auto"/>
            </w:tcBorders>
            <w:vAlign w:val="center"/>
          </w:tcPr>
          <w:p w:rsidR="00312E61" w:rsidRPr="007863C9" w:rsidRDefault="00312E61" w:rsidP="007863C9">
            <w:pPr>
              <w:jc w:val="right"/>
              <w:rPr>
                <w:rFonts w:ascii="Calibri" w:hAnsi="Calibri"/>
                <w:sz w:val="22"/>
                <w:szCs w:val="22"/>
              </w:rPr>
            </w:pPr>
            <w:r w:rsidRPr="007863C9">
              <w:rPr>
                <w:rFonts w:ascii="Calibri" w:hAnsi="Calibri"/>
                <w:sz w:val="22"/>
                <w:szCs w:val="22"/>
              </w:rPr>
              <w:t xml:space="preserve">                   30.00 </w:t>
            </w:r>
          </w:p>
        </w:tc>
        <w:tc>
          <w:tcPr>
            <w:tcW w:w="2039" w:type="dxa"/>
            <w:tcBorders>
              <w:top w:val="nil"/>
              <w:left w:val="nil"/>
              <w:bottom w:val="single" w:sz="4" w:space="0" w:color="auto"/>
              <w:right w:val="single" w:sz="4" w:space="0" w:color="auto"/>
            </w:tcBorders>
            <w:vAlign w:val="center"/>
          </w:tcPr>
          <w:p w:rsidR="00312E61" w:rsidRPr="007863C9" w:rsidRDefault="00312E61" w:rsidP="007863C9">
            <w:pPr>
              <w:jc w:val="right"/>
              <w:rPr>
                <w:rFonts w:ascii="Calibri" w:hAnsi="Calibri"/>
                <w:sz w:val="22"/>
                <w:szCs w:val="22"/>
              </w:rPr>
            </w:pPr>
            <w:r w:rsidRPr="007863C9">
              <w:rPr>
                <w:rFonts w:ascii="Calibri" w:hAnsi="Calibri"/>
                <w:sz w:val="22"/>
                <w:szCs w:val="22"/>
              </w:rPr>
              <w:t xml:space="preserve">                         30.00 </w:t>
            </w:r>
          </w:p>
        </w:tc>
      </w:tr>
      <w:tr w:rsidR="00312E61" w:rsidRPr="007863C9" w:rsidTr="004545E3">
        <w:trPr>
          <w:trHeight w:val="300"/>
        </w:trPr>
        <w:tc>
          <w:tcPr>
            <w:tcW w:w="2780" w:type="dxa"/>
            <w:tcBorders>
              <w:top w:val="nil"/>
              <w:left w:val="single" w:sz="8" w:space="0" w:color="auto"/>
              <w:bottom w:val="single" w:sz="4" w:space="0" w:color="auto"/>
              <w:right w:val="single" w:sz="4" w:space="0" w:color="auto"/>
            </w:tcBorders>
            <w:vAlign w:val="center"/>
          </w:tcPr>
          <w:p w:rsidR="00312E61" w:rsidRPr="007863C9" w:rsidRDefault="00312E61" w:rsidP="007863C9">
            <w:pPr>
              <w:jc w:val="both"/>
              <w:rPr>
                <w:rFonts w:ascii="Calibri" w:hAnsi="Calibri"/>
                <w:b/>
                <w:bCs/>
                <w:color w:val="000000"/>
                <w:sz w:val="22"/>
                <w:szCs w:val="22"/>
              </w:rPr>
            </w:pPr>
            <w:r w:rsidRPr="007863C9">
              <w:rPr>
                <w:rFonts w:ascii="Calibri" w:hAnsi="Calibri"/>
                <w:b/>
                <w:bCs/>
                <w:color w:val="000000"/>
                <w:sz w:val="22"/>
                <w:szCs w:val="22"/>
              </w:rPr>
              <w:t>Dealers margin (*)</w:t>
            </w:r>
          </w:p>
        </w:tc>
        <w:tc>
          <w:tcPr>
            <w:tcW w:w="2055" w:type="dxa"/>
            <w:tcBorders>
              <w:top w:val="nil"/>
              <w:left w:val="nil"/>
              <w:bottom w:val="single" w:sz="4" w:space="0" w:color="auto"/>
              <w:right w:val="single" w:sz="4" w:space="0" w:color="auto"/>
            </w:tcBorders>
            <w:vAlign w:val="center"/>
          </w:tcPr>
          <w:p w:rsidR="00312E61" w:rsidRPr="007863C9" w:rsidRDefault="00312E61" w:rsidP="007863C9">
            <w:pPr>
              <w:jc w:val="right"/>
              <w:rPr>
                <w:rFonts w:ascii="Calibri" w:hAnsi="Calibri"/>
                <w:sz w:val="22"/>
                <w:szCs w:val="22"/>
              </w:rPr>
            </w:pPr>
            <w:r w:rsidRPr="007863C9">
              <w:rPr>
                <w:rFonts w:ascii="Calibri" w:hAnsi="Calibri"/>
                <w:sz w:val="22"/>
                <w:szCs w:val="22"/>
              </w:rPr>
              <w:t xml:space="preserve">                151.10 </w:t>
            </w:r>
          </w:p>
        </w:tc>
        <w:tc>
          <w:tcPr>
            <w:tcW w:w="2039" w:type="dxa"/>
            <w:tcBorders>
              <w:top w:val="nil"/>
              <w:left w:val="nil"/>
              <w:bottom w:val="single" w:sz="4" w:space="0" w:color="auto"/>
              <w:right w:val="single" w:sz="4" w:space="0" w:color="auto"/>
            </w:tcBorders>
            <w:vAlign w:val="center"/>
          </w:tcPr>
          <w:p w:rsidR="00312E61" w:rsidRPr="007863C9" w:rsidRDefault="00312E61" w:rsidP="007863C9">
            <w:pPr>
              <w:jc w:val="right"/>
              <w:rPr>
                <w:rFonts w:ascii="Calibri" w:hAnsi="Calibri"/>
                <w:sz w:val="22"/>
                <w:szCs w:val="22"/>
              </w:rPr>
            </w:pPr>
            <w:r w:rsidRPr="007863C9">
              <w:rPr>
                <w:rFonts w:ascii="Calibri" w:hAnsi="Calibri"/>
                <w:sz w:val="22"/>
                <w:szCs w:val="22"/>
              </w:rPr>
              <w:t>N/A</w:t>
            </w:r>
          </w:p>
        </w:tc>
      </w:tr>
      <w:tr w:rsidR="00312E61" w:rsidRPr="007863C9" w:rsidTr="004545E3">
        <w:trPr>
          <w:trHeight w:val="600"/>
        </w:trPr>
        <w:tc>
          <w:tcPr>
            <w:tcW w:w="2780" w:type="dxa"/>
            <w:tcBorders>
              <w:top w:val="nil"/>
              <w:left w:val="single" w:sz="8" w:space="0" w:color="auto"/>
              <w:bottom w:val="single" w:sz="4" w:space="0" w:color="auto"/>
              <w:right w:val="single" w:sz="4" w:space="0" w:color="auto"/>
            </w:tcBorders>
            <w:vAlign w:val="center"/>
          </w:tcPr>
          <w:p w:rsidR="00312E61" w:rsidRPr="007863C9" w:rsidRDefault="00312E61" w:rsidP="007863C9">
            <w:pPr>
              <w:jc w:val="both"/>
              <w:rPr>
                <w:rFonts w:ascii="Calibri" w:hAnsi="Calibri"/>
                <w:b/>
                <w:bCs/>
                <w:color w:val="000000"/>
                <w:sz w:val="22"/>
                <w:szCs w:val="22"/>
              </w:rPr>
            </w:pPr>
            <w:r w:rsidRPr="007863C9">
              <w:rPr>
                <w:rFonts w:ascii="Calibri" w:hAnsi="Calibri"/>
                <w:b/>
                <w:bCs/>
                <w:color w:val="000000"/>
                <w:sz w:val="22"/>
                <w:szCs w:val="22"/>
              </w:rPr>
              <w:t>Zone differential in Gauteng</w:t>
            </w:r>
          </w:p>
        </w:tc>
        <w:tc>
          <w:tcPr>
            <w:tcW w:w="2055" w:type="dxa"/>
            <w:tcBorders>
              <w:top w:val="nil"/>
              <w:left w:val="nil"/>
              <w:bottom w:val="single" w:sz="4" w:space="0" w:color="auto"/>
              <w:right w:val="single" w:sz="4" w:space="0" w:color="auto"/>
            </w:tcBorders>
            <w:vAlign w:val="center"/>
          </w:tcPr>
          <w:p w:rsidR="00312E61" w:rsidRPr="007863C9" w:rsidRDefault="00312E61" w:rsidP="007863C9">
            <w:pPr>
              <w:jc w:val="right"/>
              <w:rPr>
                <w:rFonts w:ascii="Calibri" w:hAnsi="Calibri"/>
                <w:sz w:val="22"/>
                <w:szCs w:val="22"/>
              </w:rPr>
            </w:pPr>
            <w:r w:rsidRPr="007863C9">
              <w:rPr>
                <w:rFonts w:ascii="Calibri" w:hAnsi="Calibri"/>
                <w:sz w:val="22"/>
                <w:szCs w:val="22"/>
              </w:rPr>
              <w:t xml:space="preserve">                   35.30 </w:t>
            </w:r>
          </w:p>
        </w:tc>
        <w:tc>
          <w:tcPr>
            <w:tcW w:w="2039" w:type="dxa"/>
            <w:tcBorders>
              <w:top w:val="nil"/>
              <w:left w:val="nil"/>
              <w:bottom w:val="single" w:sz="4" w:space="0" w:color="auto"/>
              <w:right w:val="single" w:sz="4" w:space="0" w:color="auto"/>
            </w:tcBorders>
            <w:vAlign w:val="center"/>
          </w:tcPr>
          <w:p w:rsidR="00312E61" w:rsidRPr="007863C9" w:rsidRDefault="00312E61" w:rsidP="007863C9">
            <w:pPr>
              <w:jc w:val="right"/>
              <w:rPr>
                <w:rFonts w:ascii="Calibri" w:hAnsi="Calibri"/>
                <w:sz w:val="22"/>
                <w:szCs w:val="22"/>
              </w:rPr>
            </w:pPr>
            <w:r w:rsidRPr="007863C9">
              <w:rPr>
                <w:rFonts w:ascii="Calibri" w:hAnsi="Calibri"/>
                <w:sz w:val="22"/>
                <w:szCs w:val="22"/>
              </w:rPr>
              <w:t xml:space="preserve">                         35.30 </w:t>
            </w:r>
          </w:p>
        </w:tc>
      </w:tr>
      <w:tr w:rsidR="00312E61" w:rsidRPr="007863C9" w:rsidTr="004545E3">
        <w:trPr>
          <w:trHeight w:val="300"/>
        </w:trPr>
        <w:tc>
          <w:tcPr>
            <w:tcW w:w="2780" w:type="dxa"/>
            <w:tcBorders>
              <w:top w:val="nil"/>
              <w:left w:val="single" w:sz="8" w:space="0" w:color="auto"/>
              <w:bottom w:val="single" w:sz="4" w:space="0" w:color="auto"/>
              <w:right w:val="single" w:sz="4" w:space="0" w:color="auto"/>
            </w:tcBorders>
            <w:vAlign w:val="center"/>
          </w:tcPr>
          <w:p w:rsidR="00312E61" w:rsidRPr="007863C9" w:rsidRDefault="00312E61" w:rsidP="007863C9">
            <w:pPr>
              <w:jc w:val="both"/>
              <w:rPr>
                <w:rFonts w:ascii="Calibri" w:hAnsi="Calibri"/>
                <w:b/>
                <w:bCs/>
                <w:color w:val="000000"/>
                <w:sz w:val="22"/>
                <w:szCs w:val="22"/>
              </w:rPr>
            </w:pPr>
            <w:r w:rsidRPr="007863C9">
              <w:rPr>
                <w:rFonts w:ascii="Calibri" w:hAnsi="Calibri"/>
                <w:b/>
                <w:bCs/>
                <w:color w:val="000000"/>
                <w:sz w:val="22"/>
                <w:szCs w:val="22"/>
              </w:rPr>
              <w:t>Fuel levy</w:t>
            </w:r>
          </w:p>
        </w:tc>
        <w:tc>
          <w:tcPr>
            <w:tcW w:w="2055" w:type="dxa"/>
            <w:tcBorders>
              <w:top w:val="nil"/>
              <w:left w:val="nil"/>
              <w:bottom w:val="single" w:sz="4" w:space="0" w:color="auto"/>
              <w:right w:val="single" w:sz="4" w:space="0" w:color="auto"/>
            </w:tcBorders>
            <w:vAlign w:val="center"/>
          </w:tcPr>
          <w:p w:rsidR="00312E61" w:rsidRPr="007863C9" w:rsidRDefault="00312E61" w:rsidP="007863C9">
            <w:pPr>
              <w:jc w:val="right"/>
              <w:rPr>
                <w:rFonts w:ascii="Calibri" w:hAnsi="Calibri"/>
                <w:sz w:val="22"/>
                <w:szCs w:val="22"/>
              </w:rPr>
            </w:pPr>
            <w:r w:rsidRPr="007863C9">
              <w:rPr>
                <w:rFonts w:ascii="Calibri" w:hAnsi="Calibri"/>
                <w:sz w:val="22"/>
                <w:szCs w:val="22"/>
              </w:rPr>
              <w:t xml:space="preserve">                255.00 </w:t>
            </w:r>
          </w:p>
        </w:tc>
        <w:tc>
          <w:tcPr>
            <w:tcW w:w="2039" w:type="dxa"/>
            <w:tcBorders>
              <w:top w:val="nil"/>
              <w:left w:val="nil"/>
              <w:bottom w:val="single" w:sz="4" w:space="0" w:color="auto"/>
              <w:right w:val="single" w:sz="4" w:space="0" w:color="auto"/>
            </w:tcBorders>
            <w:vAlign w:val="center"/>
          </w:tcPr>
          <w:p w:rsidR="00312E61" w:rsidRPr="007863C9" w:rsidRDefault="00312E61" w:rsidP="007863C9">
            <w:pPr>
              <w:jc w:val="right"/>
              <w:rPr>
                <w:rFonts w:ascii="Calibri" w:hAnsi="Calibri"/>
                <w:sz w:val="22"/>
                <w:szCs w:val="22"/>
              </w:rPr>
            </w:pPr>
            <w:r w:rsidRPr="007863C9">
              <w:rPr>
                <w:rFonts w:ascii="Calibri" w:hAnsi="Calibri"/>
                <w:sz w:val="22"/>
                <w:szCs w:val="22"/>
              </w:rPr>
              <w:t xml:space="preserve">                       240.00 </w:t>
            </w:r>
          </w:p>
        </w:tc>
      </w:tr>
      <w:tr w:rsidR="00312E61" w:rsidRPr="007863C9" w:rsidTr="004545E3">
        <w:trPr>
          <w:trHeight w:val="300"/>
        </w:trPr>
        <w:tc>
          <w:tcPr>
            <w:tcW w:w="2780" w:type="dxa"/>
            <w:tcBorders>
              <w:top w:val="nil"/>
              <w:left w:val="single" w:sz="8" w:space="0" w:color="auto"/>
              <w:bottom w:val="single" w:sz="4" w:space="0" w:color="auto"/>
              <w:right w:val="single" w:sz="4" w:space="0" w:color="auto"/>
            </w:tcBorders>
            <w:vAlign w:val="center"/>
          </w:tcPr>
          <w:p w:rsidR="00312E61" w:rsidRPr="007863C9" w:rsidRDefault="00312E61" w:rsidP="007863C9">
            <w:pPr>
              <w:jc w:val="both"/>
              <w:rPr>
                <w:rFonts w:ascii="Calibri" w:hAnsi="Calibri"/>
                <w:b/>
                <w:bCs/>
                <w:color w:val="000000"/>
                <w:sz w:val="22"/>
                <w:szCs w:val="22"/>
              </w:rPr>
            </w:pPr>
            <w:r w:rsidRPr="007863C9">
              <w:rPr>
                <w:rFonts w:ascii="Calibri" w:hAnsi="Calibri"/>
                <w:b/>
                <w:bCs/>
                <w:color w:val="000000"/>
                <w:sz w:val="22"/>
                <w:szCs w:val="22"/>
              </w:rPr>
              <w:t>RAF levy</w:t>
            </w:r>
          </w:p>
        </w:tc>
        <w:tc>
          <w:tcPr>
            <w:tcW w:w="2055" w:type="dxa"/>
            <w:tcBorders>
              <w:top w:val="nil"/>
              <w:left w:val="nil"/>
              <w:bottom w:val="single" w:sz="4" w:space="0" w:color="auto"/>
              <w:right w:val="single" w:sz="4" w:space="0" w:color="auto"/>
            </w:tcBorders>
            <w:vAlign w:val="center"/>
          </w:tcPr>
          <w:p w:rsidR="00312E61" w:rsidRPr="007863C9" w:rsidRDefault="00312E61" w:rsidP="007863C9">
            <w:pPr>
              <w:jc w:val="right"/>
              <w:rPr>
                <w:rFonts w:ascii="Calibri" w:hAnsi="Calibri"/>
                <w:sz w:val="22"/>
                <w:szCs w:val="22"/>
              </w:rPr>
            </w:pPr>
            <w:r w:rsidRPr="007863C9">
              <w:rPr>
                <w:rFonts w:ascii="Calibri" w:hAnsi="Calibri"/>
                <w:sz w:val="22"/>
                <w:szCs w:val="22"/>
              </w:rPr>
              <w:t xml:space="preserve">                154.00 </w:t>
            </w:r>
          </w:p>
        </w:tc>
        <w:tc>
          <w:tcPr>
            <w:tcW w:w="2039" w:type="dxa"/>
            <w:tcBorders>
              <w:top w:val="nil"/>
              <w:left w:val="nil"/>
              <w:bottom w:val="single" w:sz="4" w:space="0" w:color="auto"/>
              <w:right w:val="single" w:sz="4" w:space="0" w:color="auto"/>
            </w:tcBorders>
            <w:vAlign w:val="center"/>
          </w:tcPr>
          <w:p w:rsidR="00312E61" w:rsidRPr="007863C9" w:rsidRDefault="00312E61" w:rsidP="007863C9">
            <w:pPr>
              <w:jc w:val="right"/>
              <w:rPr>
                <w:rFonts w:ascii="Calibri" w:hAnsi="Calibri"/>
                <w:sz w:val="22"/>
                <w:szCs w:val="22"/>
              </w:rPr>
            </w:pPr>
            <w:r w:rsidRPr="007863C9">
              <w:rPr>
                <w:rFonts w:ascii="Calibri" w:hAnsi="Calibri"/>
                <w:sz w:val="22"/>
                <w:szCs w:val="22"/>
              </w:rPr>
              <w:t xml:space="preserve">                       154.00 </w:t>
            </w:r>
          </w:p>
        </w:tc>
      </w:tr>
      <w:tr w:rsidR="00312E61" w:rsidRPr="007863C9" w:rsidTr="004545E3">
        <w:trPr>
          <w:trHeight w:val="300"/>
        </w:trPr>
        <w:tc>
          <w:tcPr>
            <w:tcW w:w="2780" w:type="dxa"/>
            <w:tcBorders>
              <w:top w:val="nil"/>
              <w:left w:val="single" w:sz="8" w:space="0" w:color="auto"/>
              <w:bottom w:val="single" w:sz="4" w:space="0" w:color="auto"/>
              <w:right w:val="single" w:sz="4" w:space="0" w:color="auto"/>
            </w:tcBorders>
            <w:vAlign w:val="center"/>
          </w:tcPr>
          <w:p w:rsidR="00312E61" w:rsidRPr="007863C9" w:rsidRDefault="00312E61" w:rsidP="007863C9">
            <w:pPr>
              <w:jc w:val="both"/>
              <w:rPr>
                <w:rFonts w:ascii="Calibri" w:hAnsi="Calibri"/>
                <w:b/>
                <w:bCs/>
                <w:color w:val="000000"/>
                <w:sz w:val="22"/>
                <w:szCs w:val="22"/>
              </w:rPr>
            </w:pPr>
            <w:r w:rsidRPr="007863C9">
              <w:rPr>
                <w:rFonts w:ascii="Calibri" w:hAnsi="Calibri"/>
                <w:b/>
                <w:bCs/>
                <w:color w:val="000000"/>
                <w:sz w:val="22"/>
                <w:szCs w:val="22"/>
              </w:rPr>
              <w:t>Customs &amp; excise duty</w:t>
            </w:r>
          </w:p>
        </w:tc>
        <w:tc>
          <w:tcPr>
            <w:tcW w:w="2055" w:type="dxa"/>
            <w:tcBorders>
              <w:top w:val="nil"/>
              <w:left w:val="nil"/>
              <w:bottom w:val="single" w:sz="4" w:space="0" w:color="auto"/>
              <w:right w:val="single" w:sz="4" w:space="0" w:color="auto"/>
            </w:tcBorders>
            <w:vAlign w:val="center"/>
          </w:tcPr>
          <w:p w:rsidR="00312E61" w:rsidRPr="007863C9" w:rsidRDefault="00312E61" w:rsidP="007863C9">
            <w:pPr>
              <w:jc w:val="right"/>
              <w:rPr>
                <w:rFonts w:ascii="Calibri" w:hAnsi="Calibri"/>
                <w:sz w:val="22"/>
                <w:szCs w:val="22"/>
              </w:rPr>
            </w:pPr>
            <w:r w:rsidRPr="007863C9">
              <w:rPr>
                <w:rFonts w:ascii="Calibri" w:hAnsi="Calibri"/>
                <w:sz w:val="22"/>
                <w:szCs w:val="22"/>
              </w:rPr>
              <w:t xml:space="preserve">                     4.00 </w:t>
            </w:r>
          </w:p>
        </w:tc>
        <w:tc>
          <w:tcPr>
            <w:tcW w:w="2039" w:type="dxa"/>
            <w:tcBorders>
              <w:top w:val="nil"/>
              <w:left w:val="nil"/>
              <w:bottom w:val="single" w:sz="4" w:space="0" w:color="auto"/>
              <w:right w:val="single" w:sz="4" w:space="0" w:color="auto"/>
            </w:tcBorders>
            <w:vAlign w:val="center"/>
          </w:tcPr>
          <w:p w:rsidR="00312E61" w:rsidRPr="007863C9" w:rsidRDefault="00312E61" w:rsidP="007863C9">
            <w:pPr>
              <w:jc w:val="right"/>
              <w:rPr>
                <w:rFonts w:ascii="Calibri" w:hAnsi="Calibri"/>
                <w:sz w:val="22"/>
                <w:szCs w:val="22"/>
              </w:rPr>
            </w:pPr>
            <w:r w:rsidRPr="007863C9">
              <w:rPr>
                <w:rFonts w:ascii="Calibri" w:hAnsi="Calibri"/>
                <w:sz w:val="22"/>
                <w:szCs w:val="22"/>
              </w:rPr>
              <w:t xml:space="preserve">                            4.00 </w:t>
            </w:r>
          </w:p>
        </w:tc>
      </w:tr>
      <w:tr w:rsidR="00312E61" w:rsidRPr="007863C9" w:rsidTr="004545E3">
        <w:trPr>
          <w:trHeight w:val="300"/>
        </w:trPr>
        <w:tc>
          <w:tcPr>
            <w:tcW w:w="2780" w:type="dxa"/>
            <w:tcBorders>
              <w:top w:val="nil"/>
              <w:left w:val="single" w:sz="8" w:space="0" w:color="auto"/>
              <w:bottom w:val="single" w:sz="4" w:space="0" w:color="auto"/>
              <w:right w:val="single" w:sz="4" w:space="0" w:color="auto"/>
            </w:tcBorders>
            <w:vAlign w:val="center"/>
          </w:tcPr>
          <w:p w:rsidR="00312E61" w:rsidRPr="007863C9" w:rsidRDefault="00312E61" w:rsidP="007863C9">
            <w:pPr>
              <w:jc w:val="both"/>
              <w:rPr>
                <w:rFonts w:ascii="Calibri" w:hAnsi="Calibri"/>
                <w:b/>
                <w:bCs/>
                <w:color w:val="000000"/>
                <w:sz w:val="22"/>
                <w:szCs w:val="22"/>
              </w:rPr>
            </w:pPr>
            <w:r w:rsidRPr="007863C9">
              <w:rPr>
                <w:rFonts w:ascii="Calibri" w:hAnsi="Calibri"/>
                <w:b/>
                <w:bCs/>
                <w:color w:val="000000"/>
                <w:sz w:val="22"/>
                <w:szCs w:val="22"/>
              </w:rPr>
              <w:t>IP Tracer levy</w:t>
            </w:r>
          </w:p>
        </w:tc>
        <w:tc>
          <w:tcPr>
            <w:tcW w:w="2055" w:type="dxa"/>
            <w:tcBorders>
              <w:top w:val="nil"/>
              <w:left w:val="nil"/>
              <w:bottom w:val="single" w:sz="4" w:space="0" w:color="auto"/>
              <w:right w:val="single" w:sz="4" w:space="0" w:color="auto"/>
            </w:tcBorders>
            <w:vAlign w:val="center"/>
          </w:tcPr>
          <w:p w:rsidR="00312E61" w:rsidRPr="007863C9" w:rsidRDefault="00312E61" w:rsidP="007863C9">
            <w:pPr>
              <w:jc w:val="right"/>
              <w:rPr>
                <w:rFonts w:ascii="Calibri" w:hAnsi="Calibri"/>
                <w:sz w:val="22"/>
                <w:szCs w:val="22"/>
              </w:rPr>
            </w:pPr>
            <w:r w:rsidRPr="007863C9">
              <w:rPr>
                <w:rFonts w:ascii="Calibri" w:hAnsi="Calibri"/>
                <w:sz w:val="22"/>
                <w:szCs w:val="22"/>
              </w:rPr>
              <w:t>N/A</w:t>
            </w:r>
          </w:p>
        </w:tc>
        <w:tc>
          <w:tcPr>
            <w:tcW w:w="2039" w:type="dxa"/>
            <w:tcBorders>
              <w:top w:val="nil"/>
              <w:left w:val="nil"/>
              <w:bottom w:val="single" w:sz="4" w:space="0" w:color="auto"/>
              <w:right w:val="single" w:sz="4" w:space="0" w:color="auto"/>
            </w:tcBorders>
            <w:vAlign w:val="center"/>
          </w:tcPr>
          <w:p w:rsidR="00312E61" w:rsidRPr="007863C9" w:rsidRDefault="00312E61" w:rsidP="007863C9">
            <w:pPr>
              <w:jc w:val="right"/>
              <w:rPr>
                <w:rFonts w:ascii="Calibri" w:hAnsi="Calibri"/>
                <w:sz w:val="22"/>
                <w:szCs w:val="22"/>
              </w:rPr>
            </w:pPr>
            <w:r w:rsidRPr="007863C9">
              <w:rPr>
                <w:rFonts w:ascii="Calibri" w:hAnsi="Calibri"/>
                <w:sz w:val="22"/>
                <w:szCs w:val="22"/>
              </w:rPr>
              <w:t>0.01</w:t>
            </w:r>
          </w:p>
        </w:tc>
      </w:tr>
      <w:tr w:rsidR="00312E61" w:rsidRPr="007863C9" w:rsidTr="004545E3">
        <w:trPr>
          <w:trHeight w:val="300"/>
        </w:trPr>
        <w:tc>
          <w:tcPr>
            <w:tcW w:w="2780" w:type="dxa"/>
            <w:tcBorders>
              <w:top w:val="nil"/>
              <w:left w:val="single" w:sz="8" w:space="0" w:color="auto"/>
              <w:bottom w:val="single" w:sz="4" w:space="0" w:color="auto"/>
              <w:right w:val="single" w:sz="4" w:space="0" w:color="auto"/>
            </w:tcBorders>
            <w:vAlign w:val="center"/>
          </w:tcPr>
          <w:p w:rsidR="00312E61" w:rsidRPr="007863C9" w:rsidRDefault="00312E61" w:rsidP="007863C9">
            <w:pPr>
              <w:jc w:val="both"/>
              <w:rPr>
                <w:rFonts w:ascii="Calibri" w:hAnsi="Calibri"/>
                <w:b/>
                <w:bCs/>
                <w:color w:val="000000"/>
                <w:sz w:val="22"/>
                <w:szCs w:val="22"/>
              </w:rPr>
            </w:pPr>
            <w:r w:rsidRPr="007863C9">
              <w:rPr>
                <w:rFonts w:ascii="Calibri" w:hAnsi="Calibri"/>
                <w:b/>
                <w:bCs/>
                <w:color w:val="000000"/>
                <w:sz w:val="22"/>
                <w:szCs w:val="22"/>
              </w:rPr>
              <w:t>Slate levy</w:t>
            </w:r>
          </w:p>
        </w:tc>
        <w:tc>
          <w:tcPr>
            <w:tcW w:w="2055" w:type="dxa"/>
            <w:tcBorders>
              <w:top w:val="nil"/>
              <w:left w:val="nil"/>
              <w:bottom w:val="single" w:sz="4" w:space="0" w:color="auto"/>
              <w:right w:val="single" w:sz="4" w:space="0" w:color="auto"/>
            </w:tcBorders>
            <w:vAlign w:val="center"/>
          </w:tcPr>
          <w:p w:rsidR="00312E61" w:rsidRPr="007863C9" w:rsidRDefault="00312E61" w:rsidP="007863C9">
            <w:pPr>
              <w:jc w:val="right"/>
              <w:rPr>
                <w:rFonts w:ascii="Calibri" w:hAnsi="Calibri"/>
                <w:sz w:val="22"/>
                <w:szCs w:val="22"/>
              </w:rPr>
            </w:pPr>
            <w:r w:rsidRPr="007863C9">
              <w:rPr>
                <w:rFonts w:ascii="Calibri" w:hAnsi="Calibri"/>
                <w:sz w:val="22"/>
                <w:szCs w:val="22"/>
              </w:rPr>
              <w:t xml:space="preserve">                         0   </w:t>
            </w:r>
          </w:p>
        </w:tc>
        <w:tc>
          <w:tcPr>
            <w:tcW w:w="2039" w:type="dxa"/>
            <w:tcBorders>
              <w:top w:val="nil"/>
              <w:left w:val="nil"/>
              <w:bottom w:val="single" w:sz="4" w:space="0" w:color="auto"/>
              <w:right w:val="single" w:sz="4" w:space="0" w:color="auto"/>
            </w:tcBorders>
            <w:vAlign w:val="center"/>
          </w:tcPr>
          <w:p w:rsidR="00312E61" w:rsidRPr="007863C9" w:rsidRDefault="00312E61" w:rsidP="007863C9">
            <w:pPr>
              <w:jc w:val="right"/>
              <w:rPr>
                <w:rFonts w:ascii="Calibri" w:hAnsi="Calibri"/>
                <w:sz w:val="22"/>
                <w:szCs w:val="22"/>
              </w:rPr>
            </w:pPr>
            <w:r w:rsidRPr="007863C9">
              <w:rPr>
                <w:rFonts w:ascii="Calibri" w:hAnsi="Calibri"/>
                <w:sz w:val="22"/>
                <w:szCs w:val="22"/>
              </w:rPr>
              <w:t>0</w:t>
            </w:r>
          </w:p>
        </w:tc>
      </w:tr>
      <w:tr w:rsidR="00312E61" w:rsidRPr="007863C9" w:rsidTr="004545E3">
        <w:trPr>
          <w:trHeight w:val="300"/>
        </w:trPr>
        <w:tc>
          <w:tcPr>
            <w:tcW w:w="2780" w:type="dxa"/>
            <w:tcBorders>
              <w:top w:val="nil"/>
              <w:left w:val="single" w:sz="8" w:space="0" w:color="auto"/>
              <w:bottom w:val="single" w:sz="4" w:space="0" w:color="auto"/>
              <w:right w:val="single" w:sz="4" w:space="0" w:color="auto"/>
            </w:tcBorders>
            <w:vAlign w:val="center"/>
          </w:tcPr>
          <w:p w:rsidR="00312E61" w:rsidRPr="007863C9" w:rsidRDefault="00312E61" w:rsidP="007863C9">
            <w:pPr>
              <w:jc w:val="both"/>
              <w:rPr>
                <w:rFonts w:ascii="Calibri" w:hAnsi="Calibri"/>
                <w:b/>
                <w:bCs/>
                <w:color w:val="000000"/>
                <w:sz w:val="22"/>
                <w:szCs w:val="22"/>
              </w:rPr>
            </w:pPr>
            <w:r w:rsidRPr="007863C9">
              <w:rPr>
                <w:rFonts w:ascii="Calibri" w:hAnsi="Calibri"/>
                <w:b/>
                <w:bCs/>
                <w:color w:val="000000"/>
                <w:sz w:val="22"/>
                <w:szCs w:val="22"/>
              </w:rPr>
              <w:t>Petroleum Pipelines Levy</w:t>
            </w:r>
          </w:p>
        </w:tc>
        <w:tc>
          <w:tcPr>
            <w:tcW w:w="2055" w:type="dxa"/>
            <w:tcBorders>
              <w:top w:val="nil"/>
              <w:left w:val="nil"/>
              <w:bottom w:val="single" w:sz="4" w:space="0" w:color="auto"/>
              <w:right w:val="single" w:sz="4" w:space="0" w:color="auto"/>
            </w:tcBorders>
            <w:vAlign w:val="center"/>
          </w:tcPr>
          <w:p w:rsidR="00312E61" w:rsidRPr="007863C9" w:rsidRDefault="00312E61" w:rsidP="007863C9">
            <w:pPr>
              <w:jc w:val="right"/>
              <w:rPr>
                <w:rFonts w:ascii="Calibri" w:hAnsi="Calibri"/>
                <w:sz w:val="22"/>
                <w:szCs w:val="22"/>
              </w:rPr>
            </w:pPr>
            <w:r w:rsidRPr="007863C9">
              <w:rPr>
                <w:rFonts w:ascii="Calibri" w:hAnsi="Calibri"/>
                <w:sz w:val="22"/>
                <w:szCs w:val="22"/>
              </w:rPr>
              <w:t>0.15</w:t>
            </w:r>
          </w:p>
        </w:tc>
        <w:tc>
          <w:tcPr>
            <w:tcW w:w="2039" w:type="dxa"/>
            <w:tcBorders>
              <w:top w:val="nil"/>
              <w:left w:val="nil"/>
              <w:bottom w:val="single" w:sz="4" w:space="0" w:color="auto"/>
              <w:right w:val="single" w:sz="4" w:space="0" w:color="auto"/>
            </w:tcBorders>
            <w:vAlign w:val="center"/>
          </w:tcPr>
          <w:p w:rsidR="00312E61" w:rsidRPr="007863C9" w:rsidRDefault="00312E61" w:rsidP="007863C9">
            <w:pPr>
              <w:jc w:val="right"/>
              <w:rPr>
                <w:rFonts w:ascii="Calibri" w:hAnsi="Calibri"/>
                <w:sz w:val="22"/>
                <w:szCs w:val="22"/>
              </w:rPr>
            </w:pPr>
            <w:r w:rsidRPr="007863C9">
              <w:rPr>
                <w:rFonts w:ascii="Calibri" w:hAnsi="Calibri"/>
                <w:sz w:val="22"/>
                <w:szCs w:val="22"/>
              </w:rPr>
              <w:t>0.15</w:t>
            </w:r>
          </w:p>
        </w:tc>
      </w:tr>
      <w:tr w:rsidR="00312E61" w:rsidRPr="007863C9" w:rsidTr="004545E3">
        <w:trPr>
          <w:trHeight w:val="300"/>
        </w:trPr>
        <w:tc>
          <w:tcPr>
            <w:tcW w:w="2780" w:type="dxa"/>
            <w:tcBorders>
              <w:top w:val="nil"/>
              <w:left w:val="single" w:sz="8" w:space="0" w:color="auto"/>
              <w:bottom w:val="single" w:sz="4" w:space="0" w:color="auto"/>
              <w:right w:val="single" w:sz="4" w:space="0" w:color="auto"/>
            </w:tcBorders>
            <w:vAlign w:val="center"/>
          </w:tcPr>
          <w:p w:rsidR="00312E61" w:rsidRPr="007863C9" w:rsidRDefault="00312E61" w:rsidP="007863C9">
            <w:pPr>
              <w:jc w:val="both"/>
              <w:rPr>
                <w:rFonts w:ascii="Calibri" w:hAnsi="Calibri"/>
                <w:b/>
                <w:bCs/>
                <w:color w:val="000000"/>
                <w:sz w:val="22"/>
                <w:szCs w:val="22"/>
              </w:rPr>
            </w:pPr>
            <w:r w:rsidRPr="007863C9">
              <w:rPr>
                <w:rFonts w:ascii="Calibri" w:hAnsi="Calibri"/>
                <w:b/>
                <w:bCs/>
                <w:color w:val="000000"/>
                <w:sz w:val="22"/>
                <w:szCs w:val="22"/>
              </w:rPr>
              <w:t xml:space="preserve">Rounding </w:t>
            </w:r>
          </w:p>
        </w:tc>
        <w:tc>
          <w:tcPr>
            <w:tcW w:w="2055" w:type="dxa"/>
            <w:tcBorders>
              <w:top w:val="nil"/>
              <w:left w:val="nil"/>
              <w:bottom w:val="single" w:sz="4" w:space="0" w:color="auto"/>
              <w:right w:val="single" w:sz="4" w:space="0" w:color="auto"/>
            </w:tcBorders>
            <w:vAlign w:val="center"/>
          </w:tcPr>
          <w:p w:rsidR="00312E61" w:rsidRPr="007863C9" w:rsidRDefault="00312E61" w:rsidP="007863C9">
            <w:pPr>
              <w:jc w:val="right"/>
              <w:rPr>
                <w:rFonts w:ascii="Calibri" w:hAnsi="Calibri"/>
                <w:sz w:val="22"/>
                <w:szCs w:val="22"/>
              </w:rPr>
            </w:pPr>
            <w:r w:rsidRPr="007863C9">
              <w:rPr>
                <w:rFonts w:ascii="Calibri" w:hAnsi="Calibri"/>
                <w:sz w:val="22"/>
                <w:szCs w:val="22"/>
              </w:rPr>
              <w:t>0.3</w:t>
            </w:r>
          </w:p>
        </w:tc>
        <w:tc>
          <w:tcPr>
            <w:tcW w:w="2039" w:type="dxa"/>
            <w:tcBorders>
              <w:top w:val="nil"/>
              <w:left w:val="nil"/>
              <w:bottom w:val="single" w:sz="4" w:space="0" w:color="auto"/>
              <w:right w:val="single" w:sz="4" w:space="0" w:color="auto"/>
            </w:tcBorders>
            <w:vAlign w:val="center"/>
          </w:tcPr>
          <w:p w:rsidR="00312E61" w:rsidRPr="007863C9" w:rsidRDefault="00312E61" w:rsidP="007863C9">
            <w:pPr>
              <w:jc w:val="right"/>
              <w:rPr>
                <w:rFonts w:ascii="Calibri" w:hAnsi="Calibri"/>
                <w:sz w:val="22"/>
                <w:szCs w:val="22"/>
              </w:rPr>
            </w:pPr>
            <w:r w:rsidRPr="007863C9">
              <w:rPr>
                <w:rFonts w:ascii="Calibri" w:hAnsi="Calibri"/>
                <w:sz w:val="22"/>
                <w:szCs w:val="22"/>
              </w:rPr>
              <w:t> </w:t>
            </w:r>
          </w:p>
        </w:tc>
      </w:tr>
      <w:tr w:rsidR="00312E61" w:rsidRPr="007863C9" w:rsidTr="004545E3">
        <w:trPr>
          <w:trHeight w:val="300"/>
        </w:trPr>
        <w:tc>
          <w:tcPr>
            <w:tcW w:w="2780" w:type="dxa"/>
            <w:tcBorders>
              <w:top w:val="nil"/>
              <w:left w:val="single" w:sz="8" w:space="0" w:color="auto"/>
              <w:bottom w:val="single" w:sz="4" w:space="0" w:color="auto"/>
              <w:right w:val="single" w:sz="4" w:space="0" w:color="auto"/>
            </w:tcBorders>
            <w:shd w:val="clear" w:color="000000" w:fill="A6A6A6"/>
            <w:vAlign w:val="center"/>
          </w:tcPr>
          <w:p w:rsidR="00312E61" w:rsidRPr="007863C9" w:rsidRDefault="00312E61" w:rsidP="007863C9">
            <w:pPr>
              <w:jc w:val="both"/>
              <w:rPr>
                <w:rFonts w:ascii="Calibri" w:hAnsi="Calibri"/>
                <w:b/>
                <w:bCs/>
                <w:color w:val="000000"/>
                <w:sz w:val="22"/>
                <w:szCs w:val="22"/>
              </w:rPr>
            </w:pPr>
            <w:r w:rsidRPr="007863C9">
              <w:rPr>
                <w:rFonts w:ascii="Calibri" w:hAnsi="Calibri"/>
                <w:b/>
                <w:bCs/>
                <w:color w:val="000000"/>
                <w:sz w:val="22"/>
                <w:szCs w:val="22"/>
              </w:rPr>
              <w:t>Retail price</w:t>
            </w:r>
          </w:p>
        </w:tc>
        <w:tc>
          <w:tcPr>
            <w:tcW w:w="2055" w:type="dxa"/>
            <w:tcBorders>
              <w:top w:val="nil"/>
              <w:left w:val="nil"/>
              <w:bottom w:val="single" w:sz="4" w:space="0" w:color="auto"/>
              <w:right w:val="single" w:sz="4" w:space="0" w:color="auto"/>
            </w:tcBorders>
            <w:shd w:val="clear" w:color="000000" w:fill="A6A6A6"/>
            <w:vAlign w:val="center"/>
          </w:tcPr>
          <w:p w:rsidR="00312E61" w:rsidRPr="007863C9" w:rsidRDefault="00312E61" w:rsidP="007863C9">
            <w:pPr>
              <w:jc w:val="right"/>
              <w:rPr>
                <w:rFonts w:ascii="Calibri" w:hAnsi="Calibri"/>
                <w:b/>
                <w:bCs/>
                <w:sz w:val="22"/>
                <w:szCs w:val="22"/>
              </w:rPr>
            </w:pPr>
            <w:r w:rsidRPr="007863C9">
              <w:rPr>
                <w:rFonts w:ascii="Calibri" w:hAnsi="Calibri"/>
                <w:b/>
                <w:bCs/>
                <w:sz w:val="22"/>
                <w:szCs w:val="22"/>
              </w:rPr>
              <w:t xml:space="preserve">             1 308.00 </w:t>
            </w:r>
          </w:p>
        </w:tc>
        <w:tc>
          <w:tcPr>
            <w:tcW w:w="2039" w:type="dxa"/>
            <w:tcBorders>
              <w:top w:val="nil"/>
              <w:left w:val="nil"/>
              <w:bottom w:val="single" w:sz="4" w:space="0" w:color="auto"/>
              <w:right w:val="single" w:sz="4" w:space="0" w:color="auto"/>
            </w:tcBorders>
            <w:shd w:val="clear" w:color="000000" w:fill="A6A6A6"/>
            <w:vAlign w:val="center"/>
          </w:tcPr>
          <w:p w:rsidR="00312E61" w:rsidRPr="007863C9" w:rsidRDefault="00312E61" w:rsidP="007863C9">
            <w:pPr>
              <w:jc w:val="right"/>
              <w:rPr>
                <w:rFonts w:ascii="Calibri" w:hAnsi="Calibri"/>
                <w:b/>
                <w:bCs/>
                <w:sz w:val="22"/>
                <w:szCs w:val="22"/>
              </w:rPr>
            </w:pPr>
            <w:r w:rsidRPr="007863C9">
              <w:rPr>
                <w:rFonts w:ascii="Calibri" w:hAnsi="Calibri"/>
                <w:b/>
                <w:bCs/>
                <w:sz w:val="22"/>
                <w:szCs w:val="22"/>
              </w:rPr>
              <w:t> </w:t>
            </w:r>
          </w:p>
        </w:tc>
      </w:tr>
      <w:tr w:rsidR="00312E61" w:rsidRPr="007863C9" w:rsidTr="004545E3">
        <w:trPr>
          <w:trHeight w:val="315"/>
        </w:trPr>
        <w:tc>
          <w:tcPr>
            <w:tcW w:w="2780" w:type="dxa"/>
            <w:tcBorders>
              <w:top w:val="nil"/>
              <w:left w:val="single" w:sz="8" w:space="0" w:color="auto"/>
              <w:bottom w:val="single" w:sz="8" w:space="0" w:color="auto"/>
              <w:right w:val="single" w:sz="4" w:space="0" w:color="auto"/>
            </w:tcBorders>
            <w:shd w:val="clear" w:color="000000" w:fill="A6A6A6"/>
            <w:vAlign w:val="center"/>
          </w:tcPr>
          <w:p w:rsidR="00312E61" w:rsidRPr="007863C9" w:rsidRDefault="00312E61" w:rsidP="007863C9">
            <w:pPr>
              <w:jc w:val="both"/>
              <w:rPr>
                <w:rFonts w:ascii="Calibri" w:hAnsi="Calibri"/>
                <w:b/>
                <w:bCs/>
                <w:color w:val="000000"/>
                <w:sz w:val="22"/>
                <w:szCs w:val="22"/>
              </w:rPr>
            </w:pPr>
            <w:r w:rsidRPr="007863C9">
              <w:rPr>
                <w:rFonts w:ascii="Calibri" w:hAnsi="Calibri"/>
                <w:b/>
                <w:bCs/>
                <w:color w:val="000000"/>
                <w:sz w:val="22"/>
                <w:szCs w:val="22"/>
              </w:rPr>
              <w:t>Wholesale price</w:t>
            </w:r>
          </w:p>
        </w:tc>
        <w:tc>
          <w:tcPr>
            <w:tcW w:w="2055" w:type="dxa"/>
            <w:tcBorders>
              <w:top w:val="nil"/>
              <w:left w:val="nil"/>
              <w:bottom w:val="single" w:sz="8" w:space="0" w:color="auto"/>
              <w:right w:val="single" w:sz="4" w:space="0" w:color="auto"/>
            </w:tcBorders>
            <w:shd w:val="clear" w:color="000000" w:fill="A6A6A6"/>
            <w:vAlign w:val="center"/>
          </w:tcPr>
          <w:p w:rsidR="00312E61" w:rsidRPr="007863C9" w:rsidRDefault="00312E61" w:rsidP="007863C9">
            <w:pPr>
              <w:jc w:val="right"/>
              <w:rPr>
                <w:rFonts w:ascii="Calibri" w:hAnsi="Calibri"/>
                <w:b/>
                <w:bCs/>
                <w:sz w:val="22"/>
                <w:szCs w:val="22"/>
              </w:rPr>
            </w:pPr>
            <w:r w:rsidRPr="007863C9">
              <w:rPr>
                <w:rFonts w:ascii="Calibri" w:hAnsi="Calibri"/>
                <w:b/>
                <w:bCs/>
                <w:sz w:val="22"/>
                <w:szCs w:val="22"/>
              </w:rPr>
              <w:t> </w:t>
            </w:r>
          </w:p>
        </w:tc>
        <w:tc>
          <w:tcPr>
            <w:tcW w:w="2039" w:type="dxa"/>
            <w:tcBorders>
              <w:top w:val="nil"/>
              <w:left w:val="nil"/>
              <w:bottom w:val="single" w:sz="8" w:space="0" w:color="auto"/>
              <w:right w:val="single" w:sz="4" w:space="0" w:color="auto"/>
            </w:tcBorders>
            <w:shd w:val="clear" w:color="000000" w:fill="A6A6A6"/>
            <w:vAlign w:val="center"/>
          </w:tcPr>
          <w:p w:rsidR="00312E61" w:rsidRPr="007863C9" w:rsidRDefault="00312E61" w:rsidP="007863C9">
            <w:pPr>
              <w:jc w:val="right"/>
              <w:rPr>
                <w:rFonts w:ascii="Calibri" w:hAnsi="Calibri"/>
                <w:b/>
                <w:bCs/>
                <w:sz w:val="22"/>
                <w:szCs w:val="22"/>
              </w:rPr>
            </w:pPr>
            <w:r w:rsidRPr="007863C9">
              <w:rPr>
                <w:rFonts w:ascii="Calibri" w:hAnsi="Calibri"/>
                <w:b/>
                <w:bCs/>
                <w:sz w:val="22"/>
                <w:szCs w:val="22"/>
              </w:rPr>
              <w:t xml:space="preserve">                    1 166.79 </w:t>
            </w:r>
          </w:p>
        </w:tc>
      </w:tr>
    </w:tbl>
    <w:p w:rsidR="00312E61" w:rsidRPr="007863C9" w:rsidRDefault="00312E61" w:rsidP="007863C9">
      <w:pPr>
        <w:tabs>
          <w:tab w:val="left" w:pos="432"/>
          <w:tab w:val="left" w:pos="864"/>
        </w:tabs>
        <w:spacing w:line="276" w:lineRule="auto"/>
        <w:jc w:val="both"/>
        <w:rPr>
          <w:rFonts w:ascii="Arial" w:hAnsi="Arial" w:cs="Arial"/>
          <w:b/>
          <w:sz w:val="22"/>
          <w:szCs w:val="22"/>
        </w:rPr>
      </w:pPr>
    </w:p>
    <w:p w:rsidR="00312E61" w:rsidRPr="007863C9" w:rsidRDefault="00312E61" w:rsidP="007863C9">
      <w:pPr>
        <w:jc w:val="both"/>
        <w:rPr>
          <w:rFonts w:ascii="Arial" w:hAnsi="Arial" w:cs="Arial"/>
          <w:b/>
          <w:sz w:val="22"/>
          <w:szCs w:val="22"/>
        </w:rPr>
      </w:pPr>
    </w:p>
    <w:p w:rsidR="00312E61" w:rsidRPr="007863C9" w:rsidRDefault="00312E61" w:rsidP="007863C9">
      <w:pPr>
        <w:tabs>
          <w:tab w:val="left" w:pos="432"/>
          <w:tab w:val="left" w:pos="864"/>
        </w:tabs>
        <w:spacing w:line="276" w:lineRule="auto"/>
        <w:jc w:val="both"/>
        <w:rPr>
          <w:rFonts w:ascii="Arial" w:hAnsi="Arial" w:cs="Arial"/>
          <w:sz w:val="22"/>
          <w:szCs w:val="22"/>
        </w:rPr>
      </w:pPr>
      <w:r w:rsidRPr="007863C9">
        <w:rPr>
          <w:rFonts w:ascii="Arial" w:hAnsi="Arial" w:cs="Arial"/>
          <w:b/>
          <w:sz w:val="22"/>
          <w:szCs w:val="22"/>
        </w:rPr>
        <w:t xml:space="preserve">(2)  </w:t>
      </w:r>
      <w:r w:rsidRPr="007863C9">
        <w:rPr>
          <w:rFonts w:ascii="Arial" w:hAnsi="Arial" w:cs="Arial"/>
          <w:sz w:val="22"/>
          <w:szCs w:val="22"/>
        </w:rPr>
        <w:t xml:space="preserve">Fuel levy revenue </w:t>
      </w:r>
    </w:p>
    <w:p w:rsidR="00312E61" w:rsidRPr="007863C9" w:rsidRDefault="00312E61" w:rsidP="007863C9">
      <w:pPr>
        <w:tabs>
          <w:tab w:val="left" w:pos="432"/>
          <w:tab w:val="left" w:pos="864"/>
        </w:tabs>
        <w:spacing w:line="276" w:lineRule="auto"/>
        <w:jc w:val="both"/>
        <w:rPr>
          <w:rFonts w:ascii="Arial" w:hAnsi="Arial" w:cs="Arial"/>
          <w:sz w:val="22"/>
          <w:szCs w:val="22"/>
        </w:rPr>
      </w:pPr>
      <w:r w:rsidRPr="007863C9">
        <w:rPr>
          <w:rFonts w:ascii="Arial" w:hAnsi="Arial" w:cs="Arial"/>
          <w:sz w:val="22"/>
          <w:szCs w:val="22"/>
        </w:rPr>
        <w:t xml:space="preserve">The money received from the fuel levy is recorded in the relevant audited financial statements every year, and included in the appropriate Budget Review, all made available to Parliament and the public. The figures below are drawn from annual Budget Reviews. </w:t>
      </w:r>
    </w:p>
    <w:p w:rsidR="00312E61" w:rsidRDefault="00312E61">
      <w:pPr>
        <w:rPr>
          <w:rFonts w:ascii="Arial" w:hAnsi="Arial" w:cs="Arial"/>
          <w:sz w:val="22"/>
          <w:szCs w:val="22"/>
        </w:rPr>
      </w:pPr>
      <w:r>
        <w:rPr>
          <w:rFonts w:ascii="Arial" w:hAnsi="Arial" w:cs="Arial"/>
          <w:sz w:val="22"/>
          <w:szCs w:val="22"/>
        </w:rPr>
        <w:br w:type="page"/>
      </w:r>
    </w:p>
    <w:p w:rsidR="00312E61" w:rsidRPr="007863C9" w:rsidRDefault="00312E61" w:rsidP="007863C9">
      <w:pPr>
        <w:tabs>
          <w:tab w:val="left" w:pos="432"/>
          <w:tab w:val="left" w:pos="864"/>
        </w:tabs>
        <w:spacing w:line="276" w:lineRule="auto"/>
        <w:jc w:val="both"/>
        <w:rPr>
          <w:rFonts w:ascii="Arial" w:hAnsi="Arial" w:cs="Arial"/>
          <w:sz w:val="22"/>
          <w:szCs w:val="22"/>
        </w:rPr>
      </w:pPr>
    </w:p>
    <w:p w:rsidR="00312E61" w:rsidRDefault="00312E61" w:rsidP="007863C9">
      <w:pPr>
        <w:tabs>
          <w:tab w:val="left" w:pos="432"/>
          <w:tab w:val="left" w:pos="864"/>
        </w:tabs>
        <w:spacing w:line="276" w:lineRule="auto"/>
        <w:jc w:val="both"/>
        <w:rPr>
          <w:rFonts w:ascii="Arial" w:hAnsi="Arial" w:cs="Arial"/>
          <w:b/>
          <w:sz w:val="22"/>
          <w:szCs w:val="22"/>
        </w:rPr>
      </w:pPr>
      <w:r w:rsidRPr="007863C9">
        <w:rPr>
          <w:rFonts w:ascii="Arial" w:hAnsi="Arial" w:cs="Arial"/>
          <w:b/>
          <w:sz w:val="22"/>
          <w:szCs w:val="22"/>
        </w:rPr>
        <w:t xml:space="preserve">  Table 3: Revenue from the General Fuel Levy and RAF</w:t>
      </w:r>
    </w:p>
    <w:p w:rsidR="00312E61" w:rsidRPr="007863C9" w:rsidRDefault="00312E61" w:rsidP="007863C9">
      <w:pPr>
        <w:tabs>
          <w:tab w:val="left" w:pos="432"/>
          <w:tab w:val="left" w:pos="864"/>
        </w:tabs>
        <w:spacing w:line="276" w:lineRule="auto"/>
        <w:jc w:val="both"/>
        <w:rPr>
          <w:rFonts w:ascii="Arial" w:hAnsi="Arial" w:cs="Arial"/>
          <w:b/>
          <w:sz w:val="22"/>
          <w:szCs w:val="22"/>
        </w:rPr>
      </w:pPr>
    </w:p>
    <w:tbl>
      <w:tblPr>
        <w:tblW w:w="9512" w:type="dxa"/>
        <w:tblInd w:w="93" w:type="dxa"/>
        <w:tblLook w:val="00A0"/>
      </w:tblPr>
      <w:tblGrid>
        <w:gridCol w:w="2085"/>
        <w:gridCol w:w="2520"/>
        <w:gridCol w:w="2970"/>
        <w:gridCol w:w="236"/>
        <w:gridCol w:w="1701"/>
      </w:tblGrid>
      <w:tr w:rsidR="00312E61" w:rsidRPr="007863C9" w:rsidTr="00917F73">
        <w:trPr>
          <w:gridAfter w:val="2"/>
          <w:wAfter w:w="1937" w:type="dxa"/>
          <w:trHeight w:val="900"/>
        </w:trPr>
        <w:tc>
          <w:tcPr>
            <w:tcW w:w="2085" w:type="dxa"/>
            <w:tcBorders>
              <w:top w:val="single" w:sz="8" w:space="0" w:color="auto"/>
              <w:left w:val="single" w:sz="8" w:space="0" w:color="auto"/>
              <w:bottom w:val="single" w:sz="4" w:space="0" w:color="auto"/>
              <w:right w:val="single" w:sz="4" w:space="0" w:color="auto"/>
            </w:tcBorders>
            <w:noWrap/>
            <w:vAlign w:val="bottom"/>
          </w:tcPr>
          <w:p w:rsidR="00312E61" w:rsidRPr="007863C9" w:rsidRDefault="00312E61" w:rsidP="007863C9">
            <w:pPr>
              <w:jc w:val="both"/>
              <w:rPr>
                <w:rFonts w:ascii="Calibri" w:hAnsi="Calibri"/>
                <w:color w:val="000000"/>
                <w:sz w:val="22"/>
                <w:szCs w:val="22"/>
              </w:rPr>
            </w:pPr>
            <w:r w:rsidRPr="007863C9">
              <w:rPr>
                <w:rFonts w:ascii="Calibri" w:hAnsi="Calibri"/>
                <w:color w:val="000000"/>
                <w:sz w:val="22"/>
                <w:szCs w:val="22"/>
              </w:rPr>
              <w:t>R million</w:t>
            </w:r>
          </w:p>
        </w:tc>
        <w:tc>
          <w:tcPr>
            <w:tcW w:w="2520" w:type="dxa"/>
            <w:tcBorders>
              <w:top w:val="single" w:sz="8" w:space="0" w:color="auto"/>
              <w:left w:val="nil"/>
              <w:bottom w:val="single" w:sz="4" w:space="0" w:color="auto"/>
              <w:right w:val="single" w:sz="4" w:space="0" w:color="auto"/>
            </w:tcBorders>
            <w:vAlign w:val="bottom"/>
          </w:tcPr>
          <w:p w:rsidR="00312E61" w:rsidRPr="007863C9" w:rsidRDefault="00312E61" w:rsidP="007863C9">
            <w:pPr>
              <w:jc w:val="both"/>
              <w:rPr>
                <w:rFonts w:ascii="Calibri" w:hAnsi="Calibri"/>
                <w:color w:val="000000"/>
                <w:sz w:val="22"/>
                <w:szCs w:val="22"/>
              </w:rPr>
            </w:pPr>
            <w:r w:rsidRPr="007863C9">
              <w:rPr>
                <w:rFonts w:ascii="Calibri" w:hAnsi="Calibri"/>
                <w:color w:val="000000"/>
                <w:sz w:val="22"/>
                <w:szCs w:val="22"/>
              </w:rPr>
              <w:t>General Fuel Levy (net)*</w:t>
            </w:r>
          </w:p>
        </w:tc>
        <w:tc>
          <w:tcPr>
            <w:tcW w:w="2970" w:type="dxa"/>
            <w:tcBorders>
              <w:top w:val="single" w:sz="8" w:space="0" w:color="auto"/>
              <w:left w:val="nil"/>
              <w:bottom w:val="single" w:sz="4" w:space="0" w:color="auto"/>
              <w:right w:val="single" w:sz="8" w:space="0" w:color="auto"/>
            </w:tcBorders>
            <w:vAlign w:val="bottom"/>
          </w:tcPr>
          <w:p w:rsidR="00312E61" w:rsidRPr="007863C9" w:rsidRDefault="00312E61" w:rsidP="007863C9">
            <w:pPr>
              <w:jc w:val="both"/>
              <w:rPr>
                <w:rFonts w:ascii="Calibri" w:hAnsi="Calibri"/>
                <w:color w:val="000000"/>
                <w:sz w:val="22"/>
                <w:szCs w:val="22"/>
              </w:rPr>
            </w:pPr>
            <w:r w:rsidRPr="007863C9">
              <w:rPr>
                <w:rFonts w:ascii="Calibri" w:hAnsi="Calibri"/>
                <w:color w:val="000000"/>
                <w:sz w:val="22"/>
                <w:szCs w:val="22"/>
              </w:rPr>
              <w:t>Road Accident Fund Levy</w:t>
            </w:r>
          </w:p>
        </w:tc>
      </w:tr>
      <w:tr w:rsidR="00312E61" w:rsidRPr="007863C9" w:rsidTr="00917F73">
        <w:trPr>
          <w:gridAfter w:val="2"/>
          <w:wAfter w:w="1937" w:type="dxa"/>
          <w:trHeight w:val="300"/>
        </w:trPr>
        <w:tc>
          <w:tcPr>
            <w:tcW w:w="2085" w:type="dxa"/>
            <w:tcBorders>
              <w:top w:val="nil"/>
              <w:left w:val="single" w:sz="8" w:space="0" w:color="auto"/>
              <w:bottom w:val="single" w:sz="4" w:space="0" w:color="auto"/>
              <w:right w:val="single" w:sz="4" w:space="0" w:color="auto"/>
            </w:tcBorders>
            <w:noWrap/>
            <w:vAlign w:val="bottom"/>
          </w:tcPr>
          <w:p w:rsidR="00312E61" w:rsidRPr="007863C9" w:rsidRDefault="00312E61" w:rsidP="007863C9">
            <w:pPr>
              <w:jc w:val="both"/>
              <w:rPr>
                <w:rFonts w:ascii="Calibri" w:hAnsi="Calibri"/>
                <w:color w:val="000000"/>
                <w:sz w:val="22"/>
                <w:szCs w:val="22"/>
              </w:rPr>
            </w:pPr>
            <w:r w:rsidRPr="007863C9">
              <w:rPr>
                <w:rFonts w:ascii="Calibri" w:hAnsi="Calibri"/>
                <w:color w:val="000000"/>
                <w:sz w:val="22"/>
                <w:szCs w:val="22"/>
              </w:rPr>
              <w:t>2011/12 (audited)</w:t>
            </w:r>
          </w:p>
        </w:tc>
        <w:tc>
          <w:tcPr>
            <w:tcW w:w="2520" w:type="dxa"/>
            <w:tcBorders>
              <w:top w:val="nil"/>
              <w:left w:val="nil"/>
              <w:bottom w:val="single" w:sz="4" w:space="0" w:color="auto"/>
              <w:right w:val="single" w:sz="4" w:space="0" w:color="auto"/>
            </w:tcBorders>
            <w:noWrap/>
            <w:vAlign w:val="bottom"/>
          </w:tcPr>
          <w:p w:rsidR="00312E61" w:rsidRPr="007863C9" w:rsidRDefault="00312E61" w:rsidP="007863C9">
            <w:pPr>
              <w:jc w:val="both"/>
              <w:rPr>
                <w:rFonts w:ascii="Calibri" w:hAnsi="Calibri"/>
                <w:color w:val="000000"/>
                <w:sz w:val="22"/>
                <w:szCs w:val="22"/>
              </w:rPr>
            </w:pPr>
            <w:r w:rsidRPr="007863C9">
              <w:rPr>
                <w:rFonts w:ascii="Calibri" w:hAnsi="Calibri"/>
                <w:color w:val="000000"/>
                <w:sz w:val="22"/>
                <w:szCs w:val="22"/>
              </w:rPr>
              <w:t xml:space="preserve"> 36 589.07 </w:t>
            </w:r>
          </w:p>
        </w:tc>
        <w:tc>
          <w:tcPr>
            <w:tcW w:w="2970" w:type="dxa"/>
            <w:tcBorders>
              <w:top w:val="nil"/>
              <w:left w:val="nil"/>
              <w:bottom w:val="single" w:sz="4" w:space="0" w:color="auto"/>
              <w:right w:val="single" w:sz="8" w:space="0" w:color="auto"/>
            </w:tcBorders>
            <w:noWrap/>
            <w:vAlign w:val="bottom"/>
          </w:tcPr>
          <w:p w:rsidR="00312E61" w:rsidRPr="007863C9" w:rsidRDefault="00312E61" w:rsidP="007863C9">
            <w:pPr>
              <w:jc w:val="both"/>
              <w:rPr>
                <w:rFonts w:ascii="Calibri" w:hAnsi="Calibri"/>
                <w:color w:val="000000"/>
                <w:sz w:val="22"/>
                <w:szCs w:val="22"/>
              </w:rPr>
            </w:pPr>
            <w:r w:rsidRPr="007863C9">
              <w:rPr>
                <w:rFonts w:ascii="Calibri" w:hAnsi="Calibri"/>
                <w:color w:val="000000"/>
                <w:sz w:val="22"/>
                <w:szCs w:val="22"/>
              </w:rPr>
              <w:t xml:space="preserve">         16 628.02 </w:t>
            </w:r>
          </w:p>
        </w:tc>
      </w:tr>
      <w:tr w:rsidR="00312E61" w:rsidRPr="007863C9" w:rsidTr="00917F73">
        <w:trPr>
          <w:gridAfter w:val="2"/>
          <w:wAfter w:w="1937" w:type="dxa"/>
          <w:trHeight w:val="300"/>
        </w:trPr>
        <w:tc>
          <w:tcPr>
            <w:tcW w:w="2085" w:type="dxa"/>
            <w:tcBorders>
              <w:top w:val="nil"/>
              <w:left w:val="single" w:sz="8" w:space="0" w:color="auto"/>
              <w:bottom w:val="single" w:sz="4" w:space="0" w:color="auto"/>
              <w:right w:val="single" w:sz="4" w:space="0" w:color="auto"/>
            </w:tcBorders>
            <w:noWrap/>
            <w:vAlign w:val="bottom"/>
          </w:tcPr>
          <w:p w:rsidR="00312E61" w:rsidRPr="007863C9" w:rsidRDefault="00312E61" w:rsidP="007863C9">
            <w:pPr>
              <w:jc w:val="both"/>
              <w:rPr>
                <w:rFonts w:ascii="Calibri" w:hAnsi="Calibri"/>
                <w:color w:val="000000"/>
                <w:sz w:val="22"/>
                <w:szCs w:val="22"/>
              </w:rPr>
            </w:pPr>
            <w:r w:rsidRPr="007863C9">
              <w:rPr>
                <w:rFonts w:ascii="Calibri" w:hAnsi="Calibri"/>
                <w:color w:val="000000"/>
                <w:sz w:val="22"/>
                <w:szCs w:val="22"/>
              </w:rPr>
              <w:t>2012/13</w:t>
            </w:r>
          </w:p>
          <w:p w:rsidR="00312E61" w:rsidRPr="007863C9" w:rsidRDefault="00312E61" w:rsidP="007863C9">
            <w:pPr>
              <w:jc w:val="both"/>
              <w:rPr>
                <w:rFonts w:ascii="Calibri" w:hAnsi="Calibri"/>
                <w:color w:val="000000"/>
                <w:sz w:val="22"/>
                <w:szCs w:val="22"/>
              </w:rPr>
            </w:pPr>
            <w:r w:rsidRPr="007863C9">
              <w:rPr>
                <w:rFonts w:ascii="Calibri" w:hAnsi="Calibri"/>
                <w:color w:val="000000"/>
                <w:sz w:val="22"/>
                <w:szCs w:val="22"/>
              </w:rPr>
              <w:t>(audited)</w:t>
            </w:r>
          </w:p>
        </w:tc>
        <w:tc>
          <w:tcPr>
            <w:tcW w:w="2520" w:type="dxa"/>
            <w:tcBorders>
              <w:top w:val="nil"/>
              <w:left w:val="nil"/>
              <w:bottom w:val="single" w:sz="4" w:space="0" w:color="auto"/>
              <w:right w:val="single" w:sz="4" w:space="0" w:color="auto"/>
            </w:tcBorders>
            <w:noWrap/>
            <w:vAlign w:val="bottom"/>
          </w:tcPr>
          <w:p w:rsidR="00312E61" w:rsidRPr="007863C9" w:rsidRDefault="00312E61" w:rsidP="007863C9">
            <w:pPr>
              <w:jc w:val="both"/>
              <w:rPr>
                <w:rFonts w:ascii="Calibri" w:hAnsi="Calibri"/>
                <w:color w:val="000000"/>
                <w:sz w:val="22"/>
                <w:szCs w:val="22"/>
              </w:rPr>
            </w:pPr>
            <w:r w:rsidRPr="007863C9">
              <w:rPr>
                <w:rFonts w:ascii="Calibri" w:hAnsi="Calibri"/>
                <w:color w:val="000000"/>
                <w:sz w:val="22"/>
                <w:szCs w:val="22"/>
              </w:rPr>
              <w:t xml:space="preserve"> 40 320.20 </w:t>
            </w:r>
          </w:p>
        </w:tc>
        <w:tc>
          <w:tcPr>
            <w:tcW w:w="2970" w:type="dxa"/>
            <w:tcBorders>
              <w:top w:val="nil"/>
              <w:left w:val="nil"/>
              <w:bottom w:val="single" w:sz="4" w:space="0" w:color="auto"/>
              <w:right w:val="single" w:sz="8" w:space="0" w:color="auto"/>
            </w:tcBorders>
            <w:noWrap/>
            <w:vAlign w:val="bottom"/>
          </w:tcPr>
          <w:p w:rsidR="00312E61" w:rsidRPr="007863C9" w:rsidRDefault="00312E61" w:rsidP="007863C9">
            <w:pPr>
              <w:jc w:val="both"/>
              <w:rPr>
                <w:rFonts w:ascii="Calibri" w:hAnsi="Calibri"/>
                <w:color w:val="000000"/>
                <w:sz w:val="22"/>
                <w:szCs w:val="22"/>
              </w:rPr>
            </w:pPr>
            <w:r w:rsidRPr="007863C9">
              <w:rPr>
                <w:rFonts w:ascii="Calibri" w:hAnsi="Calibri"/>
                <w:color w:val="000000"/>
                <w:sz w:val="22"/>
                <w:szCs w:val="22"/>
              </w:rPr>
              <w:t xml:space="preserve">         17 621.42 </w:t>
            </w:r>
          </w:p>
        </w:tc>
      </w:tr>
      <w:tr w:rsidR="00312E61" w:rsidRPr="007863C9" w:rsidTr="00917F73">
        <w:trPr>
          <w:gridAfter w:val="2"/>
          <w:wAfter w:w="1937" w:type="dxa"/>
          <w:trHeight w:val="300"/>
        </w:trPr>
        <w:tc>
          <w:tcPr>
            <w:tcW w:w="2085" w:type="dxa"/>
            <w:tcBorders>
              <w:top w:val="nil"/>
              <w:left w:val="single" w:sz="8" w:space="0" w:color="auto"/>
              <w:bottom w:val="single" w:sz="4" w:space="0" w:color="auto"/>
              <w:right w:val="single" w:sz="4" w:space="0" w:color="auto"/>
            </w:tcBorders>
            <w:noWrap/>
            <w:vAlign w:val="bottom"/>
          </w:tcPr>
          <w:p w:rsidR="00312E61" w:rsidRPr="007863C9" w:rsidRDefault="00312E61" w:rsidP="007863C9">
            <w:pPr>
              <w:jc w:val="both"/>
              <w:rPr>
                <w:rFonts w:ascii="Calibri" w:hAnsi="Calibri"/>
                <w:color w:val="000000"/>
                <w:sz w:val="22"/>
                <w:szCs w:val="22"/>
              </w:rPr>
            </w:pPr>
            <w:r w:rsidRPr="007863C9">
              <w:rPr>
                <w:rFonts w:ascii="Calibri" w:hAnsi="Calibri"/>
                <w:color w:val="000000"/>
                <w:sz w:val="22"/>
                <w:szCs w:val="22"/>
              </w:rPr>
              <w:t>2013/14</w:t>
            </w:r>
          </w:p>
          <w:p w:rsidR="00312E61" w:rsidRPr="007863C9" w:rsidRDefault="00312E61" w:rsidP="007863C9">
            <w:pPr>
              <w:jc w:val="both"/>
              <w:rPr>
                <w:rFonts w:ascii="Calibri" w:hAnsi="Calibri"/>
                <w:color w:val="000000"/>
                <w:sz w:val="22"/>
                <w:szCs w:val="22"/>
              </w:rPr>
            </w:pPr>
            <w:r w:rsidRPr="007863C9">
              <w:rPr>
                <w:rFonts w:ascii="Calibri" w:hAnsi="Calibri"/>
                <w:color w:val="000000"/>
                <w:sz w:val="22"/>
                <w:szCs w:val="22"/>
              </w:rPr>
              <w:t>(audited)</w:t>
            </w:r>
          </w:p>
        </w:tc>
        <w:tc>
          <w:tcPr>
            <w:tcW w:w="2520" w:type="dxa"/>
            <w:tcBorders>
              <w:top w:val="nil"/>
              <w:left w:val="nil"/>
              <w:bottom w:val="single" w:sz="4" w:space="0" w:color="auto"/>
              <w:right w:val="single" w:sz="4" w:space="0" w:color="auto"/>
            </w:tcBorders>
            <w:noWrap/>
            <w:vAlign w:val="bottom"/>
          </w:tcPr>
          <w:p w:rsidR="00312E61" w:rsidRPr="007863C9" w:rsidRDefault="00312E61" w:rsidP="007863C9">
            <w:pPr>
              <w:jc w:val="both"/>
              <w:rPr>
                <w:rFonts w:ascii="Calibri" w:hAnsi="Calibri"/>
                <w:color w:val="000000"/>
                <w:sz w:val="22"/>
                <w:szCs w:val="22"/>
              </w:rPr>
            </w:pPr>
            <w:r w:rsidRPr="007863C9">
              <w:rPr>
                <w:rFonts w:ascii="Calibri" w:hAnsi="Calibri"/>
                <w:color w:val="000000"/>
                <w:sz w:val="22"/>
                <w:szCs w:val="22"/>
              </w:rPr>
              <w:t xml:space="preserve"> 43 684.65 </w:t>
            </w:r>
          </w:p>
        </w:tc>
        <w:tc>
          <w:tcPr>
            <w:tcW w:w="2970" w:type="dxa"/>
            <w:tcBorders>
              <w:top w:val="nil"/>
              <w:left w:val="nil"/>
              <w:bottom w:val="single" w:sz="4" w:space="0" w:color="auto"/>
              <w:right w:val="single" w:sz="8" w:space="0" w:color="auto"/>
            </w:tcBorders>
            <w:noWrap/>
            <w:vAlign w:val="bottom"/>
          </w:tcPr>
          <w:p w:rsidR="00312E61" w:rsidRPr="007863C9" w:rsidRDefault="00312E61" w:rsidP="007863C9">
            <w:pPr>
              <w:jc w:val="both"/>
              <w:rPr>
                <w:rFonts w:ascii="Calibri" w:hAnsi="Calibri"/>
                <w:color w:val="000000"/>
                <w:sz w:val="22"/>
                <w:szCs w:val="22"/>
              </w:rPr>
            </w:pPr>
            <w:r w:rsidRPr="007863C9">
              <w:rPr>
                <w:rFonts w:ascii="Calibri" w:hAnsi="Calibri"/>
                <w:color w:val="000000"/>
                <w:sz w:val="22"/>
                <w:szCs w:val="22"/>
              </w:rPr>
              <w:t xml:space="preserve">         19 961.98 </w:t>
            </w:r>
          </w:p>
        </w:tc>
      </w:tr>
      <w:tr w:rsidR="00312E61" w:rsidRPr="007863C9" w:rsidTr="00917F73">
        <w:trPr>
          <w:gridAfter w:val="2"/>
          <w:wAfter w:w="1937" w:type="dxa"/>
          <w:trHeight w:val="315"/>
        </w:trPr>
        <w:tc>
          <w:tcPr>
            <w:tcW w:w="2085" w:type="dxa"/>
            <w:tcBorders>
              <w:top w:val="nil"/>
              <w:left w:val="single" w:sz="8" w:space="0" w:color="auto"/>
              <w:bottom w:val="single" w:sz="8" w:space="0" w:color="auto"/>
              <w:right w:val="single" w:sz="4" w:space="0" w:color="auto"/>
            </w:tcBorders>
            <w:noWrap/>
            <w:vAlign w:val="bottom"/>
          </w:tcPr>
          <w:p w:rsidR="00312E61" w:rsidRPr="007863C9" w:rsidRDefault="00312E61" w:rsidP="007863C9">
            <w:pPr>
              <w:jc w:val="both"/>
              <w:rPr>
                <w:rFonts w:ascii="Calibri" w:hAnsi="Calibri"/>
                <w:color w:val="000000"/>
                <w:sz w:val="22"/>
                <w:szCs w:val="22"/>
              </w:rPr>
            </w:pPr>
            <w:r w:rsidRPr="007863C9">
              <w:rPr>
                <w:rFonts w:ascii="Calibri" w:hAnsi="Calibri"/>
                <w:color w:val="000000"/>
                <w:sz w:val="22"/>
                <w:szCs w:val="22"/>
              </w:rPr>
              <w:t>2014/15</w:t>
            </w:r>
          </w:p>
          <w:p w:rsidR="00312E61" w:rsidRPr="007863C9" w:rsidRDefault="00312E61" w:rsidP="007863C9">
            <w:pPr>
              <w:jc w:val="both"/>
              <w:rPr>
                <w:rFonts w:ascii="Calibri" w:hAnsi="Calibri"/>
                <w:color w:val="000000"/>
                <w:sz w:val="22"/>
                <w:szCs w:val="22"/>
              </w:rPr>
            </w:pPr>
            <w:r w:rsidRPr="007863C9">
              <w:rPr>
                <w:rFonts w:ascii="Calibri" w:hAnsi="Calibri"/>
                <w:color w:val="000000"/>
                <w:sz w:val="22"/>
                <w:szCs w:val="22"/>
              </w:rPr>
              <w:t>(estimate)</w:t>
            </w:r>
          </w:p>
        </w:tc>
        <w:tc>
          <w:tcPr>
            <w:tcW w:w="2520" w:type="dxa"/>
            <w:tcBorders>
              <w:top w:val="nil"/>
              <w:left w:val="nil"/>
              <w:bottom w:val="single" w:sz="8" w:space="0" w:color="auto"/>
              <w:right w:val="single" w:sz="4" w:space="0" w:color="auto"/>
            </w:tcBorders>
            <w:noWrap/>
            <w:vAlign w:val="bottom"/>
          </w:tcPr>
          <w:p w:rsidR="00312E61" w:rsidRPr="007863C9" w:rsidRDefault="00312E61" w:rsidP="007863C9">
            <w:pPr>
              <w:jc w:val="both"/>
              <w:rPr>
                <w:rFonts w:ascii="Calibri" w:hAnsi="Calibri"/>
                <w:color w:val="000000"/>
                <w:sz w:val="22"/>
                <w:szCs w:val="22"/>
              </w:rPr>
            </w:pPr>
            <w:r w:rsidRPr="007863C9">
              <w:rPr>
                <w:rFonts w:ascii="Calibri" w:hAnsi="Calibri"/>
                <w:color w:val="000000"/>
                <w:sz w:val="22"/>
                <w:szCs w:val="22"/>
              </w:rPr>
              <w:t xml:space="preserve"> 48 466.52</w:t>
            </w:r>
          </w:p>
        </w:tc>
        <w:tc>
          <w:tcPr>
            <w:tcW w:w="2970" w:type="dxa"/>
            <w:tcBorders>
              <w:top w:val="nil"/>
              <w:left w:val="nil"/>
              <w:bottom w:val="single" w:sz="8" w:space="0" w:color="auto"/>
              <w:right w:val="single" w:sz="8" w:space="0" w:color="auto"/>
            </w:tcBorders>
            <w:noWrap/>
            <w:vAlign w:val="bottom"/>
          </w:tcPr>
          <w:p w:rsidR="00312E61" w:rsidRPr="007863C9" w:rsidRDefault="00312E61" w:rsidP="007863C9">
            <w:pPr>
              <w:jc w:val="both"/>
              <w:rPr>
                <w:rFonts w:ascii="Calibri" w:hAnsi="Calibri"/>
                <w:color w:val="000000"/>
                <w:sz w:val="22"/>
                <w:szCs w:val="22"/>
              </w:rPr>
            </w:pPr>
            <w:r w:rsidRPr="007863C9">
              <w:rPr>
                <w:rFonts w:ascii="Calibri" w:hAnsi="Calibri"/>
                <w:color w:val="000000"/>
                <w:sz w:val="22"/>
                <w:szCs w:val="22"/>
              </w:rPr>
              <w:t xml:space="preserve">         22 038.71 </w:t>
            </w:r>
          </w:p>
        </w:tc>
      </w:tr>
      <w:tr w:rsidR="00312E61" w:rsidRPr="007863C9" w:rsidTr="00917F73">
        <w:trPr>
          <w:gridAfter w:val="2"/>
          <w:wAfter w:w="1937" w:type="dxa"/>
          <w:trHeight w:val="315"/>
        </w:trPr>
        <w:tc>
          <w:tcPr>
            <w:tcW w:w="7575" w:type="dxa"/>
            <w:gridSpan w:val="3"/>
            <w:tcBorders>
              <w:top w:val="single" w:sz="8" w:space="0" w:color="auto"/>
              <w:left w:val="single" w:sz="8" w:space="0" w:color="auto"/>
              <w:bottom w:val="single" w:sz="8" w:space="0" w:color="auto"/>
              <w:right w:val="single" w:sz="8" w:space="0" w:color="000000"/>
            </w:tcBorders>
            <w:noWrap/>
            <w:vAlign w:val="bottom"/>
          </w:tcPr>
          <w:p w:rsidR="00312E61" w:rsidRPr="007863C9" w:rsidRDefault="00312E61" w:rsidP="007863C9">
            <w:pPr>
              <w:jc w:val="both"/>
              <w:rPr>
                <w:rFonts w:ascii="Calibri" w:hAnsi="Calibri"/>
                <w:color w:val="000000"/>
                <w:sz w:val="22"/>
                <w:szCs w:val="22"/>
              </w:rPr>
            </w:pPr>
            <w:r w:rsidRPr="007863C9">
              <w:rPr>
                <w:rFonts w:ascii="Calibri" w:hAnsi="Calibri"/>
                <w:color w:val="000000"/>
                <w:sz w:val="22"/>
                <w:szCs w:val="22"/>
              </w:rPr>
              <w:t>* Net of diesel refunds </w:t>
            </w:r>
          </w:p>
        </w:tc>
      </w:tr>
      <w:tr w:rsidR="00312E61" w:rsidRPr="007863C9" w:rsidTr="00917F73">
        <w:trPr>
          <w:trHeight w:val="300"/>
        </w:trPr>
        <w:tc>
          <w:tcPr>
            <w:tcW w:w="7575" w:type="dxa"/>
            <w:gridSpan w:val="3"/>
            <w:tcBorders>
              <w:top w:val="nil"/>
              <w:left w:val="nil"/>
              <w:bottom w:val="nil"/>
              <w:right w:val="nil"/>
            </w:tcBorders>
            <w:noWrap/>
            <w:vAlign w:val="bottom"/>
          </w:tcPr>
          <w:p w:rsidR="00312E61" w:rsidRPr="007863C9" w:rsidRDefault="00312E61" w:rsidP="007863C9">
            <w:pPr>
              <w:jc w:val="both"/>
              <w:rPr>
                <w:rFonts w:ascii="Calibri" w:hAnsi="Calibri"/>
                <w:b/>
                <w:color w:val="000000"/>
                <w:sz w:val="22"/>
                <w:szCs w:val="22"/>
              </w:rPr>
            </w:pPr>
            <w:r w:rsidRPr="007863C9">
              <w:rPr>
                <w:rFonts w:ascii="Calibri" w:hAnsi="Calibri"/>
                <w:b/>
                <w:color w:val="000000"/>
                <w:sz w:val="22"/>
                <w:szCs w:val="22"/>
              </w:rPr>
              <w:t>Source: Budget Review</w:t>
            </w:r>
          </w:p>
          <w:p w:rsidR="00312E61" w:rsidRPr="007863C9" w:rsidRDefault="00312E61" w:rsidP="007863C9">
            <w:pPr>
              <w:jc w:val="both"/>
              <w:rPr>
                <w:rFonts w:ascii="Calibri" w:hAnsi="Calibri"/>
                <w:b/>
                <w:color w:val="000000"/>
                <w:sz w:val="22"/>
                <w:szCs w:val="22"/>
              </w:rPr>
            </w:pPr>
          </w:p>
          <w:p w:rsidR="00312E61" w:rsidRPr="007863C9" w:rsidRDefault="00312E61" w:rsidP="007863C9">
            <w:pPr>
              <w:ind w:right="-738"/>
              <w:jc w:val="both"/>
              <w:rPr>
                <w:rFonts w:ascii="Arial" w:hAnsi="Arial" w:cs="Arial"/>
                <w:b/>
                <w:color w:val="000000"/>
                <w:sz w:val="22"/>
                <w:szCs w:val="22"/>
              </w:rPr>
            </w:pPr>
            <w:r w:rsidRPr="007863C9">
              <w:rPr>
                <w:rFonts w:ascii="Arial" w:hAnsi="Arial" w:cs="Arial"/>
                <w:b/>
                <w:color w:val="000000"/>
                <w:sz w:val="22"/>
                <w:szCs w:val="22"/>
              </w:rPr>
              <w:t xml:space="preserve">Table 4: Initial estimate of revenue collected since 1 April 2015 to 31 May 2015   </w:t>
            </w:r>
          </w:p>
        </w:tc>
        <w:tc>
          <w:tcPr>
            <w:tcW w:w="236" w:type="dxa"/>
            <w:tcBorders>
              <w:top w:val="nil"/>
              <w:left w:val="nil"/>
              <w:bottom w:val="nil"/>
              <w:right w:val="nil"/>
            </w:tcBorders>
            <w:noWrap/>
            <w:vAlign w:val="bottom"/>
          </w:tcPr>
          <w:p w:rsidR="00312E61" w:rsidRPr="007863C9" w:rsidRDefault="00312E61" w:rsidP="007863C9">
            <w:pPr>
              <w:jc w:val="both"/>
              <w:rPr>
                <w:rFonts w:ascii="Calibri" w:hAnsi="Calibri"/>
                <w:color w:val="000000"/>
                <w:sz w:val="22"/>
                <w:szCs w:val="22"/>
              </w:rPr>
            </w:pPr>
          </w:p>
        </w:tc>
        <w:tc>
          <w:tcPr>
            <w:tcW w:w="1701" w:type="dxa"/>
            <w:tcBorders>
              <w:top w:val="nil"/>
              <w:left w:val="nil"/>
              <w:bottom w:val="nil"/>
              <w:right w:val="nil"/>
            </w:tcBorders>
            <w:noWrap/>
            <w:vAlign w:val="bottom"/>
          </w:tcPr>
          <w:p w:rsidR="00312E61" w:rsidRPr="007863C9" w:rsidRDefault="00312E61" w:rsidP="007863C9">
            <w:pPr>
              <w:jc w:val="both"/>
              <w:rPr>
                <w:rFonts w:ascii="Calibri" w:hAnsi="Calibri"/>
                <w:color w:val="000000"/>
                <w:sz w:val="22"/>
                <w:szCs w:val="22"/>
              </w:rPr>
            </w:pPr>
            <w:bookmarkStart w:id="1" w:name="_GoBack"/>
            <w:bookmarkEnd w:id="1"/>
          </w:p>
        </w:tc>
      </w:tr>
      <w:tr w:rsidR="00312E61" w:rsidRPr="007863C9" w:rsidTr="00917F73">
        <w:trPr>
          <w:gridAfter w:val="2"/>
          <w:wAfter w:w="1937" w:type="dxa"/>
          <w:trHeight w:val="300"/>
        </w:trPr>
        <w:tc>
          <w:tcPr>
            <w:tcW w:w="2085" w:type="dxa"/>
            <w:tcBorders>
              <w:top w:val="single" w:sz="4" w:space="0" w:color="auto"/>
              <w:left w:val="single" w:sz="4" w:space="0" w:color="auto"/>
              <w:bottom w:val="single" w:sz="4" w:space="0" w:color="auto"/>
              <w:right w:val="single" w:sz="4" w:space="0" w:color="auto"/>
            </w:tcBorders>
            <w:noWrap/>
            <w:vAlign w:val="bottom"/>
          </w:tcPr>
          <w:p w:rsidR="00312E61" w:rsidRPr="007863C9" w:rsidRDefault="00312E61" w:rsidP="007863C9">
            <w:pPr>
              <w:jc w:val="both"/>
              <w:rPr>
                <w:rFonts w:ascii="Calibri" w:hAnsi="Calibri"/>
                <w:color w:val="000000"/>
                <w:sz w:val="22"/>
                <w:szCs w:val="22"/>
              </w:rPr>
            </w:pPr>
            <w:r w:rsidRPr="007863C9">
              <w:rPr>
                <w:rFonts w:ascii="Calibri" w:hAnsi="Calibri"/>
                <w:color w:val="000000"/>
                <w:sz w:val="22"/>
                <w:szCs w:val="22"/>
              </w:rPr>
              <w:t>2015/16</w:t>
            </w:r>
            <w:r w:rsidRPr="007863C9">
              <w:rPr>
                <w:rFonts w:ascii="Calibri" w:hAnsi="Calibri"/>
                <w:color w:val="000000"/>
                <w:sz w:val="22"/>
                <w:szCs w:val="22"/>
                <w:vertAlign w:val="superscript"/>
              </w:rPr>
              <w:t>#</w:t>
            </w:r>
          </w:p>
        </w:tc>
        <w:tc>
          <w:tcPr>
            <w:tcW w:w="2520" w:type="dxa"/>
            <w:tcBorders>
              <w:top w:val="single" w:sz="4" w:space="0" w:color="auto"/>
              <w:left w:val="nil"/>
              <w:bottom w:val="single" w:sz="4" w:space="0" w:color="auto"/>
              <w:right w:val="single" w:sz="4" w:space="0" w:color="auto"/>
            </w:tcBorders>
            <w:noWrap/>
            <w:vAlign w:val="bottom"/>
          </w:tcPr>
          <w:p w:rsidR="00312E61" w:rsidRPr="007863C9" w:rsidRDefault="00312E61" w:rsidP="007863C9">
            <w:pPr>
              <w:jc w:val="both"/>
              <w:rPr>
                <w:rFonts w:ascii="Calibri" w:hAnsi="Calibri"/>
                <w:color w:val="000000"/>
                <w:sz w:val="22"/>
                <w:szCs w:val="22"/>
              </w:rPr>
            </w:pPr>
            <w:r w:rsidRPr="007863C9">
              <w:rPr>
                <w:rFonts w:ascii="Calibri" w:hAnsi="Calibri"/>
                <w:color w:val="000000"/>
                <w:sz w:val="22"/>
                <w:szCs w:val="22"/>
              </w:rPr>
              <w:t xml:space="preserve">    8 602.88 </w:t>
            </w:r>
          </w:p>
        </w:tc>
        <w:tc>
          <w:tcPr>
            <w:tcW w:w="2970" w:type="dxa"/>
            <w:tcBorders>
              <w:top w:val="single" w:sz="4" w:space="0" w:color="auto"/>
              <w:left w:val="nil"/>
              <w:bottom w:val="single" w:sz="4" w:space="0" w:color="auto"/>
              <w:right w:val="single" w:sz="4" w:space="0" w:color="auto"/>
            </w:tcBorders>
            <w:noWrap/>
            <w:vAlign w:val="bottom"/>
          </w:tcPr>
          <w:p w:rsidR="00312E61" w:rsidRPr="007863C9" w:rsidRDefault="00312E61" w:rsidP="007863C9">
            <w:pPr>
              <w:jc w:val="both"/>
              <w:rPr>
                <w:rFonts w:ascii="Calibri" w:hAnsi="Calibri"/>
                <w:color w:val="000000"/>
                <w:sz w:val="22"/>
                <w:szCs w:val="22"/>
              </w:rPr>
            </w:pPr>
            <w:r w:rsidRPr="007863C9">
              <w:rPr>
                <w:rFonts w:ascii="Calibri" w:hAnsi="Calibri"/>
                <w:color w:val="000000"/>
                <w:sz w:val="22"/>
                <w:szCs w:val="22"/>
              </w:rPr>
              <w:t xml:space="preserve">            4 364.56 </w:t>
            </w:r>
          </w:p>
        </w:tc>
      </w:tr>
      <w:tr w:rsidR="00312E61" w:rsidRPr="007863C9" w:rsidTr="00AF3154">
        <w:trPr>
          <w:gridAfter w:val="2"/>
          <w:wAfter w:w="1937" w:type="dxa"/>
          <w:trHeight w:val="300"/>
        </w:trPr>
        <w:tc>
          <w:tcPr>
            <w:tcW w:w="7575" w:type="dxa"/>
            <w:gridSpan w:val="3"/>
            <w:tcBorders>
              <w:top w:val="single" w:sz="4" w:space="0" w:color="auto"/>
              <w:left w:val="single" w:sz="4" w:space="0" w:color="auto"/>
              <w:bottom w:val="single" w:sz="4" w:space="0" w:color="auto"/>
              <w:right w:val="single" w:sz="4" w:space="0" w:color="auto"/>
            </w:tcBorders>
            <w:noWrap/>
            <w:vAlign w:val="bottom"/>
          </w:tcPr>
          <w:p w:rsidR="00312E61" w:rsidRPr="007863C9" w:rsidRDefault="00312E61" w:rsidP="007863C9">
            <w:pPr>
              <w:jc w:val="both"/>
              <w:rPr>
                <w:rFonts w:ascii="Calibri" w:hAnsi="Calibri"/>
                <w:color w:val="000000"/>
                <w:sz w:val="22"/>
                <w:szCs w:val="22"/>
              </w:rPr>
            </w:pPr>
            <w:r w:rsidRPr="007863C9">
              <w:rPr>
                <w:rFonts w:ascii="Calibri" w:hAnsi="Calibri"/>
                <w:color w:val="000000"/>
                <w:sz w:val="22"/>
                <w:szCs w:val="22"/>
              </w:rPr>
              <w:t>Revenue from 1 April  2015 to May 2015 </w:t>
            </w:r>
          </w:p>
        </w:tc>
      </w:tr>
      <w:tr w:rsidR="00312E61" w:rsidRPr="007863C9" w:rsidTr="00AF3154">
        <w:trPr>
          <w:gridAfter w:val="2"/>
          <w:wAfter w:w="1937" w:type="dxa"/>
          <w:trHeight w:val="300"/>
        </w:trPr>
        <w:tc>
          <w:tcPr>
            <w:tcW w:w="7575" w:type="dxa"/>
            <w:gridSpan w:val="3"/>
            <w:tcBorders>
              <w:top w:val="single" w:sz="4" w:space="0" w:color="auto"/>
            </w:tcBorders>
            <w:noWrap/>
            <w:vAlign w:val="bottom"/>
          </w:tcPr>
          <w:p w:rsidR="00312E61" w:rsidRPr="007863C9" w:rsidRDefault="00312E61" w:rsidP="007863C9">
            <w:pPr>
              <w:jc w:val="both"/>
              <w:rPr>
                <w:rFonts w:ascii="Calibri" w:hAnsi="Calibri"/>
                <w:b/>
                <w:color w:val="000000"/>
                <w:sz w:val="22"/>
                <w:szCs w:val="22"/>
              </w:rPr>
            </w:pPr>
            <w:r w:rsidRPr="007863C9">
              <w:rPr>
                <w:rFonts w:ascii="Calibri" w:hAnsi="Calibri"/>
                <w:b/>
                <w:color w:val="000000"/>
                <w:sz w:val="22"/>
                <w:szCs w:val="22"/>
              </w:rPr>
              <w:t>Source: Statement of the National Revenue, Expenditure and Borrowing as at 31 May 2015 issued by the DG: National Treasury</w:t>
            </w:r>
          </w:p>
        </w:tc>
      </w:tr>
    </w:tbl>
    <w:p w:rsidR="00312E61" w:rsidRPr="007863C9" w:rsidRDefault="00312E61" w:rsidP="007863C9">
      <w:pPr>
        <w:jc w:val="both"/>
        <w:rPr>
          <w:rFonts w:ascii="Calibri" w:hAnsi="Calibri"/>
          <w:b/>
          <w:color w:val="000000"/>
          <w:sz w:val="22"/>
          <w:szCs w:val="22"/>
        </w:rPr>
      </w:pPr>
    </w:p>
    <w:p w:rsidR="00312E61" w:rsidRDefault="00312E61" w:rsidP="007863C9">
      <w:pPr>
        <w:tabs>
          <w:tab w:val="left" w:pos="432"/>
          <w:tab w:val="left" w:pos="864"/>
        </w:tabs>
        <w:spacing w:line="276" w:lineRule="auto"/>
        <w:jc w:val="both"/>
        <w:rPr>
          <w:rFonts w:ascii="Arial" w:hAnsi="Arial" w:cs="Arial"/>
          <w:b/>
          <w:sz w:val="22"/>
          <w:szCs w:val="22"/>
        </w:rPr>
      </w:pPr>
    </w:p>
    <w:p w:rsidR="00312E61" w:rsidRPr="007863C9" w:rsidRDefault="00312E61" w:rsidP="007863C9">
      <w:pPr>
        <w:tabs>
          <w:tab w:val="left" w:pos="432"/>
          <w:tab w:val="left" w:pos="864"/>
        </w:tabs>
        <w:spacing w:line="276" w:lineRule="auto"/>
        <w:jc w:val="both"/>
        <w:rPr>
          <w:rFonts w:ascii="Arial" w:hAnsi="Arial" w:cs="Arial"/>
          <w:sz w:val="22"/>
          <w:szCs w:val="22"/>
        </w:rPr>
      </w:pPr>
      <w:r w:rsidRPr="007863C9">
        <w:rPr>
          <w:rFonts w:ascii="Arial" w:hAnsi="Arial" w:cs="Arial"/>
          <w:b/>
          <w:sz w:val="22"/>
          <w:szCs w:val="22"/>
        </w:rPr>
        <w:t xml:space="preserve">(3) </w:t>
      </w:r>
      <w:r w:rsidRPr="007863C9">
        <w:rPr>
          <w:rFonts w:ascii="Arial" w:hAnsi="Arial" w:cs="Arial"/>
          <w:sz w:val="22"/>
          <w:szCs w:val="22"/>
        </w:rPr>
        <w:t>No, as noted in the Budget Review and other budget documents every year, there is no money received from the fuel levy that is ring-fenced for the maintenance of roads. The building and maintenance of roads is done by departments or agencies in all three spheres of government, and is appropriated in national and provincial laws and municipal budgets. The amounts spent directly by the national government on the maintenance of roads are appropriated from the National Revenue Fund, and the budget information is provided below. A national entity like SANRAL also funds maintenance of certain roads, using budgetary funds and revenue it may collect. The actual funds spent per year on the maintenance of roads requires the Honourable Member to consider the budgets and annual reports of all organs of state involved with road funding in all three spheres of government.</w:t>
      </w:r>
    </w:p>
    <w:p w:rsidR="00312E61" w:rsidRPr="007863C9" w:rsidRDefault="00312E61" w:rsidP="007863C9">
      <w:pPr>
        <w:tabs>
          <w:tab w:val="left" w:pos="432"/>
          <w:tab w:val="left" w:pos="864"/>
        </w:tabs>
        <w:spacing w:line="276" w:lineRule="auto"/>
        <w:jc w:val="both"/>
        <w:rPr>
          <w:rFonts w:ascii="Arial" w:hAnsi="Arial" w:cs="Arial"/>
          <w:sz w:val="22"/>
          <w:szCs w:val="22"/>
        </w:rPr>
      </w:pPr>
    </w:p>
    <w:p w:rsidR="00312E61" w:rsidRPr="007863C9" w:rsidRDefault="00312E61" w:rsidP="007863C9">
      <w:pPr>
        <w:tabs>
          <w:tab w:val="left" w:pos="432"/>
          <w:tab w:val="left" w:pos="864"/>
        </w:tabs>
        <w:spacing w:line="276" w:lineRule="auto"/>
        <w:jc w:val="both"/>
        <w:rPr>
          <w:rFonts w:ascii="Arial" w:hAnsi="Arial" w:cs="Arial"/>
          <w:sz w:val="22"/>
          <w:szCs w:val="22"/>
        </w:rPr>
      </w:pPr>
      <w:r w:rsidRPr="007863C9">
        <w:rPr>
          <w:rFonts w:ascii="Arial" w:hAnsi="Arial" w:cs="Arial"/>
          <w:sz w:val="22"/>
          <w:szCs w:val="22"/>
        </w:rPr>
        <w:t xml:space="preserve">It should also be noted that in 2014/15 R10.19 billion of the net revenue from the general fuel levy was allocated to the eight metropolitan municipalities as a part of a revenue sharing arrangement. </w:t>
      </w:r>
    </w:p>
    <w:p w:rsidR="00312E61" w:rsidRPr="007863C9" w:rsidRDefault="00312E61" w:rsidP="007863C9">
      <w:pPr>
        <w:tabs>
          <w:tab w:val="left" w:pos="432"/>
          <w:tab w:val="left" w:pos="864"/>
        </w:tabs>
        <w:spacing w:line="276" w:lineRule="auto"/>
        <w:jc w:val="both"/>
        <w:rPr>
          <w:rFonts w:ascii="Arial" w:hAnsi="Arial" w:cs="Arial"/>
          <w:sz w:val="22"/>
          <w:szCs w:val="22"/>
        </w:rPr>
      </w:pPr>
    </w:p>
    <w:p w:rsidR="00312E61" w:rsidRPr="007863C9" w:rsidRDefault="00312E61" w:rsidP="007863C9">
      <w:pPr>
        <w:tabs>
          <w:tab w:val="left" w:pos="432"/>
          <w:tab w:val="left" w:pos="864"/>
        </w:tabs>
        <w:spacing w:line="276" w:lineRule="auto"/>
        <w:jc w:val="both"/>
        <w:rPr>
          <w:rFonts w:ascii="Arial" w:hAnsi="Arial" w:cs="Arial"/>
          <w:sz w:val="22"/>
          <w:szCs w:val="22"/>
        </w:rPr>
      </w:pPr>
      <w:r w:rsidRPr="007863C9">
        <w:rPr>
          <w:rFonts w:ascii="Arial" w:hAnsi="Arial" w:cs="Arial"/>
          <w:sz w:val="22"/>
          <w:szCs w:val="22"/>
        </w:rPr>
        <w:t xml:space="preserve">Money from the Road Accident Fund levy is ring-fenced and used by the Road Accident Fund to compensate victims of vehicle accidents for injuries sustained as a result of such accidents. The Road Accident Fund Levy is thus a form of a personal injuries insurance policy. Further information is available from its annual reports. </w:t>
      </w:r>
    </w:p>
    <w:p w:rsidR="00312E61" w:rsidRPr="007863C9" w:rsidRDefault="00312E61" w:rsidP="007863C9">
      <w:pPr>
        <w:tabs>
          <w:tab w:val="left" w:pos="432"/>
          <w:tab w:val="left" w:pos="864"/>
        </w:tabs>
        <w:spacing w:line="276" w:lineRule="auto"/>
        <w:jc w:val="both"/>
        <w:rPr>
          <w:rFonts w:ascii="Arial" w:hAnsi="Arial" w:cs="Arial"/>
          <w:sz w:val="22"/>
          <w:szCs w:val="22"/>
        </w:rPr>
      </w:pPr>
    </w:p>
    <w:p w:rsidR="00312E61" w:rsidRPr="007863C9" w:rsidRDefault="00312E61" w:rsidP="007863C9">
      <w:pPr>
        <w:tabs>
          <w:tab w:val="left" w:pos="432"/>
          <w:tab w:val="left" w:pos="864"/>
        </w:tabs>
        <w:spacing w:line="276" w:lineRule="auto"/>
        <w:jc w:val="both"/>
        <w:rPr>
          <w:rFonts w:ascii="Arial" w:hAnsi="Arial" w:cs="Arial"/>
          <w:sz w:val="22"/>
          <w:szCs w:val="22"/>
        </w:rPr>
      </w:pPr>
      <w:r w:rsidRPr="007863C9">
        <w:rPr>
          <w:rFonts w:ascii="Arial" w:hAnsi="Arial" w:cs="Arial"/>
          <w:sz w:val="22"/>
          <w:szCs w:val="22"/>
        </w:rPr>
        <w:t xml:space="preserve">The tables below are from the 2015 Budget document Estimates of National Expenditure (ENE) and provide an overview of the funds allocated to the National Department of Transport. </w:t>
      </w:r>
    </w:p>
    <w:p w:rsidR="00312E61" w:rsidRPr="007863C9" w:rsidRDefault="00312E61" w:rsidP="007863C9">
      <w:pPr>
        <w:tabs>
          <w:tab w:val="left" w:pos="432"/>
          <w:tab w:val="left" w:pos="864"/>
        </w:tabs>
        <w:spacing w:line="276" w:lineRule="auto"/>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1"/>
        <w:gridCol w:w="1338"/>
        <w:gridCol w:w="1559"/>
        <w:gridCol w:w="1418"/>
      </w:tblGrid>
      <w:tr w:rsidR="00312E61" w:rsidRPr="007863C9" w:rsidTr="00A67E76">
        <w:trPr>
          <w:trHeight w:val="315"/>
        </w:trPr>
        <w:tc>
          <w:tcPr>
            <w:tcW w:w="7196" w:type="dxa"/>
            <w:gridSpan w:val="4"/>
            <w:noWrap/>
          </w:tcPr>
          <w:p w:rsidR="00312E61" w:rsidRPr="00A67E76" w:rsidRDefault="00312E61" w:rsidP="00A67E76">
            <w:pPr>
              <w:tabs>
                <w:tab w:val="left" w:pos="432"/>
                <w:tab w:val="left" w:pos="864"/>
              </w:tabs>
              <w:spacing w:line="276" w:lineRule="auto"/>
              <w:jc w:val="both"/>
              <w:rPr>
                <w:rFonts w:ascii="Arial" w:hAnsi="Arial" w:cs="Arial"/>
                <w:b/>
                <w:bCs/>
                <w:sz w:val="22"/>
                <w:szCs w:val="22"/>
              </w:rPr>
            </w:pPr>
            <w:r w:rsidRPr="00A67E76">
              <w:rPr>
                <w:rFonts w:ascii="Arial" w:hAnsi="Arial" w:cs="Arial"/>
                <w:b/>
                <w:bCs/>
                <w:sz w:val="22"/>
                <w:szCs w:val="22"/>
              </w:rPr>
              <w:t>Vote 37: National Department of Transport</w:t>
            </w:r>
          </w:p>
        </w:tc>
      </w:tr>
      <w:tr w:rsidR="00312E61" w:rsidRPr="007863C9" w:rsidTr="00A67E76">
        <w:trPr>
          <w:trHeight w:val="315"/>
        </w:trPr>
        <w:tc>
          <w:tcPr>
            <w:tcW w:w="2881" w:type="dxa"/>
            <w:noWrap/>
          </w:tcPr>
          <w:p w:rsidR="00312E61" w:rsidRPr="00A67E76" w:rsidRDefault="00312E61" w:rsidP="00A67E76">
            <w:pPr>
              <w:tabs>
                <w:tab w:val="left" w:pos="432"/>
                <w:tab w:val="left" w:pos="864"/>
              </w:tabs>
              <w:spacing w:line="276" w:lineRule="auto"/>
              <w:jc w:val="both"/>
              <w:rPr>
                <w:rFonts w:ascii="Arial" w:hAnsi="Arial" w:cs="Arial"/>
                <w:b/>
                <w:bCs/>
                <w:sz w:val="22"/>
                <w:szCs w:val="22"/>
              </w:rPr>
            </w:pPr>
            <w:r w:rsidRPr="00A67E76">
              <w:rPr>
                <w:rFonts w:ascii="Arial" w:hAnsi="Arial" w:cs="Arial"/>
                <w:b/>
                <w:bCs/>
                <w:sz w:val="22"/>
                <w:szCs w:val="22"/>
              </w:rPr>
              <w:t xml:space="preserve">Subprogramme: </w:t>
            </w:r>
          </w:p>
          <w:p w:rsidR="00312E61" w:rsidRPr="00A67E76" w:rsidRDefault="00312E61" w:rsidP="00A67E76">
            <w:pPr>
              <w:tabs>
                <w:tab w:val="left" w:pos="432"/>
                <w:tab w:val="left" w:pos="864"/>
              </w:tabs>
              <w:spacing w:line="276" w:lineRule="auto"/>
              <w:jc w:val="both"/>
              <w:rPr>
                <w:rFonts w:ascii="Arial" w:hAnsi="Arial" w:cs="Arial"/>
                <w:b/>
                <w:bCs/>
                <w:sz w:val="22"/>
                <w:szCs w:val="22"/>
              </w:rPr>
            </w:pPr>
            <w:r w:rsidRPr="00A67E76">
              <w:rPr>
                <w:rFonts w:ascii="Arial" w:hAnsi="Arial" w:cs="Arial"/>
                <w:b/>
                <w:bCs/>
                <w:sz w:val="22"/>
                <w:szCs w:val="22"/>
              </w:rPr>
              <w:t>R million</w:t>
            </w:r>
          </w:p>
        </w:tc>
        <w:tc>
          <w:tcPr>
            <w:tcW w:w="1338" w:type="dxa"/>
            <w:noWrap/>
          </w:tcPr>
          <w:p w:rsidR="00312E61" w:rsidRPr="00A67E76" w:rsidRDefault="00312E61" w:rsidP="00A67E76">
            <w:pPr>
              <w:tabs>
                <w:tab w:val="left" w:pos="432"/>
                <w:tab w:val="left" w:pos="864"/>
              </w:tabs>
              <w:spacing w:line="276" w:lineRule="auto"/>
              <w:jc w:val="both"/>
              <w:rPr>
                <w:rFonts w:ascii="Arial" w:hAnsi="Arial" w:cs="Arial"/>
                <w:b/>
                <w:bCs/>
                <w:sz w:val="22"/>
                <w:szCs w:val="22"/>
              </w:rPr>
            </w:pPr>
            <w:r w:rsidRPr="00A67E76">
              <w:rPr>
                <w:rFonts w:ascii="Arial" w:hAnsi="Arial" w:cs="Arial"/>
                <w:b/>
                <w:bCs/>
                <w:sz w:val="22"/>
                <w:szCs w:val="22"/>
              </w:rPr>
              <w:t>2014/15</w:t>
            </w:r>
          </w:p>
        </w:tc>
        <w:tc>
          <w:tcPr>
            <w:tcW w:w="1559" w:type="dxa"/>
            <w:noWrap/>
          </w:tcPr>
          <w:p w:rsidR="00312E61" w:rsidRPr="00A67E76" w:rsidRDefault="00312E61" w:rsidP="00A67E76">
            <w:pPr>
              <w:tabs>
                <w:tab w:val="left" w:pos="432"/>
                <w:tab w:val="left" w:pos="864"/>
              </w:tabs>
              <w:spacing w:line="276" w:lineRule="auto"/>
              <w:jc w:val="both"/>
              <w:rPr>
                <w:rFonts w:ascii="Arial" w:hAnsi="Arial" w:cs="Arial"/>
                <w:b/>
                <w:bCs/>
                <w:sz w:val="22"/>
                <w:szCs w:val="22"/>
              </w:rPr>
            </w:pPr>
            <w:r w:rsidRPr="00A67E76">
              <w:rPr>
                <w:rFonts w:ascii="Arial" w:hAnsi="Arial" w:cs="Arial"/>
                <w:b/>
                <w:bCs/>
                <w:sz w:val="22"/>
                <w:szCs w:val="22"/>
              </w:rPr>
              <w:t>2015/16</w:t>
            </w:r>
          </w:p>
        </w:tc>
        <w:tc>
          <w:tcPr>
            <w:tcW w:w="1418" w:type="dxa"/>
            <w:noWrap/>
          </w:tcPr>
          <w:p w:rsidR="00312E61" w:rsidRPr="00A67E76" w:rsidRDefault="00312E61" w:rsidP="00A67E76">
            <w:pPr>
              <w:tabs>
                <w:tab w:val="left" w:pos="432"/>
                <w:tab w:val="left" w:pos="864"/>
              </w:tabs>
              <w:spacing w:line="276" w:lineRule="auto"/>
              <w:jc w:val="both"/>
              <w:rPr>
                <w:rFonts w:ascii="Arial" w:hAnsi="Arial" w:cs="Arial"/>
                <w:b/>
                <w:bCs/>
                <w:sz w:val="22"/>
                <w:szCs w:val="22"/>
              </w:rPr>
            </w:pPr>
            <w:r w:rsidRPr="00A67E76">
              <w:rPr>
                <w:rFonts w:ascii="Arial" w:hAnsi="Arial" w:cs="Arial"/>
                <w:b/>
                <w:bCs/>
                <w:sz w:val="22"/>
                <w:szCs w:val="22"/>
              </w:rPr>
              <w:t>2016/17</w:t>
            </w:r>
          </w:p>
        </w:tc>
      </w:tr>
      <w:tr w:rsidR="00312E61" w:rsidRPr="007863C9" w:rsidTr="00A67E76">
        <w:trPr>
          <w:trHeight w:val="300"/>
        </w:trPr>
        <w:tc>
          <w:tcPr>
            <w:tcW w:w="2881" w:type="dxa"/>
            <w:noWrap/>
          </w:tcPr>
          <w:p w:rsidR="00312E61" w:rsidRPr="00A67E76" w:rsidRDefault="00312E61" w:rsidP="00A67E76">
            <w:pPr>
              <w:tabs>
                <w:tab w:val="left" w:pos="432"/>
                <w:tab w:val="left" w:pos="864"/>
              </w:tabs>
              <w:spacing w:line="276" w:lineRule="auto"/>
              <w:jc w:val="both"/>
              <w:rPr>
                <w:rFonts w:ascii="Arial" w:hAnsi="Arial" w:cs="Arial"/>
                <w:sz w:val="22"/>
                <w:szCs w:val="22"/>
              </w:rPr>
            </w:pPr>
            <w:r w:rsidRPr="00A67E76">
              <w:rPr>
                <w:rFonts w:ascii="Arial" w:hAnsi="Arial" w:cs="Arial"/>
                <w:sz w:val="22"/>
                <w:szCs w:val="22"/>
              </w:rPr>
              <w:t>Administration</w:t>
            </w:r>
          </w:p>
        </w:tc>
        <w:tc>
          <w:tcPr>
            <w:tcW w:w="1338" w:type="dxa"/>
            <w:noWrap/>
          </w:tcPr>
          <w:p w:rsidR="00312E61" w:rsidRPr="00A67E76" w:rsidRDefault="00312E61" w:rsidP="00A67E76">
            <w:pPr>
              <w:tabs>
                <w:tab w:val="left" w:pos="432"/>
                <w:tab w:val="left" w:pos="864"/>
              </w:tabs>
              <w:spacing w:line="276" w:lineRule="auto"/>
              <w:jc w:val="both"/>
              <w:rPr>
                <w:rFonts w:ascii="Arial" w:hAnsi="Arial" w:cs="Arial"/>
                <w:sz w:val="22"/>
                <w:szCs w:val="22"/>
              </w:rPr>
            </w:pPr>
            <w:r w:rsidRPr="00A67E76">
              <w:rPr>
                <w:rFonts w:ascii="Arial" w:hAnsi="Arial" w:cs="Arial"/>
                <w:sz w:val="22"/>
                <w:szCs w:val="22"/>
              </w:rPr>
              <w:t xml:space="preserve">       382.90 </w:t>
            </w:r>
          </w:p>
        </w:tc>
        <w:tc>
          <w:tcPr>
            <w:tcW w:w="1559" w:type="dxa"/>
            <w:noWrap/>
          </w:tcPr>
          <w:p w:rsidR="00312E61" w:rsidRPr="00A67E76" w:rsidRDefault="00312E61" w:rsidP="00A67E76">
            <w:pPr>
              <w:tabs>
                <w:tab w:val="left" w:pos="432"/>
                <w:tab w:val="left" w:pos="864"/>
              </w:tabs>
              <w:spacing w:line="276" w:lineRule="auto"/>
              <w:jc w:val="both"/>
              <w:rPr>
                <w:rFonts w:ascii="Arial" w:hAnsi="Arial" w:cs="Arial"/>
                <w:sz w:val="22"/>
                <w:szCs w:val="22"/>
              </w:rPr>
            </w:pPr>
            <w:r w:rsidRPr="00A67E76">
              <w:rPr>
                <w:rFonts w:ascii="Arial" w:hAnsi="Arial" w:cs="Arial"/>
                <w:sz w:val="22"/>
                <w:szCs w:val="22"/>
              </w:rPr>
              <w:t xml:space="preserve">       399.80 </w:t>
            </w:r>
          </w:p>
        </w:tc>
        <w:tc>
          <w:tcPr>
            <w:tcW w:w="1418" w:type="dxa"/>
            <w:noWrap/>
          </w:tcPr>
          <w:p w:rsidR="00312E61" w:rsidRPr="00A67E76" w:rsidRDefault="00312E61" w:rsidP="00A67E76">
            <w:pPr>
              <w:tabs>
                <w:tab w:val="left" w:pos="432"/>
                <w:tab w:val="left" w:pos="864"/>
              </w:tabs>
              <w:spacing w:line="276" w:lineRule="auto"/>
              <w:jc w:val="both"/>
              <w:rPr>
                <w:rFonts w:ascii="Arial" w:hAnsi="Arial" w:cs="Arial"/>
                <w:sz w:val="22"/>
                <w:szCs w:val="22"/>
              </w:rPr>
            </w:pPr>
            <w:r w:rsidRPr="00A67E76">
              <w:rPr>
                <w:rFonts w:ascii="Arial" w:hAnsi="Arial" w:cs="Arial"/>
                <w:sz w:val="22"/>
                <w:szCs w:val="22"/>
              </w:rPr>
              <w:t xml:space="preserve">       423.50 </w:t>
            </w:r>
          </w:p>
        </w:tc>
      </w:tr>
      <w:tr w:rsidR="00312E61" w:rsidRPr="007863C9" w:rsidTr="00A67E76">
        <w:trPr>
          <w:trHeight w:val="300"/>
        </w:trPr>
        <w:tc>
          <w:tcPr>
            <w:tcW w:w="2881" w:type="dxa"/>
            <w:noWrap/>
          </w:tcPr>
          <w:p w:rsidR="00312E61" w:rsidRPr="00A67E76" w:rsidRDefault="00312E61" w:rsidP="00A67E76">
            <w:pPr>
              <w:tabs>
                <w:tab w:val="left" w:pos="432"/>
                <w:tab w:val="left" w:pos="864"/>
              </w:tabs>
              <w:spacing w:line="276" w:lineRule="auto"/>
              <w:jc w:val="both"/>
              <w:rPr>
                <w:rFonts w:ascii="Arial" w:hAnsi="Arial" w:cs="Arial"/>
                <w:sz w:val="22"/>
                <w:szCs w:val="22"/>
              </w:rPr>
            </w:pPr>
            <w:r w:rsidRPr="00A67E76">
              <w:rPr>
                <w:rFonts w:ascii="Arial" w:hAnsi="Arial" w:cs="Arial"/>
                <w:sz w:val="22"/>
                <w:szCs w:val="22"/>
              </w:rPr>
              <w:t>Integrated Transport Planning</w:t>
            </w:r>
          </w:p>
        </w:tc>
        <w:tc>
          <w:tcPr>
            <w:tcW w:w="1338" w:type="dxa"/>
            <w:noWrap/>
          </w:tcPr>
          <w:p w:rsidR="00312E61" w:rsidRPr="00A67E76" w:rsidRDefault="00312E61" w:rsidP="00A67E76">
            <w:pPr>
              <w:tabs>
                <w:tab w:val="left" w:pos="432"/>
                <w:tab w:val="left" w:pos="864"/>
              </w:tabs>
              <w:spacing w:line="276" w:lineRule="auto"/>
              <w:jc w:val="both"/>
              <w:rPr>
                <w:rFonts w:ascii="Arial" w:hAnsi="Arial" w:cs="Arial"/>
                <w:sz w:val="22"/>
                <w:szCs w:val="22"/>
              </w:rPr>
            </w:pPr>
            <w:r w:rsidRPr="00A67E76">
              <w:rPr>
                <w:rFonts w:ascii="Arial" w:hAnsi="Arial" w:cs="Arial"/>
                <w:sz w:val="22"/>
                <w:szCs w:val="22"/>
              </w:rPr>
              <w:t xml:space="preserve">         81.20 </w:t>
            </w:r>
          </w:p>
        </w:tc>
        <w:tc>
          <w:tcPr>
            <w:tcW w:w="1559" w:type="dxa"/>
            <w:noWrap/>
          </w:tcPr>
          <w:p w:rsidR="00312E61" w:rsidRPr="00A67E76" w:rsidRDefault="00312E61" w:rsidP="00A67E76">
            <w:pPr>
              <w:tabs>
                <w:tab w:val="left" w:pos="432"/>
                <w:tab w:val="left" w:pos="864"/>
              </w:tabs>
              <w:spacing w:line="276" w:lineRule="auto"/>
              <w:jc w:val="both"/>
              <w:rPr>
                <w:rFonts w:ascii="Arial" w:hAnsi="Arial" w:cs="Arial"/>
                <w:sz w:val="22"/>
                <w:szCs w:val="22"/>
              </w:rPr>
            </w:pPr>
            <w:r w:rsidRPr="00A67E76">
              <w:rPr>
                <w:rFonts w:ascii="Arial" w:hAnsi="Arial" w:cs="Arial"/>
                <w:sz w:val="22"/>
                <w:szCs w:val="22"/>
              </w:rPr>
              <w:t xml:space="preserve">         84.30 </w:t>
            </w:r>
          </w:p>
        </w:tc>
        <w:tc>
          <w:tcPr>
            <w:tcW w:w="1418" w:type="dxa"/>
            <w:noWrap/>
          </w:tcPr>
          <w:p w:rsidR="00312E61" w:rsidRPr="00A67E76" w:rsidRDefault="00312E61" w:rsidP="00A67E76">
            <w:pPr>
              <w:tabs>
                <w:tab w:val="left" w:pos="432"/>
                <w:tab w:val="left" w:pos="864"/>
              </w:tabs>
              <w:spacing w:line="276" w:lineRule="auto"/>
              <w:jc w:val="both"/>
              <w:rPr>
                <w:rFonts w:ascii="Arial" w:hAnsi="Arial" w:cs="Arial"/>
                <w:sz w:val="22"/>
                <w:szCs w:val="22"/>
              </w:rPr>
            </w:pPr>
            <w:r w:rsidRPr="00A67E76">
              <w:rPr>
                <w:rFonts w:ascii="Arial" w:hAnsi="Arial" w:cs="Arial"/>
                <w:sz w:val="22"/>
                <w:szCs w:val="22"/>
              </w:rPr>
              <w:t xml:space="preserve">         89.10 </w:t>
            </w:r>
          </w:p>
        </w:tc>
      </w:tr>
      <w:tr w:rsidR="00312E61" w:rsidRPr="007863C9" w:rsidTr="00A67E76">
        <w:trPr>
          <w:trHeight w:val="300"/>
        </w:trPr>
        <w:tc>
          <w:tcPr>
            <w:tcW w:w="2881" w:type="dxa"/>
            <w:noWrap/>
          </w:tcPr>
          <w:p w:rsidR="00312E61" w:rsidRPr="00A67E76" w:rsidRDefault="00312E61" w:rsidP="00A67E76">
            <w:pPr>
              <w:tabs>
                <w:tab w:val="left" w:pos="432"/>
                <w:tab w:val="left" w:pos="864"/>
              </w:tabs>
              <w:spacing w:line="276" w:lineRule="auto"/>
              <w:jc w:val="both"/>
              <w:rPr>
                <w:rFonts w:ascii="Arial" w:hAnsi="Arial" w:cs="Arial"/>
                <w:sz w:val="22"/>
                <w:szCs w:val="22"/>
              </w:rPr>
            </w:pPr>
            <w:r w:rsidRPr="00A67E76">
              <w:rPr>
                <w:rFonts w:ascii="Arial" w:hAnsi="Arial" w:cs="Arial"/>
                <w:sz w:val="22"/>
                <w:szCs w:val="22"/>
              </w:rPr>
              <w:t>Rail Transport</w:t>
            </w:r>
          </w:p>
        </w:tc>
        <w:tc>
          <w:tcPr>
            <w:tcW w:w="1338" w:type="dxa"/>
            <w:noWrap/>
          </w:tcPr>
          <w:p w:rsidR="00312E61" w:rsidRPr="00A67E76" w:rsidRDefault="00312E61" w:rsidP="00A67E76">
            <w:pPr>
              <w:tabs>
                <w:tab w:val="left" w:pos="432"/>
                <w:tab w:val="left" w:pos="864"/>
              </w:tabs>
              <w:spacing w:line="276" w:lineRule="auto"/>
              <w:jc w:val="both"/>
              <w:rPr>
                <w:rFonts w:ascii="Arial" w:hAnsi="Arial" w:cs="Arial"/>
                <w:sz w:val="22"/>
                <w:szCs w:val="22"/>
              </w:rPr>
            </w:pPr>
            <w:r w:rsidRPr="00A67E76">
              <w:rPr>
                <w:rFonts w:ascii="Arial" w:hAnsi="Arial" w:cs="Arial"/>
                <w:sz w:val="22"/>
                <w:szCs w:val="22"/>
              </w:rPr>
              <w:t xml:space="preserve"> 15 034.60 </w:t>
            </w:r>
          </w:p>
        </w:tc>
        <w:tc>
          <w:tcPr>
            <w:tcW w:w="1559" w:type="dxa"/>
            <w:noWrap/>
          </w:tcPr>
          <w:p w:rsidR="00312E61" w:rsidRPr="00A67E76" w:rsidRDefault="00312E61" w:rsidP="00A67E76">
            <w:pPr>
              <w:tabs>
                <w:tab w:val="left" w:pos="432"/>
                <w:tab w:val="left" w:pos="864"/>
              </w:tabs>
              <w:spacing w:line="276" w:lineRule="auto"/>
              <w:jc w:val="both"/>
              <w:rPr>
                <w:rFonts w:ascii="Arial" w:hAnsi="Arial" w:cs="Arial"/>
                <w:sz w:val="22"/>
                <w:szCs w:val="22"/>
              </w:rPr>
            </w:pPr>
            <w:r w:rsidRPr="00A67E76">
              <w:rPr>
                <w:rFonts w:ascii="Arial" w:hAnsi="Arial" w:cs="Arial"/>
                <w:sz w:val="22"/>
                <w:szCs w:val="22"/>
              </w:rPr>
              <w:t xml:space="preserve"> 18 362.00 </w:t>
            </w:r>
          </w:p>
        </w:tc>
        <w:tc>
          <w:tcPr>
            <w:tcW w:w="1418" w:type="dxa"/>
            <w:noWrap/>
          </w:tcPr>
          <w:p w:rsidR="00312E61" w:rsidRPr="00A67E76" w:rsidRDefault="00312E61" w:rsidP="00A67E76">
            <w:pPr>
              <w:tabs>
                <w:tab w:val="left" w:pos="432"/>
                <w:tab w:val="left" w:pos="864"/>
              </w:tabs>
              <w:spacing w:line="276" w:lineRule="auto"/>
              <w:jc w:val="both"/>
              <w:rPr>
                <w:rFonts w:ascii="Arial" w:hAnsi="Arial" w:cs="Arial"/>
                <w:sz w:val="22"/>
                <w:szCs w:val="22"/>
              </w:rPr>
            </w:pPr>
            <w:r w:rsidRPr="00A67E76">
              <w:rPr>
                <w:rFonts w:ascii="Arial" w:hAnsi="Arial" w:cs="Arial"/>
                <w:sz w:val="22"/>
                <w:szCs w:val="22"/>
              </w:rPr>
              <w:t xml:space="preserve"> 19 389.60 </w:t>
            </w:r>
          </w:p>
        </w:tc>
      </w:tr>
      <w:tr w:rsidR="00312E61" w:rsidRPr="007863C9" w:rsidTr="00A67E76">
        <w:trPr>
          <w:trHeight w:val="300"/>
        </w:trPr>
        <w:tc>
          <w:tcPr>
            <w:tcW w:w="2881" w:type="dxa"/>
            <w:noWrap/>
          </w:tcPr>
          <w:p w:rsidR="00312E61" w:rsidRPr="00A67E76" w:rsidRDefault="00312E61" w:rsidP="00A67E76">
            <w:pPr>
              <w:tabs>
                <w:tab w:val="left" w:pos="432"/>
                <w:tab w:val="left" w:pos="864"/>
              </w:tabs>
              <w:spacing w:line="276" w:lineRule="auto"/>
              <w:jc w:val="both"/>
              <w:rPr>
                <w:rFonts w:ascii="Arial" w:hAnsi="Arial" w:cs="Arial"/>
                <w:sz w:val="22"/>
                <w:szCs w:val="22"/>
              </w:rPr>
            </w:pPr>
            <w:r w:rsidRPr="00A67E76">
              <w:rPr>
                <w:rFonts w:ascii="Arial" w:hAnsi="Arial" w:cs="Arial"/>
                <w:sz w:val="22"/>
                <w:szCs w:val="22"/>
              </w:rPr>
              <w:t>Road Transport</w:t>
            </w:r>
          </w:p>
        </w:tc>
        <w:tc>
          <w:tcPr>
            <w:tcW w:w="1338" w:type="dxa"/>
            <w:noWrap/>
          </w:tcPr>
          <w:p w:rsidR="00312E61" w:rsidRPr="00A67E76" w:rsidRDefault="00312E61" w:rsidP="00A67E76">
            <w:pPr>
              <w:tabs>
                <w:tab w:val="left" w:pos="432"/>
                <w:tab w:val="left" w:pos="864"/>
              </w:tabs>
              <w:spacing w:line="276" w:lineRule="auto"/>
              <w:jc w:val="both"/>
              <w:rPr>
                <w:rFonts w:ascii="Arial" w:hAnsi="Arial" w:cs="Arial"/>
                <w:sz w:val="22"/>
                <w:szCs w:val="22"/>
              </w:rPr>
            </w:pPr>
            <w:r w:rsidRPr="00A67E76">
              <w:rPr>
                <w:rFonts w:ascii="Arial" w:hAnsi="Arial" w:cs="Arial"/>
                <w:sz w:val="22"/>
                <w:szCs w:val="22"/>
              </w:rPr>
              <w:t xml:space="preserve"> 21 645.30 </w:t>
            </w:r>
          </w:p>
        </w:tc>
        <w:tc>
          <w:tcPr>
            <w:tcW w:w="1559" w:type="dxa"/>
            <w:noWrap/>
          </w:tcPr>
          <w:p w:rsidR="00312E61" w:rsidRPr="00A67E76" w:rsidRDefault="00312E61" w:rsidP="00A67E76">
            <w:pPr>
              <w:tabs>
                <w:tab w:val="left" w:pos="432"/>
                <w:tab w:val="left" w:pos="864"/>
              </w:tabs>
              <w:spacing w:line="276" w:lineRule="auto"/>
              <w:jc w:val="both"/>
              <w:rPr>
                <w:rFonts w:ascii="Arial" w:hAnsi="Arial" w:cs="Arial"/>
                <w:sz w:val="22"/>
                <w:szCs w:val="22"/>
              </w:rPr>
            </w:pPr>
            <w:r w:rsidRPr="00A67E76">
              <w:rPr>
                <w:rFonts w:ascii="Arial" w:hAnsi="Arial" w:cs="Arial"/>
                <w:sz w:val="22"/>
                <w:szCs w:val="22"/>
              </w:rPr>
              <w:t xml:space="preserve"> 22 852.10 </w:t>
            </w:r>
          </w:p>
        </w:tc>
        <w:tc>
          <w:tcPr>
            <w:tcW w:w="1418" w:type="dxa"/>
            <w:noWrap/>
          </w:tcPr>
          <w:p w:rsidR="00312E61" w:rsidRPr="00A67E76" w:rsidRDefault="00312E61" w:rsidP="00A67E76">
            <w:pPr>
              <w:tabs>
                <w:tab w:val="left" w:pos="432"/>
                <w:tab w:val="left" w:pos="864"/>
              </w:tabs>
              <w:spacing w:line="276" w:lineRule="auto"/>
              <w:jc w:val="both"/>
              <w:rPr>
                <w:rFonts w:ascii="Arial" w:hAnsi="Arial" w:cs="Arial"/>
                <w:sz w:val="22"/>
                <w:szCs w:val="22"/>
              </w:rPr>
            </w:pPr>
            <w:r w:rsidRPr="00A67E76">
              <w:rPr>
                <w:rFonts w:ascii="Arial" w:hAnsi="Arial" w:cs="Arial"/>
                <w:sz w:val="22"/>
                <w:szCs w:val="22"/>
              </w:rPr>
              <w:t xml:space="preserve"> 23 876.20 </w:t>
            </w:r>
          </w:p>
        </w:tc>
      </w:tr>
      <w:tr w:rsidR="00312E61" w:rsidRPr="007863C9" w:rsidTr="00A67E76">
        <w:trPr>
          <w:trHeight w:val="300"/>
        </w:trPr>
        <w:tc>
          <w:tcPr>
            <w:tcW w:w="2881" w:type="dxa"/>
            <w:noWrap/>
          </w:tcPr>
          <w:p w:rsidR="00312E61" w:rsidRPr="00A67E76" w:rsidRDefault="00312E61" w:rsidP="00A67E76">
            <w:pPr>
              <w:tabs>
                <w:tab w:val="left" w:pos="432"/>
                <w:tab w:val="left" w:pos="864"/>
              </w:tabs>
              <w:spacing w:line="276" w:lineRule="auto"/>
              <w:jc w:val="both"/>
              <w:rPr>
                <w:rFonts w:ascii="Arial" w:hAnsi="Arial" w:cs="Arial"/>
                <w:sz w:val="22"/>
                <w:szCs w:val="22"/>
              </w:rPr>
            </w:pPr>
            <w:r w:rsidRPr="00A67E76">
              <w:rPr>
                <w:rFonts w:ascii="Arial" w:hAnsi="Arial" w:cs="Arial"/>
                <w:sz w:val="22"/>
                <w:szCs w:val="22"/>
              </w:rPr>
              <w:t>Civil Aviation</w:t>
            </w:r>
          </w:p>
        </w:tc>
        <w:tc>
          <w:tcPr>
            <w:tcW w:w="1338" w:type="dxa"/>
            <w:noWrap/>
          </w:tcPr>
          <w:p w:rsidR="00312E61" w:rsidRPr="00A67E76" w:rsidRDefault="00312E61" w:rsidP="00A67E76">
            <w:pPr>
              <w:tabs>
                <w:tab w:val="left" w:pos="432"/>
                <w:tab w:val="left" w:pos="864"/>
              </w:tabs>
              <w:spacing w:line="276" w:lineRule="auto"/>
              <w:jc w:val="both"/>
              <w:rPr>
                <w:rFonts w:ascii="Arial" w:hAnsi="Arial" w:cs="Arial"/>
                <w:sz w:val="22"/>
                <w:szCs w:val="22"/>
              </w:rPr>
            </w:pPr>
            <w:r w:rsidRPr="00A67E76">
              <w:rPr>
                <w:rFonts w:ascii="Arial" w:hAnsi="Arial" w:cs="Arial"/>
                <w:sz w:val="22"/>
                <w:szCs w:val="22"/>
              </w:rPr>
              <w:t xml:space="preserve">       148.30 </w:t>
            </w:r>
          </w:p>
        </w:tc>
        <w:tc>
          <w:tcPr>
            <w:tcW w:w="1559" w:type="dxa"/>
            <w:noWrap/>
          </w:tcPr>
          <w:p w:rsidR="00312E61" w:rsidRPr="00A67E76" w:rsidRDefault="00312E61" w:rsidP="00A67E76">
            <w:pPr>
              <w:tabs>
                <w:tab w:val="left" w:pos="432"/>
                <w:tab w:val="left" w:pos="864"/>
              </w:tabs>
              <w:spacing w:line="276" w:lineRule="auto"/>
              <w:jc w:val="both"/>
              <w:rPr>
                <w:rFonts w:ascii="Arial" w:hAnsi="Arial" w:cs="Arial"/>
                <w:sz w:val="22"/>
                <w:szCs w:val="22"/>
              </w:rPr>
            </w:pPr>
            <w:r w:rsidRPr="00A67E76">
              <w:rPr>
                <w:rFonts w:ascii="Arial" w:hAnsi="Arial" w:cs="Arial"/>
                <w:sz w:val="22"/>
                <w:szCs w:val="22"/>
              </w:rPr>
              <w:t xml:space="preserve">       154.00 </w:t>
            </w:r>
          </w:p>
        </w:tc>
        <w:tc>
          <w:tcPr>
            <w:tcW w:w="1418" w:type="dxa"/>
            <w:noWrap/>
          </w:tcPr>
          <w:p w:rsidR="00312E61" w:rsidRPr="00A67E76" w:rsidRDefault="00312E61" w:rsidP="00A67E76">
            <w:pPr>
              <w:tabs>
                <w:tab w:val="left" w:pos="432"/>
                <w:tab w:val="left" w:pos="864"/>
              </w:tabs>
              <w:spacing w:line="276" w:lineRule="auto"/>
              <w:jc w:val="both"/>
              <w:rPr>
                <w:rFonts w:ascii="Arial" w:hAnsi="Arial" w:cs="Arial"/>
                <w:sz w:val="22"/>
                <w:szCs w:val="22"/>
              </w:rPr>
            </w:pPr>
            <w:r w:rsidRPr="00A67E76">
              <w:rPr>
                <w:rFonts w:ascii="Arial" w:hAnsi="Arial" w:cs="Arial"/>
                <w:sz w:val="22"/>
                <w:szCs w:val="22"/>
              </w:rPr>
              <w:t xml:space="preserve">       162.70 </w:t>
            </w:r>
          </w:p>
        </w:tc>
      </w:tr>
      <w:tr w:rsidR="00312E61" w:rsidRPr="007863C9" w:rsidTr="00A67E76">
        <w:trPr>
          <w:trHeight w:val="300"/>
        </w:trPr>
        <w:tc>
          <w:tcPr>
            <w:tcW w:w="2881" w:type="dxa"/>
            <w:noWrap/>
          </w:tcPr>
          <w:p w:rsidR="00312E61" w:rsidRPr="00A67E76" w:rsidRDefault="00312E61" w:rsidP="00A67E76">
            <w:pPr>
              <w:tabs>
                <w:tab w:val="left" w:pos="432"/>
                <w:tab w:val="left" w:pos="864"/>
              </w:tabs>
              <w:spacing w:line="276" w:lineRule="auto"/>
              <w:jc w:val="both"/>
              <w:rPr>
                <w:rFonts w:ascii="Arial" w:hAnsi="Arial" w:cs="Arial"/>
                <w:sz w:val="22"/>
                <w:szCs w:val="22"/>
              </w:rPr>
            </w:pPr>
            <w:r w:rsidRPr="00A67E76">
              <w:rPr>
                <w:rFonts w:ascii="Arial" w:hAnsi="Arial" w:cs="Arial"/>
                <w:sz w:val="22"/>
                <w:szCs w:val="22"/>
              </w:rPr>
              <w:t>Maritime Transport</w:t>
            </w:r>
          </w:p>
        </w:tc>
        <w:tc>
          <w:tcPr>
            <w:tcW w:w="1338" w:type="dxa"/>
            <w:noWrap/>
          </w:tcPr>
          <w:p w:rsidR="00312E61" w:rsidRPr="00A67E76" w:rsidRDefault="00312E61" w:rsidP="00A67E76">
            <w:pPr>
              <w:tabs>
                <w:tab w:val="left" w:pos="432"/>
                <w:tab w:val="left" w:pos="864"/>
              </w:tabs>
              <w:spacing w:line="276" w:lineRule="auto"/>
              <w:jc w:val="both"/>
              <w:rPr>
                <w:rFonts w:ascii="Arial" w:hAnsi="Arial" w:cs="Arial"/>
                <w:sz w:val="22"/>
                <w:szCs w:val="22"/>
              </w:rPr>
            </w:pPr>
            <w:r w:rsidRPr="00A67E76">
              <w:rPr>
                <w:rFonts w:ascii="Arial" w:hAnsi="Arial" w:cs="Arial"/>
                <w:sz w:val="22"/>
                <w:szCs w:val="22"/>
              </w:rPr>
              <w:t xml:space="preserve">       110.60 </w:t>
            </w:r>
          </w:p>
        </w:tc>
        <w:tc>
          <w:tcPr>
            <w:tcW w:w="1559" w:type="dxa"/>
            <w:noWrap/>
          </w:tcPr>
          <w:p w:rsidR="00312E61" w:rsidRPr="00A67E76" w:rsidRDefault="00312E61" w:rsidP="00A67E76">
            <w:pPr>
              <w:tabs>
                <w:tab w:val="left" w:pos="432"/>
                <w:tab w:val="left" w:pos="864"/>
              </w:tabs>
              <w:spacing w:line="276" w:lineRule="auto"/>
              <w:jc w:val="both"/>
              <w:rPr>
                <w:rFonts w:ascii="Arial" w:hAnsi="Arial" w:cs="Arial"/>
                <w:sz w:val="22"/>
                <w:szCs w:val="22"/>
              </w:rPr>
            </w:pPr>
            <w:r w:rsidRPr="00A67E76">
              <w:rPr>
                <w:rFonts w:ascii="Arial" w:hAnsi="Arial" w:cs="Arial"/>
                <w:sz w:val="22"/>
                <w:szCs w:val="22"/>
              </w:rPr>
              <w:t xml:space="preserve">       115.40 </w:t>
            </w:r>
          </w:p>
        </w:tc>
        <w:tc>
          <w:tcPr>
            <w:tcW w:w="1418" w:type="dxa"/>
            <w:noWrap/>
          </w:tcPr>
          <w:p w:rsidR="00312E61" w:rsidRPr="00A67E76" w:rsidRDefault="00312E61" w:rsidP="00A67E76">
            <w:pPr>
              <w:tabs>
                <w:tab w:val="left" w:pos="432"/>
                <w:tab w:val="left" w:pos="864"/>
              </w:tabs>
              <w:spacing w:line="276" w:lineRule="auto"/>
              <w:jc w:val="both"/>
              <w:rPr>
                <w:rFonts w:ascii="Arial" w:hAnsi="Arial" w:cs="Arial"/>
                <w:sz w:val="22"/>
                <w:szCs w:val="22"/>
              </w:rPr>
            </w:pPr>
            <w:r w:rsidRPr="00A67E76">
              <w:rPr>
                <w:rFonts w:ascii="Arial" w:hAnsi="Arial" w:cs="Arial"/>
                <w:sz w:val="22"/>
                <w:szCs w:val="22"/>
              </w:rPr>
              <w:t xml:space="preserve">       121.80 </w:t>
            </w:r>
          </w:p>
        </w:tc>
      </w:tr>
      <w:tr w:rsidR="00312E61" w:rsidRPr="007863C9" w:rsidTr="00A67E76">
        <w:trPr>
          <w:trHeight w:val="315"/>
        </w:trPr>
        <w:tc>
          <w:tcPr>
            <w:tcW w:w="2881" w:type="dxa"/>
            <w:noWrap/>
          </w:tcPr>
          <w:p w:rsidR="00312E61" w:rsidRPr="00A67E76" w:rsidRDefault="00312E61" w:rsidP="00A67E76">
            <w:pPr>
              <w:tabs>
                <w:tab w:val="left" w:pos="432"/>
                <w:tab w:val="left" w:pos="864"/>
              </w:tabs>
              <w:spacing w:line="276" w:lineRule="auto"/>
              <w:jc w:val="both"/>
              <w:rPr>
                <w:rFonts w:ascii="Arial" w:hAnsi="Arial" w:cs="Arial"/>
                <w:sz w:val="22"/>
                <w:szCs w:val="22"/>
              </w:rPr>
            </w:pPr>
            <w:r w:rsidRPr="00A67E76">
              <w:rPr>
                <w:rFonts w:ascii="Arial" w:hAnsi="Arial" w:cs="Arial"/>
                <w:sz w:val="22"/>
                <w:szCs w:val="22"/>
              </w:rPr>
              <w:t>Public Transport</w:t>
            </w:r>
          </w:p>
        </w:tc>
        <w:tc>
          <w:tcPr>
            <w:tcW w:w="1338" w:type="dxa"/>
            <w:noWrap/>
          </w:tcPr>
          <w:p w:rsidR="00312E61" w:rsidRPr="00A67E76" w:rsidRDefault="00312E61" w:rsidP="00A67E76">
            <w:pPr>
              <w:tabs>
                <w:tab w:val="left" w:pos="432"/>
                <w:tab w:val="left" w:pos="864"/>
              </w:tabs>
              <w:spacing w:line="276" w:lineRule="auto"/>
              <w:jc w:val="both"/>
              <w:rPr>
                <w:rFonts w:ascii="Arial" w:hAnsi="Arial" w:cs="Arial"/>
                <w:sz w:val="22"/>
                <w:szCs w:val="22"/>
              </w:rPr>
            </w:pPr>
            <w:r w:rsidRPr="00A67E76">
              <w:rPr>
                <w:rFonts w:ascii="Arial" w:hAnsi="Arial" w:cs="Arial"/>
                <w:sz w:val="22"/>
                <w:szCs w:val="22"/>
              </w:rPr>
              <w:t xml:space="preserve"> 11 323.80 </w:t>
            </w:r>
          </w:p>
        </w:tc>
        <w:tc>
          <w:tcPr>
            <w:tcW w:w="1559" w:type="dxa"/>
            <w:noWrap/>
          </w:tcPr>
          <w:p w:rsidR="00312E61" w:rsidRPr="00A67E76" w:rsidRDefault="00312E61" w:rsidP="00A67E76">
            <w:pPr>
              <w:tabs>
                <w:tab w:val="left" w:pos="432"/>
                <w:tab w:val="left" w:pos="864"/>
              </w:tabs>
              <w:spacing w:line="276" w:lineRule="auto"/>
              <w:jc w:val="both"/>
              <w:rPr>
                <w:rFonts w:ascii="Arial" w:hAnsi="Arial" w:cs="Arial"/>
                <w:sz w:val="22"/>
                <w:szCs w:val="22"/>
              </w:rPr>
            </w:pPr>
            <w:r w:rsidRPr="00A67E76">
              <w:rPr>
                <w:rFonts w:ascii="Arial" w:hAnsi="Arial" w:cs="Arial"/>
                <w:sz w:val="22"/>
                <w:szCs w:val="22"/>
              </w:rPr>
              <w:t xml:space="preserve"> 11 846.40 </w:t>
            </w:r>
          </w:p>
        </w:tc>
        <w:tc>
          <w:tcPr>
            <w:tcW w:w="1418" w:type="dxa"/>
            <w:noWrap/>
          </w:tcPr>
          <w:p w:rsidR="00312E61" w:rsidRPr="00A67E76" w:rsidRDefault="00312E61" w:rsidP="00A67E76">
            <w:pPr>
              <w:tabs>
                <w:tab w:val="left" w:pos="432"/>
                <w:tab w:val="left" w:pos="864"/>
              </w:tabs>
              <w:spacing w:line="276" w:lineRule="auto"/>
              <w:jc w:val="both"/>
              <w:rPr>
                <w:rFonts w:ascii="Arial" w:hAnsi="Arial" w:cs="Arial"/>
                <w:sz w:val="22"/>
                <w:szCs w:val="22"/>
              </w:rPr>
            </w:pPr>
            <w:r w:rsidRPr="00A67E76">
              <w:rPr>
                <w:rFonts w:ascii="Arial" w:hAnsi="Arial" w:cs="Arial"/>
                <w:sz w:val="22"/>
                <w:szCs w:val="22"/>
              </w:rPr>
              <w:t xml:space="preserve"> 12 779.10 </w:t>
            </w:r>
          </w:p>
        </w:tc>
      </w:tr>
      <w:tr w:rsidR="00312E61" w:rsidRPr="007863C9" w:rsidTr="00A67E76">
        <w:trPr>
          <w:trHeight w:val="315"/>
        </w:trPr>
        <w:tc>
          <w:tcPr>
            <w:tcW w:w="2881" w:type="dxa"/>
            <w:noWrap/>
          </w:tcPr>
          <w:p w:rsidR="00312E61" w:rsidRPr="00A67E76" w:rsidRDefault="00312E61" w:rsidP="00A67E76">
            <w:pPr>
              <w:tabs>
                <w:tab w:val="left" w:pos="432"/>
                <w:tab w:val="left" w:pos="864"/>
              </w:tabs>
              <w:spacing w:line="276" w:lineRule="auto"/>
              <w:jc w:val="both"/>
              <w:rPr>
                <w:rFonts w:ascii="Arial" w:hAnsi="Arial" w:cs="Arial"/>
                <w:b/>
                <w:bCs/>
                <w:sz w:val="22"/>
                <w:szCs w:val="22"/>
              </w:rPr>
            </w:pPr>
            <w:r w:rsidRPr="00A67E76">
              <w:rPr>
                <w:rFonts w:ascii="Arial" w:hAnsi="Arial" w:cs="Arial"/>
                <w:b/>
                <w:bCs/>
                <w:sz w:val="22"/>
                <w:szCs w:val="22"/>
              </w:rPr>
              <w:t>TOTAL</w:t>
            </w:r>
          </w:p>
        </w:tc>
        <w:tc>
          <w:tcPr>
            <w:tcW w:w="1338" w:type="dxa"/>
            <w:noWrap/>
          </w:tcPr>
          <w:p w:rsidR="00312E61" w:rsidRPr="00A67E76" w:rsidRDefault="00312E61" w:rsidP="00A67E76">
            <w:pPr>
              <w:tabs>
                <w:tab w:val="left" w:pos="432"/>
                <w:tab w:val="left" w:pos="864"/>
              </w:tabs>
              <w:spacing w:line="276" w:lineRule="auto"/>
              <w:jc w:val="both"/>
              <w:rPr>
                <w:rFonts w:ascii="Arial" w:hAnsi="Arial" w:cs="Arial"/>
                <w:b/>
                <w:bCs/>
                <w:sz w:val="22"/>
                <w:szCs w:val="22"/>
              </w:rPr>
            </w:pPr>
            <w:r w:rsidRPr="00A67E76">
              <w:rPr>
                <w:rFonts w:ascii="Arial" w:hAnsi="Arial" w:cs="Arial"/>
                <w:b/>
                <w:bCs/>
                <w:sz w:val="22"/>
                <w:szCs w:val="22"/>
              </w:rPr>
              <w:t xml:space="preserve"> 48 726.70 </w:t>
            </w:r>
          </w:p>
        </w:tc>
        <w:tc>
          <w:tcPr>
            <w:tcW w:w="1559" w:type="dxa"/>
            <w:noWrap/>
          </w:tcPr>
          <w:p w:rsidR="00312E61" w:rsidRPr="00A67E76" w:rsidRDefault="00312E61" w:rsidP="00A67E76">
            <w:pPr>
              <w:tabs>
                <w:tab w:val="left" w:pos="432"/>
                <w:tab w:val="left" w:pos="864"/>
              </w:tabs>
              <w:spacing w:line="276" w:lineRule="auto"/>
              <w:jc w:val="both"/>
              <w:rPr>
                <w:rFonts w:ascii="Arial" w:hAnsi="Arial" w:cs="Arial"/>
                <w:b/>
                <w:bCs/>
                <w:sz w:val="22"/>
                <w:szCs w:val="22"/>
              </w:rPr>
            </w:pPr>
            <w:r w:rsidRPr="00A67E76">
              <w:rPr>
                <w:rFonts w:ascii="Arial" w:hAnsi="Arial" w:cs="Arial"/>
                <w:b/>
                <w:bCs/>
                <w:sz w:val="22"/>
                <w:szCs w:val="22"/>
              </w:rPr>
              <w:t xml:space="preserve"> 53 814.00 </w:t>
            </w:r>
          </w:p>
        </w:tc>
        <w:tc>
          <w:tcPr>
            <w:tcW w:w="1418" w:type="dxa"/>
            <w:noWrap/>
          </w:tcPr>
          <w:p w:rsidR="00312E61" w:rsidRPr="00A67E76" w:rsidRDefault="00312E61" w:rsidP="00A67E76">
            <w:pPr>
              <w:tabs>
                <w:tab w:val="left" w:pos="432"/>
                <w:tab w:val="left" w:pos="864"/>
              </w:tabs>
              <w:spacing w:line="276" w:lineRule="auto"/>
              <w:jc w:val="both"/>
              <w:rPr>
                <w:rFonts w:ascii="Arial" w:hAnsi="Arial" w:cs="Arial"/>
                <w:b/>
                <w:bCs/>
                <w:sz w:val="22"/>
                <w:szCs w:val="22"/>
              </w:rPr>
            </w:pPr>
            <w:r w:rsidRPr="00A67E76">
              <w:rPr>
                <w:rFonts w:ascii="Arial" w:hAnsi="Arial" w:cs="Arial"/>
                <w:b/>
                <w:bCs/>
                <w:sz w:val="22"/>
                <w:szCs w:val="22"/>
              </w:rPr>
              <w:t xml:space="preserve"> 56 842.00 </w:t>
            </w:r>
          </w:p>
        </w:tc>
      </w:tr>
    </w:tbl>
    <w:p w:rsidR="00312E61" w:rsidRPr="007863C9" w:rsidRDefault="00312E61" w:rsidP="007863C9">
      <w:pPr>
        <w:tabs>
          <w:tab w:val="left" w:pos="432"/>
          <w:tab w:val="left" w:pos="864"/>
        </w:tabs>
        <w:spacing w:line="276" w:lineRule="auto"/>
        <w:jc w:val="both"/>
        <w:rPr>
          <w:rFonts w:ascii="Arial" w:hAnsi="Arial" w:cs="Arial"/>
          <w:b/>
          <w:sz w:val="22"/>
          <w:szCs w:val="22"/>
          <w:u w:val="single"/>
        </w:rPr>
      </w:pPr>
    </w:p>
    <w:p w:rsidR="00312E61" w:rsidRPr="007863C9" w:rsidRDefault="00312E61" w:rsidP="007863C9">
      <w:pPr>
        <w:tabs>
          <w:tab w:val="left" w:pos="432"/>
          <w:tab w:val="left" w:pos="864"/>
        </w:tabs>
        <w:spacing w:line="276" w:lineRule="auto"/>
        <w:jc w:val="both"/>
        <w:rPr>
          <w:rFonts w:ascii="Arial" w:hAnsi="Arial" w:cs="Arial"/>
          <w:b/>
          <w:sz w:val="22"/>
          <w:szCs w:val="22"/>
          <w:u w:val="single"/>
        </w:rPr>
      </w:pPr>
    </w:p>
    <w:tbl>
      <w:tblPr>
        <w:tblW w:w="6495" w:type="dxa"/>
        <w:tblInd w:w="93" w:type="dxa"/>
        <w:tblLook w:val="00A0"/>
      </w:tblPr>
      <w:tblGrid>
        <w:gridCol w:w="3217"/>
        <w:gridCol w:w="1012"/>
        <w:gridCol w:w="1186"/>
        <w:gridCol w:w="1080"/>
      </w:tblGrid>
      <w:tr w:rsidR="00312E61" w:rsidRPr="007863C9" w:rsidTr="0013376B">
        <w:trPr>
          <w:trHeight w:val="315"/>
        </w:trPr>
        <w:tc>
          <w:tcPr>
            <w:tcW w:w="6495" w:type="dxa"/>
            <w:gridSpan w:val="4"/>
            <w:tcBorders>
              <w:top w:val="single" w:sz="8" w:space="0" w:color="auto"/>
              <w:left w:val="single" w:sz="8" w:space="0" w:color="auto"/>
              <w:bottom w:val="single" w:sz="8" w:space="0" w:color="auto"/>
              <w:right w:val="single" w:sz="8" w:space="0" w:color="000000"/>
            </w:tcBorders>
            <w:noWrap/>
            <w:vAlign w:val="bottom"/>
          </w:tcPr>
          <w:p w:rsidR="00312E61" w:rsidRPr="007863C9" w:rsidRDefault="00312E61" w:rsidP="007863C9">
            <w:pPr>
              <w:jc w:val="both"/>
              <w:rPr>
                <w:rFonts w:ascii="Arial" w:hAnsi="Arial" w:cs="Arial"/>
                <w:b/>
                <w:bCs/>
                <w:color w:val="000000"/>
                <w:sz w:val="22"/>
                <w:szCs w:val="22"/>
              </w:rPr>
            </w:pPr>
            <w:r w:rsidRPr="007863C9">
              <w:rPr>
                <w:rFonts w:ascii="Arial" w:hAnsi="Arial" w:cs="Arial"/>
                <w:b/>
                <w:bCs/>
                <w:color w:val="000000"/>
                <w:sz w:val="22"/>
                <w:szCs w:val="22"/>
              </w:rPr>
              <w:t>Vote 37: National Department of Transport</w:t>
            </w:r>
          </w:p>
        </w:tc>
      </w:tr>
      <w:tr w:rsidR="00312E61" w:rsidRPr="007863C9" w:rsidTr="0013376B">
        <w:trPr>
          <w:trHeight w:val="315"/>
        </w:trPr>
        <w:tc>
          <w:tcPr>
            <w:tcW w:w="3217" w:type="dxa"/>
            <w:tcBorders>
              <w:top w:val="nil"/>
              <w:left w:val="single" w:sz="8" w:space="0" w:color="auto"/>
              <w:bottom w:val="single" w:sz="8" w:space="0" w:color="auto"/>
              <w:right w:val="single" w:sz="8" w:space="0" w:color="auto"/>
            </w:tcBorders>
            <w:noWrap/>
            <w:vAlign w:val="bottom"/>
          </w:tcPr>
          <w:p w:rsidR="00312E61" w:rsidRPr="007863C9" w:rsidRDefault="00312E61" w:rsidP="007863C9">
            <w:pPr>
              <w:jc w:val="both"/>
              <w:rPr>
                <w:rFonts w:ascii="Arial" w:hAnsi="Arial" w:cs="Arial"/>
                <w:b/>
                <w:bCs/>
                <w:color w:val="000000"/>
                <w:sz w:val="22"/>
                <w:szCs w:val="22"/>
              </w:rPr>
            </w:pPr>
            <w:r w:rsidRPr="007863C9">
              <w:rPr>
                <w:rFonts w:ascii="Arial" w:hAnsi="Arial" w:cs="Arial"/>
                <w:b/>
                <w:bCs/>
                <w:color w:val="000000"/>
                <w:sz w:val="22"/>
                <w:szCs w:val="22"/>
              </w:rPr>
              <w:t>Subprogramme: %</w:t>
            </w:r>
          </w:p>
        </w:tc>
        <w:tc>
          <w:tcPr>
            <w:tcW w:w="1012" w:type="dxa"/>
            <w:tcBorders>
              <w:top w:val="nil"/>
              <w:left w:val="nil"/>
              <w:bottom w:val="single" w:sz="8" w:space="0" w:color="auto"/>
              <w:right w:val="single" w:sz="4" w:space="0" w:color="auto"/>
            </w:tcBorders>
            <w:noWrap/>
            <w:vAlign w:val="bottom"/>
          </w:tcPr>
          <w:p w:rsidR="00312E61" w:rsidRPr="007863C9" w:rsidRDefault="00312E61" w:rsidP="007863C9">
            <w:pPr>
              <w:jc w:val="both"/>
              <w:rPr>
                <w:rFonts w:ascii="Arial" w:hAnsi="Arial" w:cs="Arial"/>
                <w:b/>
                <w:bCs/>
                <w:color w:val="000000"/>
                <w:sz w:val="22"/>
                <w:szCs w:val="22"/>
              </w:rPr>
            </w:pPr>
            <w:r w:rsidRPr="007863C9">
              <w:rPr>
                <w:rFonts w:ascii="Arial" w:hAnsi="Arial" w:cs="Arial"/>
                <w:b/>
                <w:bCs/>
                <w:color w:val="000000"/>
                <w:sz w:val="22"/>
                <w:szCs w:val="22"/>
              </w:rPr>
              <w:t>2014/15</w:t>
            </w:r>
          </w:p>
        </w:tc>
        <w:tc>
          <w:tcPr>
            <w:tcW w:w="1186" w:type="dxa"/>
            <w:tcBorders>
              <w:top w:val="nil"/>
              <w:left w:val="nil"/>
              <w:bottom w:val="single" w:sz="8" w:space="0" w:color="auto"/>
              <w:right w:val="single" w:sz="4" w:space="0" w:color="auto"/>
            </w:tcBorders>
            <w:noWrap/>
            <w:vAlign w:val="bottom"/>
          </w:tcPr>
          <w:p w:rsidR="00312E61" w:rsidRPr="007863C9" w:rsidRDefault="00312E61" w:rsidP="007863C9">
            <w:pPr>
              <w:jc w:val="both"/>
              <w:rPr>
                <w:rFonts w:ascii="Arial" w:hAnsi="Arial" w:cs="Arial"/>
                <w:b/>
                <w:bCs/>
                <w:color w:val="000000"/>
                <w:sz w:val="22"/>
                <w:szCs w:val="22"/>
              </w:rPr>
            </w:pPr>
            <w:r w:rsidRPr="007863C9">
              <w:rPr>
                <w:rFonts w:ascii="Arial" w:hAnsi="Arial" w:cs="Arial"/>
                <w:b/>
                <w:bCs/>
                <w:color w:val="000000"/>
                <w:sz w:val="22"/>
                <w:szCs w:val="22"/>
              </w:rPr>
              <w:t>2015/16</w:t>
            </w:r>
          </w:p>
        </w:tc>
        <w:tc>
          <w:tcPr>
            <w:tcW w:w="1080" w:type="dxa"/>
            <w:tcBorders>
              <w:top w:val="nil"/>
              <w:left w:val="nil"/>
              <w:bottom w:val="single" w:sz="8" w:space="0" w:color="auto"/>
              <w:right w:val="single" w:sz="8" w:space="0" w:color="auto"/>
            </w:tcBorders>
            <w:noWrap/>
            <w:vAlign w:val="bottom"/>
          </w:tcPr>
          <w:p w:rsidR="00312E61" w:rsidRPr="007863C9" w:rsidRDefault="00312E61" w:rsidP="007863C9">
            <w:pPr>
              <w:jc w:val="both"/>
              <w:rPr>
                <w:rFonts w:ascii="Arial" w:hAnsi="Arial" w:cs="Arial"/>
                <w:b/>
                <w:bCs/>
                <w:color w:val="000000"/>
                <w:sz w:val="22"/>
                <w:szCs w:val="22"/>
              </w:rPr>
            </w:pPr>
            <w:r w:rsidRPr="007863C9">
              <w:rPr>
                <w:rFonts w:ascii="Arial" w:hAnsi="Arial" w:cs="Arial"/>
                <w:b/>
                <w:bCs/>
                <w:color w:val="000000"/>
                <w:sz w:val="22"/>
                <w:szCs w:val="22"/>
              </w:rPr>
              <w:t>2016/17</w:t>
            </w:r>
          </w:p>
        </w:tc>
      </w:tr>
      <w:tr w:rsidR="00312E61" w:rsidRPr="007863C9" w:rsidTr="0013376B">
        <w:trPr>
          <w:trHeight w:val="300"/>
        </w:trPr>
        <w:tc>
          <w:tcPr>
            <w:tcW w:w="3217" w:type="dxa"/>
            <w:tcBorders>
              <w:top w:val="nil"/>
              <w:left w:val="single" w:sz="8" w:space="0" w:color="auto"/>
              <w:bottom w:val="single" w:sz="4" w:space="0" w:color="auto"/>
              <w:right w:val="single" w:sz="8" w:space="0" w:color="auto"/>
            </w:tcBorders>
            <w:noWrap/>
            <w:vAlign w:val="bottom"/>
          </w:tcPr>
          <w:p w:rsidR="00312E61" w:rsidRPr="007863C9" w:rsidRDefault="00312E61" w:rsidP="007863C9">
            <w:pPr>
              <w:jc w:val="both"/>
              <w:rPr>
                <w:rFonts w:ascii="Arial" w:hAnsi="Arial" w:cs="Arial"/>
                <w:color w:val="000000"/>
                <w:sz w:val="22"/>
                <w:szCs w:val="22"/>
              </w:rPr>
            </w:pPr>
            <w:r w:rsidRPr="007863C9">
              <w:rPr>
                <w:rFonts w:ascii="Arial" w:hAnsi="Arial" w:cs="Arial"/>
                <w:color w:val="000000"/>
                <w:sz w:val="22"/>
                <w:szCs w:val="22"/>
              </w:rPr>
              <w:t>Administration</w:t>
            </w:r>
          </w:p>
        </w:tc>
        <w:tc>
          <w:tcPr>
            <w:tcW w:w="1012" w:type="dxa"/>
            <w:tcBorders>
              <w:top w:val="nil"/>
              <w:left w:val="nil"/>
              <w:bottom w:val="single" w:sz="4" w:space="0" w:color="auto"/>
              <w:right w:val="single" w:sz="4" w:space="0" w:color="auto"/>
            </w:tcBorders>
            <w:noWrap/>
            <w:vAlign w:val="bottom"/>
          </w:tcPr>
          <w:p w:rsidR="00312E61" w:rsidRPr="007863C9" w:rsidRDefault="00312E61" w:rsidP="007863C9">
            <w:pPr>
              <w:jc w:val="both"/>
              <w:rPr>
                <w:rFonts w:ascii="Arial" w:hAnsi="Arial" w:cs="Arial"/>
                <w:color w:val="000000"/>
                <w:sz w:val="22"/>
                <w:szCs w:val="22"/>
              </w:rPr>
            </w:pPr>
            <w:r w:rsidRPr="007863C9">
              <w:rPr>
                <w:rFonts w:ascii="Arial" w:hAnsi="Arial" w:cs="Arial"/>
                <w:color w:val="000000"/>
                <w:sz w:val="22"/>
                <w:szCs w:val="22"/>
              </w:rPr>
              <w:t>0.8%</w:t>
            </w:r>
          </w:p>
        </w:tc>
        <w:tc>
          <w:tcPr>
            <w:tcW w:w="1186" w:type="dxa"/>
            <w:tcBorders>
              <w:top w:val="nil"/>
              <w:left w:val="nil"/>
              <w:bottom w:val="single" w:sz="4" w:space="0" w:color="auto"/>
              <w:right w:val="single" w:sz="4" w:space="0" w:color="auto"/>
            </w:tcBorders>
            <w:noWrap/>
            <w:vAlign w:val="bottom"/>
          </w:tcPr>
          <w:p w:rsidR="00312E61" w:rsidRPr="007863C9" w:rsidRDefault="00312E61" w:rsidP="007863C9">
            <w:pPr>
              <w:jc w:val="both"/>
              <w:rPr>
                <w:rFonts w:ascii="Arial" w:hAnsi="Arial" w:cs="Arial"/>
                <w:color w:val="000000"/>
                <w:sz w:val="22"/>
                <w:szCs w:val="22"/>
              </w:rPr>
            </w:pPr>
            <w:r w:rsidRPr="007863C9">
              <w:rPr>
                <w:rFonts w:ascii="Arial" w:hAnsi="Arial" w:cs="Arial"/>
                <w:color w:val="000000"/>
                <w:sz w:val="22"/>
                <w:szCs w:val="22"/>
              </w:rPr>
              <w:t>0.7%</w:t>
            </w:r>
          </w:p>
        </w:tc>
        <w:tc>
          <w:tcPr>
            <w:tcW w:w="1080" w:type="dxa"/>
            <w:tcBorders>
              <w:top w:val="nil"/>
              <w:left w:val="nil"/>
              <w:bottom w:val="single" w:sz="4" w:space="0" w:color="auto"/>
              <w:right w:val="single" w:sz="8" w:space="0" w:color="auto"/>
            </w:tcBorders>
            <w:noWrap/>
            <w:vAlign w:val="bottom"/>
          </w:tcPr>
          <w:p w:rsidR="00312E61" w:rsidRPr="007863C9" w:rsidRDefault="00312E61" w:rsidP="007863C9">
            <w:pPr>
              <w:jc w:val="both"/>
              <w:rPr>
                <w:rFonts w:ascii="Arial" w:hAnsi="Arial" w:cs="Arial"/>
                <w:color w:val="000000"/>
                <w:sz w:val="22"/>
                <w:szCs w:val="22"/>
              </w:rPr>
            </w:pPr>
            <w:r w:rsidRPr="007863C9">
              <w:rPr>
                <w:rFonts w:ascii="Arial" w:hAnsi="Arial" w:cs="Arial"/>
                <w:color w:val="000000"/>
                <w:sz w:val="22"/>
                <w:szCs w:val="22"/>
              </w:rPr>
              <w:t>0.7%</w:t>
            </w:r>
          </w:p>
        </w:tc>
      </w:tr>
      <w:tr w:rsidR="00312E61" w:rsidRPr="007863C9" w:rsidTr="0013376B">
        <w:trPr>
          <w:trHeight w:val="300"/>
        </w:trPr>
        <w:tc>
          <w:tcPr>
            <w:tcW w:w="3217" w:type="dxa"/>
            <w:tcBorders>
              <w:top w:val="nil"/>
              <w:left w:val="single" w:sz="8" w:space="0" w:color="auto"/>
              <w:bottom w:val="single" w:sz="4" w:space="0" w:color="auto"/>
              <w:right w:val="single" w:sz="8" w:space="0" w:color="auto"/>
            </w:tcBorders>
            <w:noWrap/>
            <w:vAlign w:val="bottom"/>
          </w:tcPr>
          <w:p w:rsidR="00312E61" w:rsidRPr="007863C9" w:rsidRDefault="00312E61" w:rsidP="007863C9">
            <w:pPr>
              <w:jc w:val="both"/>
              <w:rPr>
                <w:rFonts w:ascii="Arial" w:hAnsi="Arial" w:cs="Arial"/>
                <w:color w:val="000000"/>
                <w:sz w:val="22"/>
                <w:szCs w:val="22"/>
              </w:rPr>
            </w:pPr>
            <w:r w:rsidRPr="007863C9">
              <w:rPr>
                <w:rFonts w:ascii="Arial" w:hAnsi="Arial" w:cs="Arial"/>
                <w:color w:val="000000"/>
                <w:sz w:val="22"/>
                <w:szCs w:val="22"/>
              </w:rPr>
              <w:t>Integrated Transport Planning</w:t>
            </w:r>
          </w:p>
        </w:tc>
        <w:tc>
          <w:tcPr>
            <w:tcW w:w="1012" w:type="dxa"/>
            <w:tcBorders>
              <w:top w:val="nil"/>
              <w:left w:val="nil"/>
              <w:bottom w:val="single" w:sz="4" w:space="0" w:color="auto"/>
              <w:right w:val="single" w:sz="4" w:space="0" w:color="auto"/>
            </w:tcBorders>
            <w:noWrap/>
            <w:vAlign w:val="bottom"/>
          </w:tcPr>
          <w:p w:rsidR="00312E61" w:rsidRPr="007863C9" w:rsidRDefault="00312E61" w:rsidP="007863C9">
            <w:pPr>
              <w:jc w:val="both"/>
              <w:rPr>
                <w:rFonts w:ascii="Arial" w:hAnsi="Arial" w:cs="Arial"/>
                <w:color w:val="000000"/>
                <w:sz w:val="22"/>
                <w:szCs w:val="22"/>
              </w:rPr>
            </w:pPr>
            <w:r w:rsidRPr="007863C9">
              <w:rPr>
                <w:rFonts w:ascii="Arial" w:hAnsi="Arial" w:cs="Arial"/>
                <w:color w:val="000000"/>
                <w:sz w:val="22"/>
                <w:szCs w:val="22"/>
              </w:rPr>
              <w:t>0.2%</w:t>
            </w:r>
          </w:p>
        </w:tc>
        <w:tc>
          <w:tcPr>
            <w:tcW w:w="1186" w:type="dxa"/>
            <w:tcBorders>
              <w:top w:val="nil"/>
              <w:left w:val="nil"/>
              <w:bottom w:val="single" w:sz="4" w:space="0" w:color="auto"/>
              <w:right w:val="single" w:sz="4" w:space="0" w:color="auto"/>
            </w:tcBorders>
            <w:noWrap/>
            <w:vAlign w:val="bottom"/>
          </w:tcPr>
          <w:p w:rsidR="00312E61" w:rsidRPr="007863C9" w:rsidRDefault="00312E61" w:rsidP="007863C9">
            <w:pPr>
              <w:jc w:val="both"/>
              <w:rPr>
                <w:rFonts w:ascii="Arial" w:hAnsi="Arial" w:cs="Arial"/>
                <w:color w:val="000000"/>
                <w:sz w:val="22"/>
                <w:szCs w:val="22"/>
              </w:rPr>
            </w:pPr>
            <w:r w:rsidRPr="007863C9">
              <w:rPr>
                <w:rFonts w:ascii="Arial" w:hAnsi="Arial" w:cs="Arial"/>
                <w:color w:val="000000"/>
                <w:sz w:val="22"/>
                <w:szCs w:val="22"/>
              </w:rPr>
              <w:t>0.2%</w:t>
            </w:r>
          </w:p>
        </w:tc>
        <w:tc>
          <w:tcPr>
            <w:tcW w:w="1080" w:type="dxa"/>
            <w:tcBorders>
              <w:top w:val="nil"/>
              <w:left w:val="nil"/>
              <w:bottom w:val="single" w:sz="4" w:space="0" w:color="auto"/>
              <w:right w:val="single" w:sz="8" w:space="0" w:color="auto"/>
            </w:tcBorders>
            <w:noWrap/>
            <w:vAlign w:val="bottom"/>
          </w:tcPr>
          <w:p w:rsidR="00312E61" w:rsidRPr="007863C9" w:rsidRDefault="00312E61" w:rsidP="007863C9">
            <w:pPr>
              <w:jc w:val="both"/>
              <w:rPr>
                <w:rFonts w:ascii="Arial" w:hAnsi="Arial" w:cs="Arial"/>
                <w:color w:val="000000"/>
                <w:sz w:val="22"/>
                <w:szCs w:val="22"/>
              </w:rPr>
            </w:pPr>
            <w:r w:rsidRPr="007863C9">
              <w:rPr>
                <w:rFonts w:ascii="Arial" w:hAnsi="Arial" w:cs="Arial"/>
                <w:color w:val="000000"/>
                <w:sz w:val="22"/>
                <w:szCs w:val="22"/>
              </w:rPr>
              <w:t>0.2%</w:t>
            </w:r>
          </w:p>
        </w:tc>
      </w:tr>
      <w:tr w:rsidR="00312E61" w:rsidRPr="007863C9" w:rsidTr="0013376B">
        <w:trPr>
          <w:trHeight w:val="300"/>
        </w:trPr>
        <w:tc>
          <w:tcPr>
            <w:tcW w:w="3217" w:type="dxa"/>
            <w:tcBorders>
              <w:top w:val="nil"/>
              <w:left w:val="single" w:sz="8" w:space="0" w:color="auto"/>
              <w:bottom w:val="single" w:sz="4" w:space="0" w:color="auto"/>
              <w:right w:val="single" w:sz="8" w:space="0" w:color="auto"/>
            </w:tcBorders>
            <w:noWrap/>
            <w:vAlign w:val="bottom"/>
          </w:tcPr>
          <w:p w:rsidR="00312E61" w:rsidRPr="007863C9" w:rsidRDefault="00312E61" w:rsidP="007863C9">
            <w:pPr>
              <w:jc w:val="both"/>
              <w:rPr>
                <w:rFonts w:ascii="Arial" w:hAnsi="Arial" w:cs="Arial"/>
                <w:color w:val="000000"/>
                <w:sz w:val="22"/>
                <w:szCs w:val="22"/>
              </w:rPr>
            </w:pPr>
            <w:r w:rsidRPr="007863C9">
              <w:rPr>
                <w:rFonts w:ascii="Arial" w:hAnsi="Arial" w:cs="Arial"/>
                <w:color w:val="000000"/>
                <w:sz w:val="22"/>
                <w:szCs w:val="22"/>
              </w:rPr>
              <w:t>Rail Transport</w:t>
            </w:r>
          </w:p>
        </w:tc>
        <w:tc>
          <w:tcPr>
            <w:tcW w:w="1012" w:type="dxa"/>
            <w:tcBorders>
              <w:top w:val="nil"/>
              <w:left w:val="nil"/>
              <w:bottom w:val="single" w:sz="4" w:space="0" w:color="auto"/>
              <w:right w:val="single" w:sz="4" w:space="0" w:color="auto"/>
            </w:tcBorders>
            <w:noWrap/>
            <w:vAlign w:val="bottom"/>
          </w:tcPr>
          <w:p w:rsidR="00312E61" w:rsidRPr="007863C9" w:rsidRDefault="00312E61" w:rsidP="007863C9">
            <w:pPr>
              <w:jc w:val="both"/>
              <w:rPr>
                <w:rFonts w:ascii="Arial" w:hAnsi="Arial" w:cs="Arial"/>
                <w:color w:val="000000"/>
                <w:sz w:val="22"/>
                <w:szCs w:val="22"/>
              </w:rPr>
            </w:pPr>
            <w:r w:rsidRPr="007863C9">
              <w:rPr>
                <w:rFonts w:ascii="Arial" w:hAnsi="Arial" w:cs="Arial"/>
                <w:color w:val="000000"/>
                <w:sz w:val="22"/>
                <w:szCs w:val="22"/>
              </w:rPr>
              <w:t>30.9%</w:t>
            </w:r>
          </w:p>
        </w:tc>
        <w:tc>
          <w:tcPr>
            <w:tcW w:w="1186" w:type="dxa"/>
            <w:tcBorders>
              <w:top w:val="nil"/>
              <w:left w:val="nil"/>
              <w:bottom w:val="single" w:sz="4" w:space="0" w:color="auto"/>
              <w:right w:val="single" w:sz="4" w:space="0" w:color="auto"/>
            </w:tcBorders>
            <w:noWrap/>
            <w:vAlign w:val="bottom"/>
          </w:tcPr>
          <w:p w:rsidR="00312E61" w:rsidRPr="007863C9" w:rsidRDefault="00312E61" w:rsidP="007863C9">
            <w:pPr>
              <w:jc w:val="both"/>
              <w:rPr>
                <w:rFonts w:ascii="Arial" w:hAnsi="Arial" w:cs="Arial"/>
                <w:color w:val="000000"/>
                <w:sz w:val="22"/>
                <w:szCs w:val="22"/>
              </w:rPr>
            </w:pPr>
            <w:r w:rsidRPr="007863C9">
              <w:rPr>
                <w:rFonts w:ascii="Arial" w:hAnsi="Arial" w:cs="Arial"/>
                <w:color w:val="000000"/>
                <w:sz w:val="22"/>
                <w:szCs w:val="22"/>
              </w:rPr>
              <w:t>34.1%</w:t>
            </w:r>
          </w:p>
        </w:tc>
        <w:tc>
          <w:tcPr>
            <w:tcW w:w="1080" w:type="dxa"/>
            <w:tcBorders>
              <w:top w:val="nil"/>
              <w:left w:val="nil"/>
              <w:bottom w:val="single" w:sz="4" w:space="0" w:color="auto"/>
              <w:right w:val="single" w:sz="8" w:space="0" w:color="auto"/>
            </w:tcBorders>
            <w:noWrap/>
            <w:vAlign w:val="bottom"/>
          </w:tcPr>
          <w:p w:rsidR="00312E61" w:rsidRPr="007863C9" w:rsidRDefault="00312E61" w:rsidP="007863C9">
            <w:pPr>
              <w:jc w:val="both"/>
              <w:rPr>
                <w:rFonts w:ascii="Arial" w:hAnsi="Arial" w:cs="Arial"/>
                <w:color w:val="000000"/>
                <w:sz w:val="22"/>
                <w:szCs w:val="22"/>
              </w:rPr>
            </w:pPr>
            <w:r w:rsidRPr="007863C9">
              <w:rPr>
                <w:rFonts w:ascii="Arial" w:hAnsi="Arial" w:cs="Arial"/>
                <w:color w:val="000000"/>
                <w:sz w:val="22"/>
                <w:szCs w:val="22"/>
              </w:rPr>
              <w:t>34.1%</w:t>
            </w:r>
          </w:p>
        </w:tc>
      </w:tr>
      <w:tr w:rsidR="00312E61" w:rsidRPr="007863C9" w:rsidTr="0013376B">
        <w:trPr>
          <w:trHeight w:val="300"/>
        </w:trPr>
        <w:tc>
          <w:tcPr>
            <w:tcW w:w="3217" w:type="dxa"/>
            <w:tcBorders>
              <w:top w:val="nil"/>
              <w:left w:val="single" w:sz="8" w:space="0" w:color="auto"/>
              <w:bottom w:val="single" w:sz="4" w:space="0" w:color="auto"/>
              <w:right w:val="single" w:sz="8" w:space="0" w:color="auto"/>
            </w:tcBorders>
            <w:noWrap/>
            <w:vAlign w:val="bottom"/>
          </w:tcPr>
          <w:p w:rsidR="00312E61" w:rsidRPr="007863C9" w:rsidRDefault="00312E61" w:rsidP="007863C9">
            <w:pPr>
              <w:jc w:val="both"/>
              <w:rPr>
                <w:rFonts w:ascii="Arial" w:hAnsi="Arial" w:cs="Arial"/>
                <w:color w:val="000000"/>
                <w:sz w:val="22"/>
                <w:szCs w:val="22"/>
              </w:rPr>
            </w:pPr>
            <w:r w:rsidRPr="007863C9">
              <w:rPr>
                <w:rFonts w:ascii="Arial" w:hAnsi="Arial" w:cs="Arial"/>
                <w:color w:val="000000"/>
                <w:sz w:val="22"/>
                <w:szCs w:val="22"/>
              </w:rPr>
              <w:t>Road Transport</w:t>
            </w:r>
          </w:p>
        </w:tc>
        <w:tc>
          <w:tcPr>
            <w:tcW w:w="1012" w:type="dxa"/>
            <w:tcBorders>
              <w:top w:val="nil"/>
              <w:left w:val="nil"/>
              <w:bottom w:val="single" w:sz="4" w:space="0" w:color="auto"/>
              <w:right w:val="single" w:sz="4" w:space="0" w:color="auto"/>
            </w:tcBorders>
            <w:noWrap/>
            <w:vAlign w:val="bottom"/>
          </w:tcPr>
          <w:p w:rsidR="00312E61" w:rsidRPr="007863C9" w:rsidRDefault="00312E61" w:rsidP="007863C9">
            <w:pPr>
              <w:jc w:val="both"/>
              <w:rPr>
                <w:rFonts w:ascii="Arial" w:hAnsi="Arial" w:cs="Arial"/>
                <w:color w:val="000000"/>
                <w:sz w:val="22"/>
                <w:szCs w:val="22"/>
              </w:rPr>
            </w:pPr>
            <w:r w:rsidRPr="007863C9">
              <w:rPr>
                <w:rFonts w:ascii="Arial" w:hAnsi="Arial" w:cs="Arial"/>
                <w:color w:val="000000"/>
                <w:sz w:val="22"/>
                <w:szCs w:val="22"/>
              </w:rPr>
              <w:t>44.4%</w:t>
            </w:r>
          </w:p>
        </w:tc>
        <w:tc>
          <w:tcPr>
            <w:tcW w:w="1186" w:type="dxa"/>
            <w:tcBorders>
              <w:top w:val="nil"/>
              <w:left w:val="nil"/>
              <w:bottom w:val="single" w:sz="4" w:space="0" w:color="auto"/>
              <w:right w:val="single" w:sz="4" w:space="0" w:color="auto"/>
            </w:tcBorders>
            <w:noWrap/>
            <w:vAlign w:val="bottom"/>
          </w:tcPr>
          <w:p w:rsidR="00312E61" w:rsidRPr="007863C9" w:rsidRDefault="00312E61" w:rsidP="007863C9">
            <w:pPr>
              <w:jc w:val="both"/>
              <w:rPr>
                <w:rFonts w:ascii="Arial" w:hAnsi="Arial" w:cs="Arial"/>
                <w:color w:val="000000"/>
                <w:sz w:val="22"/>
                <w:szCs w:val="22"/>
              </w:rPr>
            </w:pPr>
            <w:r w:rsidRPr="007863C9">
              <w:rPr>
                <w:rFonts w:ascii="Arial" w:hAnsi="Arial" w:cs="Arial"/>
                <w:color w:val="000000"/>
                <w:sz w:val="22"/>
                <w:szCs w:val="22"/>
              </w:rPr>
              <w:t>42.5%</w:t>
            </w:r>
          </w:p>
        </w:tc>
        <w:tc>
          <w:tcPr>
            <w:tcW w:w="1080" w:type="dxa"/>
            <w:tcBorders>
              <w:top w:val="nil"/>
              <w:left w:val="nil"/>
              <w:bottom w:val="single" w:sz="4" w:space="0" w:color="auto"/>
              <w:right w:val="single" w:sz="8" w:space="0" w:color="auto"/>
            </w:tcBorders>
            <w:noWrap/>
            <w:vAlign w:val="bottom"/>
          </w:tcPr>
          <w:p w:rsidR="00312E61" w:rsidRPr="007863C9" w:rsidRDefault="00312E61" w:rsidP="007863C9">
            <w:pPr>
              <w:jc w:val="both"/>
              <w:rPr>
                <w:rFonts w:ascii="Arial" w:hAnsi="Arial" w:cs="Arial"/>
                <w:color w:val="000000"/>
                <w:sz w:val="22"/>
                <w:szCs w:val="22"/>
              </w:rPr>
            </w:pPr>
            <w:r w:rsidRPr="007863C9">
              <w:rPr>
                <w:rFonts w:ascii="Arial" w:hAnsi="Arial" w:cs="Arial"/>
                <w:color w:val="000000"/>
                <w:sz w:val="22"/>
                <w:szCs w:val="22"/>
              </w:rPr>
              <w:t>42.0%</w:t>
            </w:r>
          </w:p>
        </w:tc>
      </w:tr>
      <w:tr w:rsidR="00312E61" w:rsidRPr="007863C9" w:rsidTr="0013376B">
        <w:trPr>
          <w:trHeight w:val="300"/>
        </w:trPr>
        <w:tc>
          <w:tcPr>
            <w:tcW w:w="3217" w:type="dxa"/>
            <w:tcBorders>
              <w:top w:val="nil"/>
              <w:left w:val="single" w:sz="8" w:space="0" w:color="auto"/>
              <w:bottom w:val="single" w:sz="4" w:space="0" w:color="auto"/>
              <w:right w:val="single" w:sz="8" w:space="0" w:color="auto"/>
            </w:tcBorders>
            <w:noWrap/>
            <w:vAlign w:val="bottom"/>
          </w:tcPr>
          <w:p w:rsidR="00312E61" w:rsidRPr="007863C9" w:rsidRDefault="00312E61" w:rsidP="007863C9">
            <w:pPr>
              <w:jc w:val="both"/>
              <w:rPr>
                <w:rFonts w:ascii="Arial" w:hAnsi="Arial" w:cs="Arial"/>
                <w:color w:val="000000"/>
                <w:sz w:val="22"/>
                <w:szCs w:val="22"/>
              </w:rPr>
            </w:pPr>
            <w:r w:rsidRPr="007863C9">
              <w:rPr>
                <w:rFonts w:ascii="Arial" w:hAnsi="Arial" w:cs="Arial"/>
                <w:color w:val="000000"/>
                <w:sz w:val="22"/>
                <w:szCs w:val="22"/>
              </w:rPr>
              <w:t>Civil Aviation</w:t>
            </w:r>
          </w:p>
        </w:tc>
        <w:tc>
          <w:tcPr>
            <w:tcW w:w="1012" w:type="dxa"/>
            <w:tcBorders>
              <w:top w:val="nil"/>
              <w:left w:val="nil"/>
              <w:bottom w:val="single" w:sz="4" w:space="0" w:color="auto"/>
              <w:right w:val="single" w:sz="4" w:space="0" w:color="auto"/>
            </w:tcBorders>
            <w:noWrap/>
            <w:vAlign w:val="bottom"/>
          </w:tcPr>
          <w:p w:rsidR="00312E61" w:rsidRPr="007863C9" w:rsidRDefault="00312E61" w:rsidP="007863C9">
            <w:pPr>
              <w:jc w:val="both"/>
              <w:rPr>
                <w:rFonts w:ascii="Arial" w:hAnsi="Arial" w:cs="Arial"/>
                <w:color w:val="000000"/>
                <w:sz w:val="22"/>
                <w:szCs w:val="22"/>
              </w:rPr>
            </w:pPr>
            <w:r w:rsidRPr="007863C9">
              <w:rPr>
                <w:rFonts w:ascii="Arial" w:hAnsi="Arial" w:cs="Arial"/>
                <w:color w:val="000000"/>
                <w:sz w:val="22"/>
                <w:szCs w:val="22"/>
              </w:rPr>
              <w:t>0.3%</w:t>
            </w:r>
          </w:p>
        </w:tc>
        <w:tc>
          <w:tcPr>
            <w:tcW w:w="1186" w:type="dxa"/>
            <w:tcBorders>
              <w:top w:val="nil"/>
              <w:left w:val="nil"/>
              <w:bottom w:val="single" w:sz="4" w:space="0" w:color="auto"/>
              <w:right w:val="single" w:sz="4" w:space="0" w:color="auto"/>
            </w:tcBorders>
            <w:noWrap/>
            <w:vAlign w:val="bottom"/>
          </w:tcPr>
          <w:p w:rsidR="00312E61" w:rsidRPr="007863C9" w:rsidRDefault="00312E61" w:rsidP="007863C9">
            <w:pPr>
              <w:jc w:val="both"/>
              <w:rPr>
                <w:rFonts w:ascii="Arial" w:hAnsi="Arial" w:cs="Arial"/>
                <w:color w:val="000000"/>
                <w:sz w:val="22"/>
                <w:szCs w:val="22"/>
              </w:rPr>
            </w:pPr>
            <w:r w:rsidRPr="007863C9">
              <w:rPr>
                <w:rFonts w:ascii="Arial" w:hAnsi="Arial" w:cs="Arial"/>
                <w:color w:val="000000"/>
                <w:sz w:val="22"/>
                <w:szCs w:val="22"/>
              </w:rPr>
              <w:t>0.3%</w:t>
            </w:r>
          </w:p>
        </w:tc>
        <w:tc>
          <w:tcPr>
            <w:tcW w:w="1080" w:type="dxa"/>
            <w:tcBorders>
              <w:top w:val="nil"/>
              <w:left w:val="nil"/>
              <w:bottom w:val="single" w:sz="4" w:space="0" w:color="auto"/>
              <w:right w:val="single" w:sz="8" w:space="0" w:color="auto"/>
            </w:tcBorders>
            <w:noWrap/>
            <w:vAlign w:val="bottom"/>
          </w:tcPr>
          <w:p w:rsidR="00312E61" w:rsidRPr="007863C9" w:rsidRDefault="00312E61" w:rsidP="007863C9">
            <w:pPr>
              <w:jc w:val="both"/>
              <w:rPr>
                <w:rFonts w:ascii="Arial" w:hAnsi="Arial" w:cs="Arial"/>
                <w:color w:val="000000"/>
                <w:sz w:val="22"/>
                <w:szCs w:val="22"/>
              </w:rPr>
            </w:pPr>
            <w:r w:rsidRPr="007863C9">
              <w:rPr>
                <w:rFonts w:ascii="Arial" w:hAnsi="Arial" w:cs="Arial"/>
                <w:color w:val="000000"/>
                <w:sz w:val="22"/>
                <w:szCs w:val="22"/>
              </w:rPr>
              <w:t>0.3%</w:t>
            </w:r>
          </w:p>
        </w:tc>
      </w:tr>
      <w:tr w:rsidR="00312E61" w:rsidRPr="007863C9" w:rsidTr="0013376B">
        <w:trPr>
          <w:trHeight w:val="300"/>
        </w:trPr>
        <w:tc>
          <w:tcPr>
            <w:tcW w:w="3217" w:type="dxa"/>
            <w:tcBorders>
              <w:top w:val="nil"/>
              <w:left w:val="single" w:sz="8" w:space="0" w:color="auto"/>
              <w:bottom w:val="single" w:sz="4" w:space="0" w:color="auto"/>
              <w:right w:val="single" w:sz="8" w:space="0" w:color="auto"/>
            </w:tcBorders>
            <w:noWrap/>
            <w:vAlign w:val="bottom"/>
          </w:tcPr>
          <w:p w:rsidR="00312E61" w:rsidRPr="007863C9" w:rsidRDefault="00312E61" w:rsidP="007863C9">
            <w:pPr>
              <w:jc w:val="both"/>
              <w:rPr>
                <w:rFonts w:ascii="Arial" w:hAnsi="Arial" w:cs="Arial"/>
                <w:color w:val="000000"/>
                <w:sz w:val="22"/>
                <w:szCs w:val="22"/>
              </w:rPr>
            </w:pPr>
            <w:r w:rsidRPr="007863C9">
              <w:rPr>
                <w:rFonts w:ascii="Arial" w:hAnsi="Arial" w:cs="Arial"/>
                <w:color w:val="000000"/>
                <w:sz w:val="22"/>
                <w:szCs w:val="22"/>
              </w:rPr>
              <w:t>Maritime Transport</w:t>
            </w:r>
          </w:p>
        </w:tc>
        <w:tc>
          <w:tcPr>
            <w:tcW w:w="1012" w:type="dxa"/>
            <w:tcBorders>
              <w:top w:val="nil"/>
              <w:left w:val="nil"/>
              <w:bottom w:val="single" w:sz="4" w:space="0" w:color="auto"/>
              <w:right w:val="single" w:sz="4" w:space="0" w:color="auto"/>
            </w:tcBorders>
            <w:noWrap/>
            <w:vAlign w:val="bottom"/>
          </w:tcPr>
          <w:p w:rsidR="00312E61" w:rsidRPr="007863C9" w:rsidRDefault="00312E61" w:rsidP="007863C9">
            <w:pPr>
              <w:jc w:val="both"/>
              <w:rPr>
                <w:rFonts w:ascii="Arial" w:hAnsi="Arial" w:cs="Arial"/>
                <w:color w:val="000000"/>
                <w:sz w:val="22"/>
                <w:szCs w:val="22"/>
              </w:rPr>
            </w:pPr>
            <w:r w:rsidRPr="007863C9">
              <w:rPr>
                <w:rFonts w:ascii="Arial" w:hAnsi="Arial" w:cs="Arial"/>
                <w:color w:val="000000"/>
                <w:sz w:val="22"/>
                <w:szCs w:val="22"/>
              </w:rPr>
              <w:t>0.2%</w:t>
            </w:r>
          </w:p>
        </w:tc>
        <w:tc>
          <w:tcPr>
            <w:tcW w:w="1186" w:type="dxa"/>
            <w:tcBorders>
              <w:top w:val="nil"/>
              <w:left w:val="nil"/>
              <w:bottom w:val="single" w:sz="4" w:space="0" w:color="auto"/>
              <w:right w:val="single" w:sz="4" w:space="0" w:color="auto"/>
            </w:tcBorders>
            <w:noWrap/>
            <w:vAlign w:val="bottom"/>
          </w:tcPr>
          <w:p w:rsidR="00312E61" w:rsidRPr="007863C9" w:rsidRDefault="00312E61" w:rsidP="007863C9">
            <w:pPr>
              <w:jc w:val="both"/>
              <w:rPr>
                <w:rFonts w:ascii="Arial" w:hAnsi="Arial" w:cs="Arial"/>
                <w:color w:val="000000"/>
                <w:sz w:val="22"/>
                <w:szCs w:val="22"/>
              </w:rPr>
            </w:pPr>
            <w:r w:rsidRPr="007863C9">
              <w:rPr>
                <w:rFonts w:ascii="Arial" w:hAnsi="Arial" w:cs="Arial"/>
                <w:color w:val="000000"/>
                <w:sz w:val="22"/>
                <w:szCs w:val="22"/>
              </w:rPr>
              <w:t>0.2%</w:t>
            </w:r>
          </w:p>
        </w:tc>
        <w:tc>
          <w:tcPr>
            <w:tcW w:w="1080" w:type="dxa"/>
            <w:tcBorders>
              <w:top w:val="nil"/>
              <w:left w:val="nil"/>
              <w:bottom w:val="single" w:sz="4" w:space="0" w:color="auto"/>
              <w:right w:val="single" w:sz="8" w:space="0" w:color="auto"/>
            </w:tcBorders>
            <w:noWrap/>
            <w:vAlign w:val="bottom"/>
          </w:tcPr>
          <w:p w:rsidR="00312E61" w:rsidRPr="007863C9" w:rsidRDefault="00312E61" w:rsidP="007863C9">
            <w:pPr>
              <w:jc w:val="both"/>
              <w:rPr>
                <w:rFonts w:ascii="Arial" w:hAnsi="Arial" w:cs="Arial"/>
                <w:color w:val="000000"/>
                <w:sz w:val="22"/>
                <w:szCs w:val="22"/>
              </w:rPr>
            </w:pPr>
            <w:r w:rsidRPr="007863C9">
              <w:rPr>
                <w:rFonts w:ascii="Arial" w:hAnsi="Arial" w:cs="Arial"/>
                <w:color w:val="000000"/>
                <w:sz w:val="22"/>
                <w:szCs w:val="22"/>
              </w:rPr>
              <w:t>0.2%</w:t>
            </w:r>
          </w:p>
        </w:tc>
      </w:tr>
      <w:tr w:rsidR="00312E61" w:rsidRPr="007863C9" w:rsidTr="0013376B">
        <w:trPr>
          <w:trHeight w:val="315"/>
        </w:trPr>
        <w:tc>
          <w:tcPr>
            <w:tcW w:w="3217" w:type="dxa"/>
            <w:tcBorders>
              <w:top w:val="nil"/>
              <w:left w:val="single" w:sz="8" w:space="0" w:color="auto"/>
              <w:bottom w:val="nil"/>
              <w:right w:val="single" w:sz="8" w:space="0" w:color="auto"/>
            </w:tcBorders>
            <w:noWrap/>
            <w:vAlign w:val="bottom"/>
          </w:tcPr>
          <w:p w:rsidR="00312E61" w:rsidRPr="007863C9" w:rsidRDefault="00312E61" w:rsidP="007863C9">
            <w:pPr>
              <w:jc w:val="both"/>
              <w:rPr>
                <w:rFonts w:ascii="Arial" w:hAnsi="Arial" w:cs="Arial"/>
                <w:color w:val="000000"/>
                <w:sz w:val="22"/>
                <w:szCs w:val="22"/>
              </w:rPr>
            </w:pPr>
            <w:r w:rsidRPr="007863C9">
              <w:rPr>
                <w:rFonts w:ascii="Arial" w:hAnsi="Arial" w:cs="Arial"/>
                <w:color w:val="000000"/>
                <w:sz w:val="22"/>
                <w:szCs w:val="22"/>
              </w:rPr>
              <w:t>Public Transport</w:t>
            </w:r>
          </w:p>
        </w:tc>
        <w:tc>
          <w:tcPr>
            <w:tcW w:w="1012" w:type="dxa"/>
            <w:tcBorders>
              <w:top w:val="nil"/>
              <w:left w:val="nil"/>
              <w:bottom w:val="single" w:sz="8" w:space="0" w:color="auto"/>
              <w:right w:val="single" w:sz="4" w:space="0" w:color="auto"/>
            </w:tcBorders>
            <w:noWrap/>
            <w:vAlign w:val="bottom"/>
          </w:tcPr>
          <w:p w:rsidR="00312E61" w:rsidRPr="007863C9" w:rsidRDefault="00312E61" w:rsidP="007863C9">
            <w:pPr>
              <w:jc w:val="both"/>
              <w:rPr>
                <w:rFonts w:ascii="Arial" w:hAnsi="Arial" w:cs="Arial"/>
                <w:color w:val="000000"/>
                <w:sz w:val="22"/>
                <w:szCs w:val="22"/>
              </w:rPr>
            </w:pPr>
            <w:r w:rsidRPr="007863C9">
              <w:rPr>
                <w:rFonts w:ascii="Arial" w:hAnsi="Arial" w:cs="Arial"/>
                <w:color w:val="000000"/>
                <w:sz w:val="22"/>
                <w:szCs w:val="22"/>
              </w:rPr>
              <w:t>23.2%</w:t>
            </w:r>
          </w:p>
        </w:tc>
        <w:tc>
          <w:tcPr>
            <w:tcW w:w="1186" w:type="dxa"/>
            <w:tcBorders>
              <w:top w:val="nil"/>
              <w:left w:val="nil"/>
              <w:bottom w:val="single" w:sz="8" w:space="0" w:color="auto"/>
              <w:right w:val="single" w:sz="4" w:space="0" w:color="auto"/>
            </w:tcBorders>
            <w:noWrap/>
            <w:vAlign w:val="bottom"/>
          </w:tcPr>
          <w:p w:rsidR="00312E61" w:rsidRPr="007863C9" w:rsidRDefault="00312E61" w:rsidP="007863C9">
            <w:pPr>
              <w:jc w:val="both"/>
              <w:rPr>
                <w:rFonts w:ascii="Arial" w:hAnsi="Arial" w:cs="Arial"/>
                <w:color w:val="000000"/>
                <w:sz w:val="22"/>
                <w:szCs w:val="22"/>
              </w:rPr>
            </w:pPr>
            <w:r w:rsidRPr="007863C9">
              <w:rPr>
                <w:rFonts w:ascii="Arial" w:hAnsi="Arial" w:cs="Arial"/>
                <w:color w:val="000000"/>
                <w:sz w:val="22"/>
                <w:szCs w:val="22"/>
              </w:rPr>
              <w:t>22.0%</w:t>
            </w:r>
          </w:p>
        </w:tc>
        <w:tc>
          <w:tcPr>
            <w:tcW w:w="1080" w:type="dxa"/>
            <w:tcBorders>
              <w:top w:val="nil"/>
              <w:left w:val="nil"/>
              <w:bottom w:val="single" w:sz="8" w:space="0" w:color="auto"/>
              <w:right w:val="single" w:sz="8" w:space="0" w:color="auto"/>
            </w:tcBorders>
            <w:noWrap/>
            <w:vAlign w:val="bottom"/>
          </w:tcPr>
          <w:p w:rsidR="00312E61" w:rsidRPr="007863C9" w:rsidRDefault="00312E61" w:rsidP="007863C9">
            <w:pPr>
              <w:jc w:val="both"/>
              <w:rPr>
                <w:rFonts w:ascii="Arial" w:hAnsi="Arial" w:cs="Arial"/>
                <w:color w:val="000000"/>
                <w:sz w:val="22"/>
                <w:szCs w:val="22"/>
              </w:rPr>
            </w:pPr>
            <w:r w:rsidRPr="007863C9">
              <w:rPr>
                <w:rFonts w:ascii="Arial" w:hAnsi="Arial" w:cs="Arial"/>
                <w:color w:val="000000"/>
                <w:sz w:val="22"/>
                <w:szCs w:val="22"/>
              </w:rPr>
              <w:t>22.5%</w:t>
            </w:r>
          </w:p>
        </w:tc>
      </w:tr>
      <w:tr w:rsidR="00312E61" w:rsidRPr="007863C9" w:rsidTr="0013376B">
        <w:trPr>
          <w:trHeight w:val="315"/>
        </w:trPr>
        <w:tc>
          <w:tcPr>
            <w:tcW w:w="3217" w:type="dxa"/>
            <w:tcBorders>
              <w:top w:val="single" w:sz="8" w:space="0" w:color="auto"/>
              <w:left w:val="single" w:sz="8" w:space="0" w:color="auto"/>
              <w:bottom w:val="single" w:sz="8" w:space="0" w:color="auto"/>
              <w:right w:val="single" w:sz="8" w:space="0" w:color="auto"/>
            </w:tcBorders>
            <w:noWrap/>
            <w:vAlign w:val="bottom"/>
          </w:tcPr>
          <w:p w:rsidR="00312E61" w:rsidRPr="007863C9" w:rsidRDefault="00312E61" w:rsidP="007863C9">
            <w:pPr>
              <w:jc w:val="both"/>
              <w:rPr>
                <w:rFonts w:ascii="Arial" w:hAnsi="Arial" w:cs="Arial"/>
                <w:b/>
                <w:bCs/>
                <w:color w:val="000000"/>
                <w:sz w:val="22"/>
                <w:szCs w:val="22"/>
              </w:rPr>
            </w:pPr>
            <w:r w:rsidRPr="007863C9">
              <w:rPr>
                <w:rFonts w:ascii="Arial" w:hAnsi="Arial" w:cs="Arial"/>
                <w:b/>
                <w:bCs/>
                <w:color w:val="000000"/>
                <w:sz w:val="22"/>
                <w:szCs w:val="22"/>
              </w:rPr>
              <w:t>TOTAL</w:t>
            </w:r>
          </w:p>
        </w:tc>
        <w:tc>
          <w:tcPr>
            <w:tcW w:w="1012" w:type="dxa"/>
            <w:tcBorders>
              <w:top w:val="nil"/>
              <w:left w:val="nil"/>
              <w:bottom w:val="single" w:sz="8" w:space="0" w:color="auto"/>
              <w:right w:val="single" w:sz="4" w:space="0" w:color="auto"/>
            </w:tcBorders>
            <w:noWrap/>
            <w:vAlign w:val="bottom"/>
          </w:tcPr>
          <w:p w:rsidR="00312E61" w:rsidRPr="007863C9" w:rsidRDefault="00312E61" w:rsidP="007863C9">
            <w:pPr>
              <w:jc w:val="both"/>
              <w:rPr>
                <w:rFonts w:ascii="Arial" w:hAnsi="Arial" w:cs="Arial"/>
                <w:b/>
                <w:bCs/>
                <w:color w:val="000000"/>
                <w:sz w:val="22"/>
                <w:szCs w:val="22"/>
              </w:rPr>
            </w:pPr>
            <w:r w:rsidRPr="007863C9">
              <w:rPr>
                <w:rFonts w:ascii="Arial" w:hAnsi="Arial" w:cs="Arial"/>
                <w:b/>
                <w:bCs/>
                <w:color w:val="000000"/>
                <w:sz w:val="22"/>
                <w:szCs w:val="22"/>
              </w:rPr>
              <w:t>100%</w:t>
            </w:r>
          </w:p>
        </w:tc>
        <w:tc>
          <w:tcPr>
            <w:tcW w:w="1186" w:type="dxa"/>
            <w:tcBorders>
              <w:top w:val="nil"/>
              <w:left w:val="nil"/>
              <w:bottom w:val="single" w:sz="8" w:space="0" w:color="auto"/>
              <w:right w:val="single" w:sz="4" w:space="0" w:color="auto"/>
            </w:tcBorders>
            <w:noWrap/>
            <w:vAlign w:val="bottom"/>
          </w:tcPr>
          <w:p w:rsidR="00312E61" w:rsidRPr="007863C9" w:rsidRDefault="00312E61" w:rsidP="007863C9">
            <w:pPr>
              <w:jc w:val="both"/>
              <w:rPr>
                <w:rFonts w:ascii="Arial" w:hAnsi="Arial" w:cs="Arial"/>
                <w:b/>
                <w:bCs/>
                <w:color w:val="000000"/>
                <w:sz w:val="22"/>
                <w:szCs w:val="22"/>
              </w:rPr>
            </w:pPr>
            <w:r w:rsidRPr="007863C9">
              <w:rPr>
                <w:rFonts w:ascii="Arial" w:hAnsi="Arial" w:cs="Arial"/>
                <w:b/>
                <w:bCs/>
                <w:color w:val="000000"/>
                <w:sz w:val="22"/>
                <w:szCs w:val="22"/>
              </w:rPr>
              <w:t>100%</w:t>
            </w:r>
          </w:p>
        </w:tc>
        <w:tc>
          <w:tcPr>
            <w:tcW w:w="1080" w:type="dxa"/>
            <w:tcBorders>
              <w:top w:val="nil"/>
              <w:left w:val="nil"/>
              <w:bottom w:val="single" w:sz="8" w:space="0" w:color="auto"/>
              <w:right w:val="single" w:sz="8" w:space="0" w:color="auto"/>
            </w:tcBorders>
            <w:noWrap/>
            <w:vAlign w:val="bottom"/>
          </w:tcPr>
          <w:p w:rsidR="00312E61" w:rsidRPr="007863C9" w:rsidRDefault="00312E61" w:rsidP="007863C9">
            <w:pPr>
              <w:jc w:val="both"/>
              <w:rPr>
                <w:rFonts w:ascii="Arial" w:hAnsi="Arial" w:cs="Arial"/>
                <w:b/>
                <w:bCs/>
                <w:color w:val="000000"/>
                <w:sz w:val="22"/>
                <w:szCs w:val="22"/>
              </w:rPr>
            </w:pPr>
            <w:r w:rsidRPr="007863C9">
              <w:rPr>
                <w:rFonts w:ascii="Arial" w:hAnsi="Arial" w:cs="Arial"/>
                <w:b/>
                <w:bCs/>
                <w:color w:val="000000"/>
                <w:sz w:val="22"/>
                <w:szCs w:val="22"/>
              </w:rPr>
              <w:t>100%</w:t>
            </w:r>
          </w:p>
        </w:tc>
      </w:tr>
    </w:tbl>
    <w:p w:rsidR="00312E61" w:rsidRPr="007863C9" w:rsidRDefault="00312E61" w:rsidP="007863C9">
      <w:pPr>
        <w:tabs>
          <w:tab w:val="left" w:pos="432"/>
          <w:tab w:val="left" w:pos="864"/>
        </w:tabs>
        <w:spacing w:line="276" w:lineRule="auto"/>
        <w:jc w:val="both"/>
        <w:rPr>
          <w:rFonts w:ascii="Arial" w:hAnsi="Arial" w:cs="Arial"/>
          <w:b/>
          <w:sz w:val="22"/>
          <w:szCs w:val="22"/>
          <w:u w:val="single"/>
        </w:rPr>
      </w:pPr>
    </w:p>
    <w:sectPr w:rsidR="00312E61" w:rsidRPr="007863C9" w:rsidSect="00AD5C9B">
      <w:footerReference w:type="default" r:id="rId8"/>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E61" w:rsidRDefault="00312E61" w:rsidP="00383E30">
      <w:r>
        <w:separator/>
      </w:r>
    </w:p>
  </w:endnote>
  <w:endnote w:type="continuationSeparator" w:id="0">
    <w:p w:rsidR="00312E61" w:rsidRDefault="00312E61" w:rsidP="00383E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l?r ?S?V?b?N"/>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E61" w:rsidRDefault="00312E61">
    <w:pPr>
      <w:pStyle w:val="Footer"/>
      <w:jc w:val="right"/>
    </w:pPr>
    <w:fldSimple w:instr=" PAGE   \* MERGEFORMAT ">
      <w:r>
        <w:rPr>
          <w:noProof/>
        </w:rPr>
        <w:t>1</w:t>
      </w:r>
    </w:fldSimple>
  </w:p>
  <w:p w:rsidR="00312E61" w:rsidRDefault="00312E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E61" w:rsidRDefault="00312E61" w:rsidP="00383E30">
      <w:r>
        <w:separator/>
      </w:r>
    </w:p>
  </w:footnote>
  <w:footnote w:type="continuationSeparator" w:id="0">
    <w:p w:rsidR="00312E61" w:rsidRDefault="00312E61" w:rsidP="00383E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361DC"/>
    <w:multiLevelType w:val="hybridMultilevel"/>
    <w:tmpl w:val="CAA0D7A2"/>
    <w:lvl w:ilvl="0" w:tplc="87EE5686">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7E1A748B"/>
    <w:multiLevelType w:val="hybridMultilevel"/>
    <w:tmpl w:val="5886751E"/>
    <w:lvl w:ilvl="0" w:tplc="4262007E">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74DF"/>
    <w:rsid w:val="00020C04"/>
    <w:rsid w:val="000408D6"/>
    <w:rsid w:val="000C48D8"/>
    <w:rsid w:val="000D4576"/>
    <w:rsid w:val="000F3B14"/>
    <w:rsid w:val="0013376B"/>
    <w:rsid w:val="001433AE"/>
    <w:rsid w:val="00146011"/>
    <w:rsid w:val="0015727B"/>
    <w:rsid w:val="001713D2"/>
    <w:rsid w:val="0017790A"/>
    <w:rsid w:val="001B0917"/>
    <w:rsid w:val="001C74DF"/>
    <w:rsid w:val="001E3FB5"/>
    <w:rsid w:val="001E6902"/>
    <w:rsid w:val="00212CFC"/>
    <w:rsid w:val="00214FDB"/>
    <w:rsid w:val="0021698E"/>
    <w:rsid w:val="00225F44"/>
    <w:rsid w:val="002635AA"/>
    <w:rsid w:val="002C32BF"/>
    <w:rsid w:val="002F6E86"/>
    <w:rsid w:val="00312E61"/>
    <w:rsid w:val="003409DB"/>
    <w:rsid w:val="00340E55"/>
    <w:rsid w:val="003421BD"/>
    <w:rsid w:val="00370820"/>
    <w:rsid w:val="00383E30"/>
    <w:rsid w:val="0039665C"/>
    <w:rsid w:val="003D2707"/>
    <w:rsid w:val="00416ACF"/>
    <w:rsid w:val="00437A0B"/>
    <w:rsid w:val="004545E3"/>
    <w:rsid w:val="00461F7A"/>
    <w:rsid w:val="004B1BC7"/>
    <w:rsid w:val="004B1D8A"/>
    <w:rsid w:val="004C7600"/>
    <w:rsid w:val="004F291C"/>
    <w:rsid w:val="005141B3"/>
    <w:rsid w:val="005636E8"/>
    <w:rsid w:val="00565CB8"/>
    <w:rsid w:val="00574E19"/>
    <w:rsid w:val="005B646C"/>
    <w:rsid w:val="005C0A1F"/>
    <w:rsid w:val="005D0D1B"/>
    <w:rsid w:val="005E3903"/>
    <w:rsid w:val="0060769C"/>
    <w:rsid w:val="00613FC6"/>
    <w:rsid w:val="006239F1"/>
    <w:rsid w:val="00624D20"/>
    <w:rsid w:val="0062770E"/>
    <w:rsid w:val="00636454"/>
    <w:rsid w:val="0064275F"/>
    <w:rsid w:val="00647EF2"/>
    <w:rsid w:val="00653A85"/>
    <w:rsid w:val="006879E6"/>
    <w:rsid w:val="006A0489"/>
    <w:rsid w:val="006B0F39"/>
    <w:rsid w:val="006E024F"/>
    <w:rsid w:val="006F3247"/>
    <w:rsid w:val="007118EA"/>
    <w:rsid w:val="00726A9C"/>
    <w:rsid w:val="007359BF"/>
    <w:rsid w:val="007734AE"/>
    <w:rsid w:val="007863C9"/>
    <w:rsid w:val="007914E0"/>
    <w:rsid w:val="007A32AF"/>
    <w:rsid w:val="007A36D9"/>
    <w:rsid w:val="007B1BA1"/>
    <w:rsid w:val="007D57FF"/>
    <w:rsid w:val="00835A0C"/>
    <w:rsid w:val="00844F10"/>
    <w:rsid w:val="00891265"/>
    <w:rsid w:val="008C2559"/>
    <w:rsid w:val="00911717"/>
    <w:rsid w:val="009163A5"/>
    <w:rsid w:val="00917F73"/>
    <w:rsid w:val="00923022"/>
    <w:rsid w:val="00953363"/>
    <w:rsid w:val="0096007E"/>
    <w:rsid w:val="00962595"/>
    <w:rsid w:val="00965E1B"/>
    <w:rsid w:val="009A18A7"/>
    <w:rsid w:val="009A486F"/>
    <w:rsid w:val="009A6C01"/>
    <w:rsid w:val="009B48B7"/>
    <w:rsid w:val="00A14D50"/>
    <w:rsid w:val="00A27751"/>
    <w:rsid w:val="00A525F0"/>
    <w:rsid w:val="00A67E34"/>
    <w:rsid w:val="00A67E76"/>
    <w:rsid w:val="00A72B9B"/>
    <w:rsid w:val="00A7424E"/>
    <w:rsid w:val="00AD00CE"/>
    <w:rsid w:val="00AD5C9B"/>
    <w:rsid w:val="00AF3154"/>
    <w:rsid w:val="00B26DFB"/>
    <w:rsid w:val="00B4341D"/>
    <w:rsid w:val="00B447E6"/>
    <w:rsid w:val="00B77C54"/>
    <w:rsid w:val="00B77F67"/>
    <w:rsid w:val="00B967AA"/>
    <w:rsid w:val="00BC3866"/>
    <w:rsid w:val="00BC7D12"/>
    <w:rsid w:val="00BD31C6"/>
    <w:rsid w:val="00BD6A7D"/>
    <w:rsid w:val="00C25C7E"/>
    <w:rsid w:val="00C312EA"/>
    <w:rsid w:val="00C44C35"/>
    <w:rsid w:val="00C60822"/>
    <w:rsid w:val="00C95250"/>
    <w:rsid w:val="00CC2F3E"/>
    <w:rsid w:val="00DB2463"/>
    <w:rsid w:val="00DD5296"/>
    <w:rsid w:val="00DF0D26"/>
    <w:rsid w:val="00E4579C"/>
    <w:rsid w:val="00E76F56"/>
    <w:rsid w:val="00E77DF6"/>
    <w:rsid w:val="00E8352B"/>
    <w:rsid w:val="00E83A43"/>
    <w:rsid w:val="00E903E5"/>
    <w:rsid w:val="00EA6A49"/>
    <w:rsid w:val="00EB5B93"/>
    <w:rsid w:val="00EE3D00"/>
    <w:rsid w:val="00F51C17"/>
    <w:rsid w:val="00F5571A"/>
    <w:rsid w:val="00F87EA6"/>
    <w:rsid w:val="00FC206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454"/>
    <w:rPr>
      <w:sz w:val="24"/>
      <w:szCs w:val="24"/>
    </w:rPr>
  </w:style>
  <w:style w:type="paragraph" w:styleId="Heading1">
    <w:name w:val="heading 1"/>
    <w:basedOn w:val="Normal"/>
    <w:next w:val="Normal"/>
    <w:link w:val="Heading1Char"/>
    <w:uiPriority w:val="99"/>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892"/>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uiPriority w:val="99"/>
    <w:rsid w:val="001433AE"/>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647EF2"/>
    <w:rPr>
      <w:sz w:val="24"/>
      <w:lang w:val="en-US" w:eastAsia="en-US"/>
    </w:rPr>
  </w:style>
  <w:style w:type="paragraph" w:customStyle="1" w:styleId="Char">
    <w:name w:val="Char"/>
    <w:basedOn w:val="Normal"/>
    <w:uiPriority w:val="99"/>
    <w:rsid w:val="001433AE"/>
    <w:rPr>
      <w:rFonts w:ascii="Arial" w:hAnsi="Arial" w:cs="Arial"/>
      <w:sz w:val="22"/>
      <w:szCs w:val="22"/>
      <w:lang w:val="en-AU"/>
    </w:rPr>
  </w:style>
  <w:style w:type="paragraph" w:styleId="BodyTextIndent2">
    <w:name w:val="Body Text Indent 2"/>
    <w:basedOn w:val="Normal"/>
    <w:link w:val="BodyTextIndent2Char"/>
    <w:uiPriority w:val="99"/>
    <w:rsid w:val="002F6E86"/>
    <w:pPr>
      <w:spacing w:after="120" w:line="480" w:lineRule="auto"/>
      <w:ind w:left="283"/>
    </w:pPr>
  </w:style>
  <w:style w:type="character" w:customStyle="1" w:styleId="BodyTextIndent2Char">
    <w:name w:val="Body Text Indent 2 Char"/>
    <w:basedOn w:val="DefaultParagraphFont"/>
    <w:link w:val="BodyTextIndent2"/>
    <w:uiPriority w:val="99"/>
    <w:semiHidden/>
    <w:rsid w:val="00507892"/>
    <w:rPr>
      <w:sz w:val="24"/>
      <w:szCs w:val="24"/>
    </w:rPr>
  </w:style>
  <w:style w:type="character" w:styleId="Hyperlink">
    <w:name w:val="Hyperlink"/>
    <w:basedOn w:val="DefaultParagraphFont"/>
    <w:uiPriority w:val="99"/>
    <w:rsid w:val="004B1D8A"/>
    <w:rPr>
      <w:rFonts w:cs="Times New Roman"/>
      <w:color w:val="0000FF"/>
      <w:u w:val="single"/>
    </w:rPr>
  </w:style>
  <w:style w:type="character" w:styleId="Strong">
    <w:name w:val="Strong"/>
    <w:basedOn w:val="DefaultParagraphFont"/>
    <w:uiPriority w:val="99"/>
    <w:qFormat/>
    <w:rsid w:val="004B1D8A"/>
    <w:rPr>
      <w:rFonts w:cs="Times New Roman"/>
      <w:b/>
      <w:bCs/>
    </w:rPr>
  </w:style>
  <w:style w:type="paragraph" w:styleId="BalloonText">
    <w:name w:val="Balloon Text"/>
    <w:basedOn w:val="Normal"/>
    <w:link w:val="BalloonTextChar"/>
    <w:uiPriority w:val="99"/>
    <w:rsid w:val="004B1D8A"/>
    <w:rPr>
      <w:rFonts w:ascii="Tahoma" w:hAnsi="Tahoma" w:cs="Tahoma"/>
      <w:sz w:val="16"/>
      <w:szCs w:val="16"/>
    </w:rPr>
  </w:style>
  <w:style w:type="character" w:customStyle="1" w:styleId="BalloonTextChar">
    <w:name w:val="Balloon Text Char"/>
    <w:basedOn w:val="DefaultParagraphFont"/>
    <w:link w:val="BalloonText"/>
    <w:uiPriority w:val="99"/>
    <w:locked/>
    <w:rsid w:val="004B1D8A"/>
    <w:rPr>
      <w:rFonts w:ascii="Tahoma" w:hAnsi="Tahoma" w:cs="Tahoma"/>
      <w:sz w:val="16"/>
      <w:szCs w:val="16"/>
      <w:lang w:val="en-US" w:eastAsia="en-US"/>
    </w:rPr>
  </w:style>
  <w:style w:type="table" w:styleId="LightGrid">
    <w:name w:val="Light Grid"/>
    <w:basedOn w:val="TableNormal"/>
    <w:uiPriority w:val="99"/>
    <w:rsid w:val="0021698E"/>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TableGrid">
    <w:name w:val="Table Grid"/>
    <w:basedOn w:val="TableNormal"/>
    <w:uiPriority w:val="99"/>
    <w:rsid w:val="006A048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83E30"/>
    <w:pPr>
      <w:tabs>
        <w:tab w:val="center" w:pos="4513"/>
        <w:tab w:val="right" w:pos="9026"/>
      </w:tabs>
    </w:pPr>
  </w:style>
  <w:style w:type="character" w:customStyle="1" w:styleId="HeaderChar">
    <w:name w:val="Header Char"/>
    <w:basedOn w:val="DefaultParagraphFont"/>
    <w:link w:val="Header"/>
    <w:uiPriority w:val="99"/>
    <w:locked/>
    <w:rsid w:val="00383E30"/>
    <w:rPr>
      <w:rFonts w:cs="Times New Roman"/>
      <w:sz w:val="24"/>
      <w:szCs w:val="24"/>
      <w:lang w:val="en-US" w:eastAsia="en-US"/>
    </w:rPr>
  </w:style>
  <w:style w:type="paragraph" w:styleId="Footer">
    <w:name w:val="footer"/>
    <w:basedOn w:val="Normal"/>
    <w:link w:val="FooterChar"/>
    <w:uiPriority w:val="99"/>
    <w:rsid w:val="00383E30"/>
    <w:pPr>
      <w:tabs>
        <w:tab w:val="center" w:pos="4513"/>
        <w:tab w:val="right" w:pos="9026"/>
      </w:tabs>
    </w:pPr>
  </w:style>
  <w:style w:type="character" w:customStyle="1" w:styleId="FooterChar">
    <w:name w:val="Footer Char"/>
    <w:basedOn w:val="DefaultParagraphFont"/>
    <w:link w:val="Footer"/>
    <w:uiPriority w:val="99"/>
    <w:locked/>
    <w:rsid w:val="00383E30"/>
    <w:rPr>
      <w:rFonts w:cs="Times New Roman"/>
      <w:sz w:val="24"/>
      <w:szCs w:val="24"/>
      <w:lang w:val="en-US" w:eastAsia="en-US"/>
    </w:rPr>
  </w:style>
  <w:style w:type="character" w:styleId="FollowedHyperlink">
    <w:name w:val="FollowedHyperlink"/>
    <w:basedOn w:val="DefaultParagraphFont"/>
    <w:uiPriority w:val="99"/>
    <w:rsid w:val="00844F10"/>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392772175">
      <w:marLeft w:val="0"/>
      <w:marRight w:val="0"/>
      <w:marTop w:val="0"/>
      <w:marBottom w:val="0"/>
      <w:divBdr>
        <w:top w:val="none" w:sz="0" w:space="0" w:color="auto"/>
        <w:left w:val="none" w:sz="0" w:space="0" w:color="auto"/>
        <w:bottom w:val="none" w:sz="0" w:space="0" w:color="auto"/>
        <w:right w:val="none" w:sz="0" w:space="0" w:color="auto"/>
      </w:divBdr>
    </w:div>
    <w:div w:id="1392772176">
      <w:marLeft w:val="0"/>
      <w:marRight w:val="0"/>
      <w:marTop w:val="0"/>
      <w:marBottom w:val="0"/>
      <w:divBdr>
        <w:top w:val="none" w:sz="0" w:space="0" w:color="auto"/>
        <w:left w:val="none" w:sz="0" w:space="0" w:color="auto"/>
        <w:bottom w:val="none" w:sz="0" w:space="0" w:color="auto"/>
        <w:right w:val="none" w:sz="0" w:space="0" w:color="auto"/>
      </w:divBdr>
    </w:div>
    <w:div w:id="1392772177">
      <w:marLeft w:val="0"/>
      <w:marRight w:val="0"/>
      <w:marTop w:val="0"/>
      <w:marBottom w:val="0"/>
      <w:divBdr>
        <w:top w:val="none" w:sz="0" w:space="0" w:color="auto"/>
        <w:left w:val="none" w:sz="0" w:space="0" w:color="auto"/>
        <w:bottom w:val="none" w:sz="0" w:space="0" w:color="auto"/>
        <w:right w:val="none" w:sz="0" w:space="0" w:color="auto"/>
      </w:divBdr>
    </w:div>
    <w:div w:id="1392772178">
      <w:marLeft w:val="0"/>
      <w:marRight w:val="0"/>
      <w:marTop w:val="0"/>
      <w:marBottom w:val="0"/>
      <w:divBdr>
        <w:top w:val="none" w:sz="0" w:space="0" w:color="auto"/>
        <w:left w:val="none" w:sz="0" w:space="0" w:color="auto"/>
        <w:bottom w:val="none" w:sz="0" w:space="0" w:color="auto"/>
        <w:right w:val="none" w:sz="0" w:space="0" w:color="auto"/>
      </w:divBdr>
    </w:div>
    <w:div w:id="1392772179">
      <w:marLeft w:val="0"/>
      <w:marRight w:val="0"/>
      <w:marTop w:val="0"/>
      <w:marBottom w:val="0"/>
      <w:divBdr>
        <w:top w:val="none" w:sz="0" w:space="0" w:color="auto"/>
        <w:left w:val="none" w:sz="0" w:space="0" w:color="auto"/>
        <w:bottom w:val="none" w:sz="0" w:space="0" w:color="auto"/>
        <w:right w:val="none" w:sz="0" w:space="0" w:color="auto"/>
      </w:divBdr>
    </w:div>
    <w:div w:id="1392772180">
      <w:marLeft w:val="0"/>
      <w:marRight w:val="0"/>
      <w:marTop w:val="0"/>
      <w:marBottom w:val="0"/>
      <w:divBdr>
        <w:top w:val="none" w:sz="0" w:space="0" w:color="auto"/>
        <w:left w:val="none" w:sz="0" w:space="0" w:color="auto"/>
        <w:bottom w:val="none" w:sz="0" w:space="0" w:color="auto"/>
        <w:right w:val="none" w:sz="0" w:space="0" w:color="auto"/>
      </w:divBdr>
    </w:div>
    <w:div w:id="1392772181">
      <w:marLeft w:val="0"/>
      <w:marRight w:val="0"/>
      <w:marTop w:val="0"/>
      <w:marBottom w:val="0"/>
      <w:divBdr>
        <w:top w:val="none" w:sz="0" w:space="0" w:color="auto"/>
        <w:left w:val="none" w:sz="0" w:space="0" w:color="auto"/>
        <w:bottom w:val="none" w:sz="0" w:space="0" w:color="auto"/>
        <w:right w:val="none" w:sz="0" w:space="0" w:color="auto"/>
      </w:divBdr>
    </w:div>
    <w:div w:id="13927721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nergy.gov.za/files/petroleum_fram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1667</Words>
  <Characters>9505</Characters>
  <Application>Microsoft Office Outlook</Application>
  <DocSecurity>0</DocSecurity>
  <Lines>0</Lines>
  <Paragraphs>0</Paragraphs>
  <ScaleCrop>false</ScaleCrop>
  <Company>National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Lindile Batwa</dc:creator>
  <cp:keywords/>
  <dc:description/>
  <cp:lastModifiedBy>schuene</cp:lastModifiedBy>
  <cp:revision>2</cp:revision>
  <cp:lastPrinted>2015-07-07T14:08:00Z</cp:lastPrinted>
  <dcterms:created xsi:type="dcterms:W3CDTF">2015-07-28T11:11:00Z</dcterms:created>
  <dcterms:modified xsi:type="dcterms:W3CDTF">2015-07-28T11:11:00Z</dcterms:modified>
</cp:coreProperties>
</file>