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4B" w:rsidRDefault="00741E4B" w:rsidP="00A65FEB">
      <w:pPr>
        <w:spacing w:after="0" w:line="240" w:lineRule="auto"/>
      </w:pPr>
      <w:bookmarkStart w:id="0" w:name="_GoBack"/>
      <w:bookmarkEnd w:id="0"/>
    </w:p>
    <w:p w:rsidR="00741E4B" w:rsidRPr="00EC4B64" w:rsidRDefault="00741E4B" w:rsidP="00FB4659">
      <w:pPr>
        <w:spacing w:after="0" w:line="240" w:lineRule="auto"/>
        <w:jc w:val="center"/>
        <w:rPr>
          <w:rFonts w:ascii="Arial" w:hAnsi="Arial" w:cs="Arial"/>
        </w:rPr>
      </w:pPr>
    </w:p>
    <w:p w:rsidR="00CC32BE" w:rsidRPr="00EC4B64" w:rsidRDefault="00CC32BE" w:rsidP="00173BDA">
      <w:pPr>
        <w:spacing w:line="240" w:lineRule="auto"/>
        <w:rPr>
          <w:rFonts w:ascii="Arial" w:eastAsia="Times New Roman" w:hAnsi="Arial" w:cs="Arial"/>
          <w:b/>
          <w:snapToGrid w:val="0"/>
          <w:color w:val="000000"/>
          <w:lang w:val="en-GB"/>
        </w:rPr>
      </w:pPr>
      <w:r w:rsidRPr="00EC4B64">
        <w:rPr>
          <w:rFonts w:ascii="Arial" w:eastAsia="Times New Roman" w:hAnsi="Arial" w:cs="Arial"/>
          <w:b/>
          <w:snapToGrid w:val="0"/>
          <w:color w:val="000000"/>
          <w:lang w:val="en-GB"/>
        </w:rPr>
        <w:t>_______________________________________</w:t>
      </w:r>
      <w:r w:rsidR="004808A5" w:rsidRPr="00EC4B64">
        <w:rPr>
          <w:rFonts w:ascii="Arial" w:eastAsia="Times New Roman" w:hAnsi="Arial" w:cs="Arial"/>
          <w:b/>
          <w:snapToGrid w:val="0"/>
          <w:color w:val="000000"/>
          <w:lang w:val="en-GB"/>
        </w:rPr>
        <w:t>_</w:t>
      </w:r>
      <w:r w:rsidR="00EC4B64">
        <w:rPr>
          <w:rFonts w:ascii="Arial" w:eastAsia="Times New Roman" w:hAnsi="Arial" w:cs="Arial"/>
          <w:b/>
          <w:snapToGrid w:val="0"/>
          <w:color w:val="000000"/>
          <w:lang w:val="en-GB"/>
        </w:rPr>
        <w:t>_________________________________</w:t>
      </w:r>
    </w:p>
    <w:p w:rsidR="00D33C41" w:rsidRPr="00EC4B6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C4B64">
        <w:rPr>
          <w:rFonts w:ascii="Arial" w:eastAsia="Times New Roman" w:hAnsi="Arial" w:cs="Arial"/>
          <w:b/>
          <w:snapToGrid w:val="0"/>
          <w:color w:val="000000"/>
          <w:lang w:val="en-GB"/>
        </w:rPr>
        <w:t>NATIONAL ASSEMBLY</w:t>
      </w:r>
    </w:p>
    <w:p w:rsidR="00D33C41" w:rsidRPr="00EC4B6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C4B64">
        <w:rPr>
          <w:rFonts w:ascii="Arial" w:eastAsia="Times New Roman" w:hAnsi="Arial" w:cs="Arial"/>
          <w:b/>
          <w:snapToGrid w:val="0"/>
          <w:color w:val="000000"/>
          <w:lang w:val="en-GB"/>
        </w:rPr>
        <w:t xml:space="preserve">QUESTION FOR </w:t>
      </w:r>
      <w:r w:rsidR="00CB758D" w:rsidRPr="00EC4B64">
        <w:rPr>
          <w:rFonts w:ascii="Arial" w:eastAsia="Times New Roman" w:hAnsi="Arial" w:cs="Arial"/>
          <w:b/>
          <w:snapToGrid w:val="0"/>
          <w:color w:val="000000"/>
          <w:lang w:val="en-GB"/>
        </w:rPr>
        <w:t>WRITTEN</w:t>
      </w:r>
      <w:r w:rsidR="00D33C41" w:rsidRPr="00EC4B64">
        <w:rPr>
          <w:rFonts w:ascii="Arial" w:eastAsia="Times New Roman" w:hAnsi="Arial" w:cs="Arial"/>
          <w:b/>
          <w:snapToGrid w:val="0"/>
          <w:color w:val="000000"/>
          <w:lang w:val="en-GB"/>
        </w:rPr>
        <w:t xml:space="preserve"> REPLY</w:t>
      </w:r>
    </w:p>
    <w:p w:rsidR="00D33C41" w:rsidRPr="00EC4B6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C4B64">
        <w:rPr>
          <w:rFonts w:ascii="Arial" w:eastAsia="Times New Roman" w:hAnsi="Arial" w:cs="Arial"/>
          <w:b/>
          <w:snapToGrid w:val="0"/>
          <w:lang w:val="en-GB"/>
        </w:rPr>
        <w:t>QUESTION NUMBER:</w:t>
      </w:r>
      <w:r w:rsidR="00E556BF" w:rsidRPr="00EC4B64">
        <w:rPr>
          <w:rFonts w:ascii="Arial" w:eastAsia="Times New Roman" w:hAnsi="Arial" w:cs="Arial"/>
          <w:b/>
          <w:snapToGrid w:val="0"/>
          <w:lang w:val="en-GB"/>
        </w:rPr>
        <w:t xml:space="preserve"> </w:t>
      </w:r>
      <w:r w:rsidRPr="00EC4B64">
        <w:rPr>
          <w:rFonts w:ascii="Arial" w:eastAsia="Times New Roman" w:hAnsi="Arial" w:cs="Arial"/>
          <w:b/>
          <w:snapToGrid w:val="0"/>
          <w:lang w:val="en-GB"/>
        </w:rPr>
        <w:tab/>
      </w:r>
      <w:r w:rsidR="00FA5947" w:rsidRPr="00EC4B64">
        <w:rPr>
          <w:rFonts w:ascii="Arial" w:eastAsia="Times New Roman" w:hAnsi="Arial" w:cs="Arial"/>
          <w:b/>
          <w:snapToGrid w:val="0"/>
          <w:lang w:val="en-GB"/>
        </w:rPr>
        <w:t>2</w:t>
      </w:r>
      <w:r w:rsidR="00E224AD" w:rsidRPr="00EC4B64">
        <w:rPr>
          <w:rFonts w:ascii="Arial" w:eastAsia="Times New Roman" w:hAnsi="Arial" w:cs="Arial"/>
          <w:b/>
          <w:snapToGrid w:val="0"/>
          <w:lang w:val="en-GB"/>
        </w:rPr>
        <w:t>3</w:t>
      </w:r>
      <w:r w:rsidR="00DD6BBA" w:rsidRPr="00EC4B64">
        <w:rPr>
          <w:rFonts w:ascii="Arial" w:eastAsia="Times New Roman" w:hAnsi="Arial" w:cs="Arial"/>
          <w:b/>
          <w:snapToGrid w:val="0"/>
          <w:lang w:val="en-GB"/>
        </w:rPr>
        <w:t>56</w:t>
      </w:r>
    </w:p>
    <w:p w:rsidR="00D33C41" w:rsidRPr="00EC4B64" w:rsidRDefault="00D33C41" w:rsidP="00FB4659">
      <w:pPr>
        <w:spacing w:after="120" w:line="240" w:lineRule="auto"/>
        <w:jc w:val="center"/>
        <w:rPr>
          <w:rFonts w:ascii="Arial" w:eastAsia="Times New Roman" w:hAnsi="Arial" w:cs="Arial"/>
          <w:b/>
          <w:snapToGrid w:val="0"/>
          <w:lang w:val="en-GB"/>
        </w:rPr>
      </w:pPr>
      <w:r w:rsidRPr="00EC4B64">
        <w:rPr>
          <w:rFonts w:ascii="Arial" w:eastAsia="Times New Roman" w:hAnsi="Arial" w:cs="Arial"/>
          <w:b/>
          <w:snapToGrid w:val="0"/>
          <w:lang w:val="en-GB"/>
        </w:rPr>
        <w:t xml:space="preserve">DATE OF PUBLICATION IN INTERNAL QUESTION PAPER: </w:t>
      </w:r>
      <w:r w:rsidR="00DD6BBA" w:rsidRPr="00EC4B64">
        <w:rPr>
          <w:rFonts w:ascii="Arial" w:eastAsia="Times New Roman" w:hAnsi="Arial" w:cs="Arial"/>
          <w:b/>
          <w:snapToGrid w:val="0"/>
          <w:lang w:val="en-GB"/>
        </w:rPr>
        <w:t>20</w:t>
      </w:r>
      <w:r w:rsidR="0029264C" w:rsidRPr="00EC4B64">
        <w:rPr>
          <w:rFonts w:ascii="Arial" w:eastAsia="Times New Roman" w:hAnsi="Arial" w:cs="Arial"/>
          <w:b/>
          <w:snapToGrid w:val="0"/>
          <w:lang w:val="en-GB"/>
        </w:rPr>
        <w:t xml:space="preserve"> JUNE</w:t>
      </w:r>
      <w:r w:rsidR="009E7540" w:rsidRPr="00EC4B64">
        <w:rPr>
          <w:rFonts w:ascii="Arial" w:eastAsia="Times New Roman" w:hAnsi="Arial" w:cs="Arial"/>
          <w:b/>
          <w:snapToGrid w:val="0"/>
          <w:lang w:val="en-GB"/>
        </w:rPr>
        <w:t xml:space="preserve"> 202</w:t>
      </w:r>
      <w:r w:rsidR="00FA5947" w:rsidRPr="00EC4B64">
        <w:rPr>
          <w:rFonts w:ascii="Arial" w:eastAsia="Times New Roman" w:hAnsi="Arial" w:cs="Arial"/>
          <w:b/>
          <w:snapToGrid w:val="0"/>
          <w:lang w:val="en-GB"/>
        </w:rPr>
        <w:t>2</w:t>
      </w:r>
    </w:p>
    <w:p w:rsidR="00D33C41" w:rsidRPr="00EC4B64"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C4B64">
        <w:rPr>
          <w:rFonts w:ascii="Arial" w:eastAsia="Times New Roman" w:hAnsi="Arial" w:cs="Arial"/>
          <w:b/>
          <w:snapToGrid w:val="0"/>
          <w:lang w:val="en-GB"/>
        </w:rPr>
        <w:t xml:space="preserve">INTERNAL QUESTION PAPER NUMBER:  </w:t>
      </w:r>
      <w:r w:rsidR="005E3C42" w:rsidRPr="00EC4B64">
        <w:rPr>
          <w:rFonts w:ascii="Arial" w:eastAsia="Times New Roman" w:hAnsi="Arial" w:cs="Arial"/>
          <w:b/>
          <w:snapToGrid w:val="0"/>
          <w:lang w:val="en-GB"/>
        </w:rPr>
        <w:t>2</w:t>
      </w:r>
      <w:r w:rsidR="00E224AD" w:rsidRPr="00EC4B64">
        <w:rPr>
          <w:rFonts w:ascii="Arial" w:eastAsia="Times New Roman" w:hAnsi="Arial" w:cs="Arial"/>
          <w:b/>
          <w:snapToGrid w:val="0"/>
          <w:lang w:val="en-GB"/>
        </w:rPr>
        <w:t>4</w:t>
      </w:r>
      <w:r w:rsidR="009E7540" w:rsidRPr="00EC4B64">
        <w:rPr>
          <w:rFonts w:ascii="Arial" w:eastAsia="Times New Roman" w:hAnsi="Arial" w:cs="Arial"/>
          <w:b/>
          <w:snapToGrid w:val="0"/>
          <w:lang w:val="en-GB"/>
        </w:rPr>
        <w:t xml:space="preserve"> - 202</w:t>
      </w:r>
      <w:r w:rsidR="00FA5947" w:rsidRPr="00EC4B64">
        <w:rPr>
          <w:rFonts w:ascii="Arial" w:eastAsia="Times New Roman" w:hAnsi="Arial" w:cs="Arial"/>
          <w:b/>
          <w:snapToGrid w:val="0"/>
          <w:lang w:val="en-GB"/>
        </w:rPr>
        <w:t>2</w:t>
      </w:r>
    </w:p>
    <w:p w:rsidR="00DD6BBA" w:rsidRPr="00EC4B64" w:rsidRDefault="00DD6BBA" w:rsidP="00DD6BBA">
      <w:pPr>
        <w:spacing w:before="100" w:beforeAutospacing="1" w:after="100" w:afterAutospacing="1"/>
        <w:ind w:left="540" w:right="26" w:hanging="540"/>
        <w:jc w:val="both"/>
        <w:rPr>
          <w:rFonts w:ascii="Arial" w:hAnsi="Arial" w:cs="Arial"/>
          <w:lang w:val="en-US"/>
        </w:rPr>
      </w:pPr>
      <w:r w:rsidRPr="00EC4B64">
        <w:rPr>
          <w:rFonts w:ascii="Arial" w:hAnsi="Arial" w:cs="Arial"/>
          <w:b/>
          <w:bCs/>
          <w:lang w:val="en-US"/>
        </w:rPr>
        <w:t xml:space="preserve">2356.   Ms A L A Abrahams (DA) to ask the Minister of Social Development: </w:t>
      </w:r>
      <w:r w:rsidRPr="00EC4B64">
        <w:rPr>
          <w:rFonts w:ascii="Arial" w:hAnsi="Arial" w:cs="Arial"/>
          <w:b/>
          <w:bCs/>
          <w:i/>
          <w:iCs/>
          <w:lang w:val="en-US"/>
        </w:rPr>
        <w:t>[Interdepartmentally transferred from Basic Education with effect Thursday, 7 July 2022]</w:t>
      </w:r>
    </w:p>
    <w:p w:rsidR="00411E36" w:rsidRPr="00EC4B64" w:rsidRDefault="002711E5" w:rsidP="002711E5">
      <w:pPr>
        <w:autoSpaceDE w:val="0"/>
        <w:autoSpaceDN w:val="0"/>
        <w:spacing w:before="100" w:beforeAutospacing="1" w:after="100" w:afterAutospacing="1"/>
        <w:ind w:left="1440" w:right="26" w:hanging="720"/>
        <w:jc w:val="both"/>
        <w:rPr>
          <w:rFonts w:ascii="Arial" w:hAnsi="Arial" w:cs="Arial"/>
          <w:lang w:val="en-US"/>
        </w:rPr>
      </w:pPr>
      <w:r w:rsidRPr="00EC4B64">
        <w:rPr>
          <w:rFonts w:ascii="Arial" w:hAnsi="Arial" w:cs="Arial"/>
          <w:lang w:val="en-US"/>
        </w:rPr>
        <w:t xml:space="preserve">(1)        With regard to learners who are child support grant beneficiaries within the </w:t>
      </w:r>
      <w:r w:rsidR="00EC4B64" w:rsidRPr="00EC4B64">
        <w:rPr>
          <w:rFonts w:ascii="Arial" w:hAnsi="Arial" w:cs="Arial"/>
          <w:lang w:val="en-US"/>
        </w:rPr>
        <w:t>public-school</w:t>
      </w:r>
      <w:r w:rsidRPr="00EC4B64">
        <w:rPr>
          <w:rFonts w:ascii="Arial" w:hAnsi="Arial" w:cs="Arial"/>
          <w:lang w:val="en-US"/>
        </w:rPr>
        <w:t xml:space="preserve"> system in the academic period 2017 to 2022 in each province, what number of learners (a) were 18 years and older in the period 2017 to 2021, (b) are expected to turn 18 years in 2022, (c) have remained in school after turning 18 years old and (d) completed their schooling to matric level after turning 18 years old;</w:t>
      </w:r>
    </w:p>
    <w:p w:rsidR="002711E5" w:rsidRPr="00EC4B64" w:rsidRDefault="002711E5" w:rsidP="002711E5">
      <w:pPr>
        <w:autoSpaceDE w:val="0"/>
        <w:autoSpaceDN w:val="0"/>
        <w:spacing w:before="100" w:beforeAutospacing="1" w:after="100" w:afterAutospacing="1"/>
        <w:ind w:left="1440" w:right="26" w:hanging="720"/>
        <w:jc w:val="both"/>
        <w:rPr>
          <w:rFonts w:ascii="Arial" w:hAnsi="Arial" w:cs="Arial"/>
          <w:lang w:val="en-US"/>
        </w:rPr>
      </w:pPr>
      <w:r w:rsidRPr="00EC4B64">
        <w:rPr>
          <w:rFonts w:ascii="Arial" w:hAnsi="Arial" w:cs="Arial"/>
          <w:lang w:val="en-US"/>
        </w:rPr>
        <w:t>(2)        what has she found are the reasons that the learners who are 18 years and older do not complete their schooling until matric;</w:t>
      </w:r>
    </w:p>
    <w:p w:rsidR="002711E5" w:rsidRPr="00EC4B64" w:rsidRDefault="002711E5" w:rsidP="002711E5">
      <w:pPr>
        <w:autoSpaceDE w:val="0"/>
        <w:autoSpaceDN w:val="0"/>
        <w:spacing w:before="100" w:beforeAutospacing="1" w:after="100" w:afterAutospacing="1"/>
        <w:ind w:left="1440" w:right="26" w:hanging="720"/>
        <w:jc w:val="both"/>
        <w:rPr>
          <w:rFonts w:ascii="Arial" w:hAnsi="Arial" w:cs="Arial"/>
          <w:lang w:val="en-US"/>
        </w:rPr>
      </w:pPr>
      <w:r w:rsidRPr="00EC4B64">
        <w:rPr>
          <w:rFonts w:ascii="Arial" w:hAnsi="Arial" w:cs="Arial"/>
          <w:lang w:val="en-US"/>
        </w:rPr>
        <w:t>(3)        what has she found have been some of the benefits of the child support grant to learners;</w:t>
      </w:r>
    </w:p>
    <w:p w:rsidR="002711E5" w:rsidRPr="00EC4B64" w:rsidRDefault="002711E5" w:rsidP="002711E5">
      <w:pPr>
        <w:autoSpaceDE w:val="0"/>
        <w:autoSpaceDN w:val="0"/>
        <w:spacing w:before="100" w:beforeAutospacing="1" w:after="100" w:afterAutospacing="1"/>
        <w:ind w:left="1440" w:right="26" w:hanging="720"/>
        <w:jc w:val="both"/>
        <w:rPr>
          <w:rFonts w:ascii="Arial" w:hAnsi="Arial" w:cs="Arial"/>
          <w:lang w:val="en-US"/>
        </w:rPr>
      </w:pPr>
      <w:r w:rsidRPr="00EC4B64">
        <w:rPr>
          <w:rFonts w:ascii="Arial" w:hAnsi="Arial" w:cs="Arial"/>
          <w:lang w:val="en-US"/>
        </w:rPr>
        <w:t xml:space="preserve">(4)        whether she has found that the child support grant supports and encourages vulnerable learners to attend and complete their schooling; if not, what is the position in this regard; if so, what are the relevant details?                </w:t>
      </w:r>
      <w:r w:rsidRPr="00EC4B64">
        <w:rPr>
          <w:rFonts w:ascii="Arial" w:hAnsi="Arial" w:cs="Arial"/>
          <w:lang w:val="en-US"/>
        </w:rPr>
        <w:tab/>
      </w:r>
      <w:r w:rsidRPr="00EC4B64">
        <w:rPr>
          <w:rFonts w:ascii="Arial" w:hAnsi="Arial" w:cs="Arial"/>
          <w:lang w:val="en-US"/>
        </w:rPr>
        <w:tab/>
      </w:r>
      <w:r w:rsidRPr="00EC4B64">
        <w:rPr>
          <w:rFonts w:ascii="Arial" w:hAnsi="Arial" w:cs="Arial"/>
          <w:lang w:val="en-US"/>
        </w:rPr>
        <w:tab/>
        <w:t xml:space="preserve">      NW2778E</w:t>
      </w:r>
    </w:p>
    <w:p w:rsidR="00EC4B64" w:rsidRDefault="002711E5" w:rsidP="00EC4B64">
      <w:pPr>
        <w:autoSpaceDE w:val="0"/>
        <w:autoSpaceDN w:val="0"/>
        <w:spacing w:before="100" w:beforeAutospacing="1" w:after="100" w:afterAutospacing="1"/>
        <w:ind w:right="26"/>
        <w:jc w:val="both"/>
        <w:rPr>
          <w:rFonts w:ascii="Arial" w:hAnsi="Arial" w:cs="Arial"/>
          <w:lang w:val="en-US"/>
        </w:rPr>
      </w:pPr>
      <w:r w:rsidRPr="00EC4B64">
        <w:rPr>
          <w:rFonts w:ascii="Arial" w:hAnsi="Arial" w:cs="Arial"/>
          <w:lang w:val="en-US"/>
        </w:rPr>
        <w:t>REPLY:</w:t>
      </w:r>
    </w:p>
    <w:p w:rsidR="001E2F8B" w:rsidRPr="00EC4B64" w:rsidRDefault="00EC4B64" w:rsidP="00EC4B64">
      <w:pPr>
        <w:autoSpaceDE w:val="0"/>
        <w:autoSpaceDN w:val="0"/>
        <w:spacing w:before="100" w:beforeAutospacing="1" w:after="100" w:afterAutospacing="1"/>
        <w:ind w:right="26"/>
        <w:jc w:val="both"/>
        <w:rPr>
          <w:rFonts w:ascii="Arial" w:hAnsi="Arial" w:cs="Arial"/>
          <w:lang w:val="en-US"/>
        </w:rPr>
      </w:pPr>
      <w:r>
        <w:rPr>
          <w:rFonts w:ascii="Arial" w:hAnsi="Arial" w:cs="Arial"/>
          <w:lang w:val="en-US"/>
        </w:rPr>
        <w:t xml:space="preserve">(a) The Department only started collecting statistics on the age categories of learners on social grants </w:t>
      </w:r>
      <w:r w:rsidR="00EC3476">
        <w:rPr>
          <w:rFonts w:ascii="Arial" w:hAnsi="Arial" w:cs="Arial"/>
          <w:lang w:val="en-US"/>
        </w:rPr>
        <w:t xml:space="preserve">in </w:t>
      </w:r>
      <w:r w:rsidR="00B121E9" w:rsidRPr="00EC4B64">
        <w:rPr>
          <w:rFonts w:ascii="Arial" w:hAnsi="Arial" w:cs="Arial"/>
          <w:lang w:val="en-US"/>
        </w:rPr>
        <w:t>2021 Grade 12 Report</w:t>
      </w:r>
      <w:r w:rsidR="00EC3476">
        <w:rPr>
          <w:rFonts w:ascii="Arial" w:hAnsi="Arial" w:cs="Arial"/>
          <w:lang w:val="en-US"/>
        </w:rPr>
        <w:t xml:space="preserve">. Prior to that, the Department was collecting data on the educational performance on learners who are beneficiaries of social grants. </w:t>
      </w:r>
      <w:r w:rsidR="00B121E9" w:rsidRPr="00EC4B64">
        <w:rPr>
          <w:rFonts w:ascii="Arial" w:hAnsi="Arial" w:cs="Arial"/>
          <w:lang w:val="en-US"/>
        </w:rPr>
        <w:t>The information is not by grant type</w:t>
      </w:r>
      <w:r w:rsidR="009F7B2C" w:rsidRPr="00EC4B64">
        <w:rPr>
          <w:rFonts w:ascii="Arial" w:hAnsi="Arial" w:cs="Arial"/>
          <w:lang w:val="en-US"/>
        </w:rPr>
        <w:t>, but indicates information for all</w:t>
      </w:r>
      <w:r w:rsidR="00F07024" w:rsidRPr="00EC4B64">
        <w:rPr>
          <w:rFonts w:ascii="Arial" w:hAnsi="Arial" w:cs="Arial"/>
          <w:lang w:val="en-US"/>
        </w:rPr>
        <w:t xml:space="preserve"> child </w:t>
      </w:r>
      <w:r w:rsidR="009F7B2C" w:rsidRPr="00EC4B64">
        <w:rPr>
          <w:rFonts w:ascii="Arial" w:hAnsi="Arial" w:cs="Arial"/>
          <w:lang w:val="en-US"/>
        </w:rPr>
        <w:t>Social Grant Beneficiaries</w:t>
      </w:r>
      <w:r w:rsidR="00F07024" w:rsidRPr="00EC4B64">
        <w:rPr>
          <w:rFonts w:ascii="Arial" w:hAnsi="Arial" w:cs="Arial"/>
          <w:lang w:val="en-US"/>
        </w:rPr>
        <w:t xml:space="preserve"> (SGB)</w:t>
      </w:r>
      <w:r w:rsidR="00B121E9" w:rsidRPr="00EC4B64">
        <w:rPr>
          <w:rFonts w:ascii="Arial" w:hAnsi="Arial" w:cs="Arial"/>
          <w:lang w:val="en-US"/>
        </w:rPr>
        <w:t>. It is difficult to only report on CSG</w:t>
      </w:r>
      <w:r w:rsidR="006B4884" w:rsidRPr="00EC4B64">
        <w:rPr>
          <w:rFonts w:ascii="Arial" w:hAnsi="Arial" w:cs="Arial"/>
          <w:lang w:val="en-US"/>
        </w:rPr>
        <w:t>.</w:t>
      </w:r>
    </w:p>
    <w:p w:rsidR="001E2F8B" w:rsidRPr="00EC4B64" w:rsidRDefault="00AC6E10" w:rsidP="001E2F8B">
      <w:pPr>
        <w:spacing w:after="0" w:line="360" w:lineRule="auto"/>
        <w:jc w:val="both"/>
        <w:rPr>
          <w:rFonts w:ascii="Arial" w:hAnsi="Arial" w:cs="Arial"/>
          <w:b/>
        </w:rPr>
      </w:pPr>
      <w:r w:rsidRPr="00EC4B64">
        <w:rPr>
          <w:rFonts w:ascii="Arial" w:hAnsi="Arial" w:cs="Arial"/>
          <w:b/>
        </w:rPr>
        <w:lastRenderedPageBreak/>
        <w:t>T</w:t>
      </w:r>
      <w:r w:rsidR="004728BB" w:rsidRPr="00EC4B64">
        <w:rPr>
          <w:rFonts w:ascii="Arial" w:hAnsi="Arial" w:cs="Arial"/>
          <w:b/>
        </w:rPr>
        <w:t xml:space="preserve">able 1: </w:t>
      </w:r>
      <w:r w:rsidR="009F7B2C" w:rsidRPr="00EC4B64">
        <w:rPr>
          <w:rFonts w:ascii="Arial" w:hAnsi="Arial" w:cs="Arial"/>
          <w:b/>
        </w:rPr>
        <w:t xml:space="preserve">2021 Grade 12 </w:t>
      </w:r>
      <w:r w:rsidR="001E2F8B" w:rsidRPr="00EC4B64">
        <w:rPr>
          <w:rFonts w:ascii="Arial" w:hAnsi="Arial" w:cs="Arial"/>
          <w:b/>
        </w:rPr>
        <w:t>Social Grant Beneficiaries achievement by age</w:t>
      </w:r>
    </w:p>
    <w:tbl>
      <w:tblPr>
        <w:tblStyle w:val="TableGrid1"/>
        <w:tblW w:w="0" w:type="auto"/>
        <w:tblLook w:val="04A0"/>
      </w:tblPr>
      <w:tblGrid>
        <w:gridCol w:w="1561"/>
        <w:gridCol w:w="1134"/>
        <w:gridCol w:w="1134"/>
        <w:gridCol w:w="992"/>
        <w:gridCol w:w="1134"/>
        <w:gridCol w:w="955"/>
        <w:gridCol w:w="1056"/>
        <w:gridCol w:w="1056"/>
      </w:tblGrid>
      <w:tr w:rsidR="001E2F8B" w:rsidRPr="00EC4B64" w:rsidTr="00500F34">
        <w:tc>
          <w:tcPr>
            <w:tcW w:w="1555" w:type="dxa"/>
            <w:vMerge w:val="restart"/>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Province</w:t>
            </w:r>
          </w:p>
        </w:tc>
        <w:tc>
          <w:tcPr>
            <w:tcW w:w="1134"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p>
        </w:tc>
        <w:tc>
          <w:tcPr>
            <w:tcW w:w="2126" w:type="dxa"/>
            <w:gridSpan w:val="2"/>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Age congruent</w:t>
            </w:r>
          </w:p>
          <w:p w:rsidR="001E2F8B" w:rsidRPr="00EC4B64" w:rsidRDefault="001E2F8B" w:rsidP="00500F34">
            <w:pPr>
              <w:contextualSpacing/>
              <w:jc w:val="both"/>
              <w:rPr>
                <w:rFonts w:ascii="Arial" w:hAnsi="Arial" w:cs="Arial"/>
                <w:color w:val="FFFFFF" w:themeColor="background1"/>
              </w:rPr>
            </w:pPr>
            <w:r w:rsidRPr="00EC4B64">
              <w:rPr>
                <w:rFonts w:ascii="Arial" w:hAnsi="Arial" w:cs="Arial"/>
                <w:color w:val="FFFFFF" w:themeColor="background1"/>
              </w:rPr>
              <w:t>Age&lt;18</w:t>
            </w:r>
          </w:p>
          <w:p w:rsidR="001E2F8B" w:rsidRPr="00EC4B64" w:rsidRDefault="001E2F8B" w:rsidP="00500F34">
            <w:pPr>
              <w:contextualSpacing/>
              <w:jc w:val="both"/>
              <w:rPr>
                <w:rFonts w:ascii="Arial" w:hAnsi="Arial" w:cs="Arial"/>
                <w:b/>
                <w:color w:val="FFFFFF" w:themeColor="background1"/>
              </w:rPr>
            </w:pPr>
          </w:p>
        </w:tc>
        <w:tc>
          <w:tcPr>
            <w:tcW w:w="2089" w:type="dxa"/>
            <w:gridSpan w:val="2"/>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Age 19</w:t>
            </w:r>
          </w:p>
        </w:tc>
        <w:tc>
          <w:tcPr>
            <w:tcW w:w="2112" w:type="dxa"/>
            <w:gridSpan w:val="2"/>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Over-age</w:t>
            </w:r>
          </w:p>
          <w:p w:rsidR="001E2F8B" w:rsidRPr="00EC4B64" w:rsidRDefault="001E2F8B" w:rsidP="00500F34">
            <w:pPr>
              <w:contextualSpacing/>
              <w:jc w:val="both"/>
              <w:rPr>
                <w:rFonts w:ascii="Arial" w:hAnsi="Arial" w:cs="Arial"/>
                <w:color w:val="FFFFFF" w:themeColor="background1"/>
              </w:rPr>
            </w:pPr>
            <w:r w:rsidRPr="00EC4B64">
              <w:rPr>
                <w:rFonts w:ascii="Arial" w:hAnsi="Arial" w:cs="Arial"/>
                <w:color w:val="FFFFFF" w:themeColor="background1"/>
              </w:rPr>
              <w:t>Age 20+</w:t>
            </w:r>
          </w:p>
        </w:tc>
      </w:tr>
      <w:tr w:rsidR="001E2F8B" w:rsidRPr="00EC4B64" w:rsidTr="00500F34">
        <w:tc>
          <w:tcPr>
            <w:tcW w:w="1555" w:type="dxa"/>
            <w:vMerge/>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p>
        </w:tc>
        <w:tc>
          <w:tcPr>
            <w:tcW w:w="1134"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Mean age</w:t>
            </w:r>
          </w:p>
        </w:tc>
        <w:tc>
          <w:tcPr>
            <w:tcW w:w="1134"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Wrote</w:t>
            </w:r>
          </w:p>
        </w:tc>
        <w:tc>
          <w:tcPr>
            <w:tcW w:w="992"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Pass rate</w:t>
            </w:r>
          </w:p>
        </w:tc>
        <w:tc>
          <w:tcPr>
            <w:tcW w:w="1134"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Wrote</w:t>
            </w:r>
          </w:p>
        </w:tc>
        <w:tc>
          <w:tcPr>
            <w:tcW w:w="955"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Pass rate</w:t>
            </w:r>
          </w:p>
        </w:tc>
        <w:tc>
          <w:tcPr>
            <w:tcW w:w="1056"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Wrote</w:t>
            </w:r>
          </w:p>
        </w:tc>
        <w:tc>
          <w:tcPr>
            <w:tcW w:w="1056" w:type="dxa"/>
            <w:shd w:val="clear" w:color="auto" w:fill="632423" w:themeFill="accent2" w:themeFillShade="80"/>
          </w:tcPr>
          <w:p w:rsidR="001E2F8B" w:rsidRPr="00EC4B64" w:rsidRDefault="001E2F8B" w:rsidP="00500F34">
            <w:pPr>
              <w:contextualSpacing/>
              <w:jc w:val="both"/>
              <w:rPr>
                <w:rFonts w:ascii="Arial" w:hAnsi="Arial" w:cs="Arial"/>
                <w:b/>
                <w:color w:val="FFFFFF" w:themeColor="background1"/>
              </w:rPr>
            </w:pPr>
            <w:r w:rsidRPr="00EC4B64">
              <w:rPr>
                <w:rFonts w:ascii="Arial" w:hAnsi="Arial" w:cs="Arial"/>
                <w:b/>
                <w:color w:val="FFFFFF" w:themeColor="background1"/>
              </w:rPr>
              <w:t>Pass rate</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Eastern Cape</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19.4</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34,764</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84.8%</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17,055</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70.7%</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26,351</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55.1%</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Free State</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19.5</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11,580</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93.5%</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6,565</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86.5%</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9,842</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73.0%</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Gauteng</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19.1</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50,514</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88.8%</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19,788</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75.0%</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16,863</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57.5%</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KwaZulu-Natal</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19.3</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36,558</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86.8%</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13,709</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73.6%</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20,007</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58.2%</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Limpopo</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19.9</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38,095</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83.1%</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19,929</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68.4%</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34,749</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44.8%</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Mpumalanga</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19.1</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25,321</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84.8%</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12,450</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72.9%</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19,959</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56.2%</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North-West</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19.2</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15,837</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91.1%</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7,590</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78.4%</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10,844</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54.9%</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Northern Cape</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19.6</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4,719</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84.2%</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2,355</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68.7%</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3,252</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47.0%</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rPr>
            </w:pPr>
            <w:r w:rsidRPr="00EC4B64">
              <w:rPr>
                <w:rFonts w:ascii="Arial" w:hAnsi="Arial" w:cs="Arial"/>
                <w:b/>
                <w:color w:val="000000"/>
              </w:rPr>
              <w:t>Western Cape</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rPr>
              <w:t>19.1</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22,375</w:t>
            </w:r>
          </w:p>
        </w:tc>
        <w:tc>
          <w:tcPr>
            <w:tcW w:w="992" w:type="dxa"/>
          </w:tcPr>
          <w:p w:rsidR="001E2F8B" w:rsidRPr="00EC4B64" w:rsidRDefault="001E2F8B" w:rsidP="00500F34">
            <w:pPr>
              <w:contextualSpacing/>
              <w:jc w:val="right"/>
              <w:rPr>
                <w:rFonts w:ascii="Arial" w:hAnsi="Arial" w:cs="Arial"/>
              </w:rPr>
            </w:pPr>
            <w:r w:rsidRPr="00EC4B64">
              <w:rPr>
                <w:rFonts w:ascii="Arial" w:hAnsi="Arial" w:cs="Arial"/>
                <w:color w:val="000000"/>
              </w:rPr>
              <w:t>85.2%</w:t>
            </w:r>
          </w:p>
        </w:tc>
        <w:tc>
          <w:tcPr>
            <w:tcW w:w="1134" w:type="dxa"/>
          </w:tcPr>
          <w:p w:rsidR="001E2F8B" w:rsidRPr="00EC4B64" w:rsidRDefault="001E2F8B" w:rsidP="00500F34">
            <w:pPr>
              <w:contextualSpacing/>
              <w:jc w:val="right"/>
              <w:rPr>
                <w:rFonts w:ascii="Arial" w:hAnsi="Arial" w:cs="Arial"/>
              </w:rPr>
            </w:pPr>
            <w:r w:rsidRPr="00EC4B64">
              <w:rPr>
                <w:rFonts w:ascii="Arial" w:hAnsi="Arial" w:cs="Arial"/>
                <w:color w:val="000000"/>
              </w:rPr>
              <w:t>8,302</w:t>
            </w:r>
          </w:p>
        </w:tc>
        <w:tc>
          <w:tcPr>
            <w:tcW w:w="955" w:type="dxa"/>
          </w:tcPr>
          <w:p w:rsidR="001E2F8B" w:rsidRPr="00EC4B64" w:rsidRDefault="001E2F8B" w:rsidP="00500F34">
            <w:pPr>
              <w:contextualSpacing/>
              <w:jc w:val="right"/>
              <w:rPr>
                <w:rFonts w:ascii="Arial" w:hAnsi="Arial" w:cs="Arial"/>
              </w:rPr>
            </w:pPr>
            <w:r w:rsidRPr="00EC4B64">
              <w:rPr>
                <w:rFonts w:ascii="Arial" w:hAnsi="Arial" w:cs="Arial"/>
                <w:color w:val="000000"/>
              </w:rPr>
              <w:t>68.8%</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5,440</w:t>
            </w:r>
          </w:p>
        </w:tc>
        <w:tc>
          <w:tcPr>
            <w:tcW w:w="1056" w:type="dxa"/>
          </w:tcPr>
          <w:p w:rsidR="001E2F8B" w:rsidRPr="00EC4B64" w:rsidRDefault="001E2F8B" w:rsidP="00500F34">
            <w:pPr>
              <w:contextualSpacing/>
              <w:jc w:val="right"/>
              <w:rPr>
                <w:rFonts w:ascii="Arial" w:hAnsi="Arial" w:cs="Arial"/>
              </w:rPr>
            </w:pPr>
            <w:r w:rsidRPr="00EC4B64">
              <w:rPr>
                <w:rFonts w:ascii="Arial" w:hAnsi="Arial" w:cs="Arial"/>
                <w:color w:val="000000"/>
              </w:rPr>
              <w:t>49.4%</w:t>
            </w:r>
          </w:p>
        </w:tc>
      </w:tr>
      <w:tr w:rsidR="001E2F8B" w:rsidRPr="00EC4B64" w:rsidTr="00500F34">
        <w:tc>
          <w:tcPr>
            <w:tcW w:w="1555" w:type="dxa"/>
            <w:shd w:val="clear" w:color="auto" w:fill="F2DBDB" w:themeFill="accent2" w:themeFillTint="33"/>
          </w:tcPr>
          <w:p w:rsidR="001E2F8B" w:rsidRPr="00EC4B64" w:rsidRDefault="001E2F8B" w:rsidP="00500F34">
            <w:pPr>
              <w:contextualSpacing/>
              <w:jc w:val="both"/>
              <w:rPr>
                <w:rFonts w:ascii="Arial" w:hAnsi="Arial" w:cs="Arial"/>
                <w:b/>
              </w:rPr>
            </w:pPr>
            <w:r w:rsidRPr="00EC4B64">
              <w:rPr>
                <w:rFonts w:ascii="Arial" w:hAnsi="Arial" w:cs="Arial"/>
                <w:b/>
                <w:color w:val="000000"/>
              </w:rPr>
              <w:t>Total</w:t>
            </w:r>
          </w:p>
        </w:tc>
        <w:tc>
          <w:tcPr>
            <w:tcW w:w="1134" w:type="dxa"/>
          </w:tcPr>
          <w:p w:rsidR="001E2F8B" w:rsidRPr="00EC4B64" w:rsidRDefault="001E2F8B" w:rsidP="00500F34">
            <w:pPr>
              <w:contextualSpacing/>
              <w:jc w:val="right"/>
              <w:rPr>
                <w:rFonts w:ascii="Arial" w:hAnsi="Arial" w:cs="Arial"/>
                <w:b/>
              </w:rPr>
            </w:pPr>
            <w:r w:rsidRPr="00EC4B64">
              <w:rPr>
                <w:rFonts w:ascii="Arial" w:hAnsi="Arial" w:cs="Arial"/>
                <w:b/>
              </w:rPr>
              <w:t>19.3</w:t>
            </w:r>
          </w:p>
        </w:tc>
        <w:tc>
          <w:tcPr>
            <w:tcW w:w="1134" w:type="dxa"/>
          </w:tcPr>
          <w:p w:rsidR="001E2F8B" w:rsidRPr="00EC4B64" w:rsidRDefault="001E2F8B" w:rsidP="00500F34">
            <w:pPr>
              <w:contextualSpacing/>
              <w:jc w:val="right"/>
              <w:rPr>
                <w:rFonts w:ascii="Arial" w:hAnsi="Arial" w:cs="Arial"/>
                <w:b/>
              </w:rPr>
            </w:pPr>
            <w:r w:rsidRPr="00EC4B64">
              <w:rPr>
                <w:rFonts w:ascii="Arial" w:hAnsi="Arial" w:cs="Arial"/>
                <w:b/>
                <w:color w:val="000000"/>
              </w:rPr>
              <w:t>239,763</w:t>
            </w:r>
          </w:p>
        </w:tc>
        <w:tc>
          <w:tcPr>
            <w:tcW w:w="992" w:type="dxa"/>
          </w:tcPr>
          <w:p w:rsidR="001E2F8B" w:rsidRPr="00EC4B64" w:rsidRDefault="001E2F8B" w:rsidP="00500F34">
            <w:pPr>
              <w:contextualSpacing/>
              <w:jc w:val="right"/>
              <w:rPr>
                <w:rFonts w:ascii="Arial" w:hAnsi="Arial" w:cs="Arial"/>
                <w:b/>
              </w:rPr>
            </w:pPr>
            <w:r w:rsidRPr="00EC4B64">
              <w:rPr>
                <w:rFonts w:ascii="Arial" w:hAnsi="Arial" w:cs="Arial"/>
                <w:b/>
                <w:color w:val="000000"/>
              </w:rPr>
              <w:t>86.5%</w:t>
            </w:r>
          </w:p>
        </w:tc>
        <w:tc>
          <w:tcPr>
            <w:tcW w:w="1134" w:type="dxa"/>
          </w:tcPr>
          <w:p w:rsidR="001E2F8B" w:rsidRPr="00EC4B64" w:rsidRDefault="001E2F8B" w:rsidP="00500F34">
            <w:pPr>
              <w:contextualSpacing/>
              <w:jc w:val="right"/>
              <w:rPr>
                <w:rFonts w:ascii="Arial" w:hAnsi="Arial" w:cs="Arial"/>
                <w:b/>
              </w:rPr>
            </w:pPr>
            <w:r w:rsidRPr="00EC4B64">
              <w:rPr>
                <w:rFonts w:ascii="Arial" w:hAnsi="Arial" w:cs="Arial"/>
                <w:b/>
                <w:color w:val="000000"/>
              </w:rPr>
              <w:t>107,743</w:t>
            </w:r>
          </w:p>
        </w:tc>
        <w:tc>
          <w:tcPr>
            <w:tcW w:w="955" w:type="dxa"/>
          </w:tcPr>
          <w:p w:rsidR="001E2F8B" w:rsidRPr="00EC4B64" w:rsidRDefault="001E2F8B" w:rsidP="00500F34">
            <w:pPr>
              <w:contextualSpacing/>
              <w:jc w:val="right"/>
              <w:rPr>
                <w:rFonts w:ascii="Arial" w:hAnsi="Arial" w:cs="Arial"/>
                <w:b/>
              </w:rPr>
            </w:pPr>
            <w:r w:rsidRPr="00EC4B64">
              <w:rPr>
                <w:rFonts w:ascii="Arial" w:hAnsi="Arial" w:cs="Arial"/>
                <w:b/>
                <w:color w:val="000000"/>
              </w:rPr>
              <w:t>73.0%</w:t>
            </w:r>
          </w:p>
        </w:tc>
        <w:tc>
          <w:tcPr>
            <w:tcW w:w="1056" w:type="dxa"/>
          </w:tcPr>
          <w:p w:rsidR="001E2F8B" w:rsidRPr="00EC4B64" w:rsidRDefault="001E2F8B" w:rsidP="00500F34">
            <w:pPr>
              <w:contextualSpacing/>
              <w:jc w:val="right"/>
              <w:rPr>
                <w:rFonts w:ascii="Arial" w:hAnsi="Arial" w:cs="Arial"/>
                <w:b/>
              </w:rPr>
            </w:pPr>
            <w:r w:rsidRPr="00EC4B64">
              <w:rPr>
                <w:rFonts w:ascii="Arial" w:hAnsi="Arial" w:cs="Arial"/>
                <w:b/>
                <w:color w:val="000000"/>
              </w:rPr>
              <w:t>147,307</w:t>
            </w:r>
          </w:p>
        </w:tc>
        <w:tc>
          <w:tcPr>
            <w:tcW w:w="1056" w:type="dxa"/>
          </w:tcPr>
          <w:p w:rsidR="001E2F8B" w:rsidRPr="00EC4B64" w:rsidRDefault="001E2F8B" w:rsidP="00500F34">
            <w:pPr>
              <w:contextualSpacing/>
              <w:jc w:val="right"/>
              <w:rPr>
                <w:rFonts w:ascii="Arial" w:hAnsi="Arial" w:cs="Arial"/>
                <w:b/>
              </w:rPr>
            </w:pPr>
            <w:r w:rsidRPr="00EC4B64">
              <w:rPr>
                <w:rFonts w:ascii="Arial" w:hAnsi="Arial" w:cs="Arial"/>
                <w:b/>
                <w:color w:val="000000"/>
              </w:rPr>
              <w:t>54.3%</w:t>
            </w:r>
          </w:p>
        </w:tc>
      </w:tr>
    </w:tbl>
    <w:p w:rsidR="001E2F8B" w:rsidRPr="00EC4B64" w:rsidRDefault="001E2F8B" w:rsidP="001E2F8B">
      <w:pPr>
        <w:rPr>
          <w:rFonts w:ascii="Arial" w:hAnsi="Arial" w:cs="Arial"/>
          <w:lang w:val="en-US"/>
        </w:rPr>
      </w:pPr>
    </w:p>
    <w:p w:rsidR="001E2F8B" w:rsidRPr="00EC4B64" w:rsidRDefault="001E2F8B" w:rsidP="00411E36">
      <w:pPr>
        <w:jc w:val="both"/>
        <w:rPr>
          <w:rFonts w:ascii="Arial" w:hAnsi="Arial" w:cs="Arial"/>
          <w:lang w:val="en-US"/>
        </w:rPr>
      </w:pPr>
      <w:r w:rsidRPr="00EC4B64">
        <w:rPr>
          <w:rFonts w:ascii="Arial" w:hAnsi="Arial" w:cs="Arial"/>
          <w:lang w:val="en-US"/>
        </w:rPr>
        <w:t>The categorisation of congruent age for Grade 12 used the UNESCO levels that suggest that official ages for this grade are between the ages of 17 and 18 (Statistics South Africa, 2017). Learners that were over this age were considered</w:t>
      </w:r>
      <w:r w:rsidR="00F07024" w:rsidRPr="00EC4B64">
        <w:rPr>
          <w:rFonts w:ascii="Arial" w:hAnsi="Arial" w:cs="Arial"/>
          <w:lang w:val="en-US"/>
        </w:rPr>
        <w:t xml:space="preserve"> </w:t>
      </w:r>
      <w:r w:rsidRPr="00EC4B64">
        <w:rPr>
          <w:rFonts w:ascii="Arial" w:hAnsi="Arial" w:cs="Arial"/>
          <w:lang w:val="en-US"/>
        </w:rPr>
        <w:t>over</w:t>
      </w:r>
      <w:r w:rsidR="00F07024" w:rsidRPr="00EC4B64">
        <w:rPr>
          <w:rFonts w:ascii="Arial" w:hAnsi="Arial" w:cs="Arial"/>
          <w:lang w:val="en-US"/>
        </w:rPr>
        <w:t xml:space="preserve"> </w:t>
      </w:r>
      <w:r w:rsidRPr="00EC4B64">
        <w:rPr>
          <w:rFonts w:ascii="Arial" w:hAnsi="Arial" w:cs="Arial"/>
          <w:lang w:val="en-US"/>
        </w:rPr>
        <w:t>age.</w:t>
      </w:r>
    </w:p>
    <w:p w:rsidR="001E2F8B" w:rsidRPr="00EC4B64" w:rsidRDefault="001E2F8B" w:rsidP="00411E36">
      <w:pPr>
        <w:jc w:val="both"/>
        <w:rPr>
          <w:rFonts w:ascii="Arial" w:hAnsi="Arial" w:cs="Arial"/>
          <w:lang w:val="en-US"/>
        </w:rPr>
      </w:pPr>
      <w:r w:rsidRPr="00EC4B64">
        <w:rPr>
          <w:rFonts w:ascii="Arial" w:hAnsi="Arial" w:cs="Arial"/>
          <w:lang w:val="en-US"/>
        </w:rPr>
        <w:t xml:space="preserve">The number of Social Grant Beneficiaries were 19 years of age was considered large (107 743), therefore necessitating independent analysis of performance for learners of this age. Results confirm that SGB learners who were age congruent had higher performance compared to those who were age 19 and older. In fact, the learners that were 19 years had a </w:t>
      </w:r>
      <w:r w:rsidR="00F07024" w:rsidRPr="00EC4B64">
        <w:rPr>
          <w:rFonts w:ascii="Arial" w:hAnsi="Arial" w:cs="Arial"/>
          <w:lang w:val="en-US"/>
        </w:rPr>
        <w:t>1</w:t>
      </w:r>
      <w:r w:rsidR="006B4884" w:rsidRPr="00EC4B64">
        <w:rPr>
          <w:rFonts w:ascii="Arial" w:hAnsi="Arial" w:cs="Arial"/>
          <w:lang w:val="en-US"/>
        </w:rPr>
        <w:t>3.5 percentage</w:t>
      </w:r>
      <w:r w:rsidRPr="00EC4B64">
        <w:rPr>
          <w:rFonts w:ascii="Arial" w:hAnsi="Arial" w:cs="Arial"/>
          <w:lang w:val="en-US"/>
        </w:rPr>
        <w:t xml:space="preserve"> points reduction in their pass rate compared to those who were age congruent. The learners that were 20 years and older had a 32.2 percentage point reduction in their pass rate compared to the age congruent learners. Some provinces experienced an average pass rates that is below 50% for over-age learners. These provinces are Limpopo</w:t>
      </w:r>
      <w:r w:rsidR="00F07024" w:rsidRPr="00EC4B64">
        <w:rPr>
          <w:rFonts w:ascii="Arial" w:hAnsi="Arial" w:cs="Arial"/>
          <w:lang w:val="en-US"/>
        </w:rPr>
        <w:t xml:space="preserve"> </w:t>
      </w:r>
      <w:r w:rsidRPr="00EC4B64">
        <w:rPr>
          <w:rFonts w:ascii="Arial" w:hAnsi="Arial" w:cs="Arial"/>
          <w:lang w:val="en-US"/>
        </w:rPr>
        <w:t>(44.8%), Northern Cape (47.0%) and Western Cape (49.4%). This is a major concern and suggest</w:t>
      </w:r>
      <w:r w:rsidR="00F07024" w:rsidRPr="00EC4B64">
        <w:rPr>
          <w:rFonts w:ascii="Arial" w:hAnsi="Arial" w:cs="Arial"/>
          <w:lang w:val="en-US"/>
        </w:rPr>
        <w:t>s</w:t>
      </w:r>
      <w:r w:rsidRPr="00EC4B64">
        <w:rPr>
          <w:rFonts w:ascii="Arial" w:hAnsi="Arial" w:cs="Arial"/>
          <w:lang w:val="en-US"/>
        </w:rPr>
        <w:t xml:space="preserve"> that programmes to ensure that factors that lead to older age enrolment per grade are addressed.</w:t>
      </w:r>
    </w:p>
    <w:p w:rsidR="001E2F8B" w:rsidRPr="00EC4B64" w:rsidRDefault="009F7B2C" w:rsidP="00411E36">
      <w:pPr>
        <w:autoSpaceDE w:val="0"/>
        <w:autoSpaceDN w:val="0"/>
        <w:spacing w:before="100" w:beforeAutospacing="1" w:after="100" w:afterAutospacing="1"/>
        <w:ind w:left="567" w:right="26" w:hanging="567"/>
        <w:jc w:val="both"/>
        <w:rPr>
          <w:rFonts w:ascii="Arial" w:hAnsi="Arial" w:cs="Arial"/>
          <w:lang w:val="en-US"/>
        </w:rPr>
      </w:pPr>
      <w:r w:rsidRPr="00EC4B64">
        <w:rPr>
          <w:rFonts w:ascii="Arial" w:hAnsi="Arial" w:cs="Arial"/>
          <w:lang w:val="en-US"/>
        </w:rPr>
        <w:t xml:space="preserve">b) The information is not </w:t>
      </w:r>
      <w:r w:rsidR="00EC3476">
        <w:rPr>
          <w:rFonts w:ascii="Arial" w:hAnsi="Arial" w:cs="Arial"/>
          <w:lang w:val="en-US"/>
        </w:rPr>
        <w:t xml:space="preserve">readily </w:t>
      </w:r>
      <w:r w:rsidRPr="00EC4B64">
        <w:rPr>
          <w:rFonts w:ascii="Arial" w:hAnsi="Arial" w:cs="Arial"/>
          <w:lang w:val="en-US"/>
        </w:rPr>
        <w:t xml:space="preserve">available at </w:t>
      </w:r>
      <w:r w:rsidR="00EC3476">
        <w:rPr>
          <w:rFonts w:ascii="Arial" w:hAnsi="Arial" w:cs="Arial"/>
          <w:lang w:val="en-US"/>
        </w:rPr>
        <w:t xml:space="preserve">it can only be </w:t>
      </w:r>
      <w:r w:rsidRPr="00EC4B64">
        <w:rPr>
          <w:rFonts w:ascii="Arial" w:hAnsi="Arial" w:cs="Arial"/>
          <w:lang w:val="en-US"/>
        </w:rPr>
        <w:t xml:space="preserve">determined </w:t>
      </w:r>
      <w:r w:rsidR="00EC3476">
        <w:rPr>
          <w:rFonts w:ascii="Arial" w:hAnsi="Arial" w:cs="Arial"/>
          <w:lang w:val="en-US"/>
        </w:rPr>
        <w:t xml:space="preserve">upon receipt of </w:t>
      </w:r>
      <w:r w:rsidRPr="00EC4B64">
        <w:rPr>
          <w:rFonts w:ascii="Arial" w:hAnsi="Arial" w:cs="Arial"/>
          <w:lang w:val="en-US"/>
        </w:rPr>
        <w:t>registration data of learners from the D</w:t>
      </w:r>
      <w:r w:rsidR="00EC3476">
        <w:rPr>
          <w:rFonts w:ascii="Arial" w:hAnsi="Arial" w:cs="Arial"/>
          <w:lang w:val="en-US"/>
        </w:rPr>
        <w:t>BE</w:t>
      </w:r>
      <w:r w:rsidRPr="00EC4B64">
        <w:rPr>
          <w:rFonts w:ascii="Arial" w:hAnsi="Arial" w:cs="Arial"/>
          <w:lang w:val="en-US"/>
        </w:rPr>
        <w:t xml:space="preserve">. </w:t>
      </w:r>
    </w:p>
    <w:p w:rsidR="009F7B2C" w:rsidRPr="00EC4B64" w:rsidRDefault="009F7B2C" w:rsidP="00411E36">
      <w:pPr>
        <w:autoSpaceDE w:val="0"/>
        <w:autoSpaceDN w:val="0"/>
        <w:spacing w:before="100" w:beforeAutospacing="1" w:after="100" w:afterAutospacing="1"/>
        <w:ind w:left="567" w:right="26" w:hanging="567"/>
        <w:jc w:val="both"/>
        <w:rPr>
          <w:rFonts w:ascii="Arial" w:hAnsi="Arial" w:cs="Arial"/>
          <w:lang w:val="en-US"/>
        </w:rPr>
      </w:pPr>
      <w:r w:rsidRPr="00EC4B64">
        <w:rPr>
          <w:rFonts w:ascii="Arial" w:hAnsi="Arial" w:cs="Arial"/>
          <w:lang w:val="en-US"/>
        </w:rPr>
        <w:t xml:space="preserve">C) </w:t>
      </w:r>
      <w:r w:rsidR="00AC6E10" w:rsidRPr="00EC4B64">
        <w:rPr>
          <w:rFonts w:ascii="Arial" w:hAnsi="Arial" w:cs="Arial"/>
          <w:lang w:val="en-US"/>
        </w:rPr>
        <w:t xml:space="preserve"> Th</w:t>
      </w:r>
      <w:r w:rsidR="00EC3476">
        <w:rPr>
          <w:rFonts w:ascii="Arial" w:hAnsi="Arial" w:cs="Arial"/>
          <w:lang w:val="en-US"/>
        </w:rPr>
        <w:t xml:space="preserve">e </w:t>
      </w:r>
      <w:r w:rsidR="00AC6E10" w:rsidRPr="00EC4B64">
        <w:rPr>
          <w:rFonts w:ascii="Arial" w:hAnsi="Arial" w:cs="Arial"/>
          <w:lang w:val="en-US"/>
        </w:rPr>
        <w:t xml:space="preserve">information is </w:t>
      </w:r>
      <w:r w:rsidR="00EC3476">
        <w:rPr>
          <w:rFonts w:ascii="Arial" w:hAnsi="Arial" w:cs="Arial"/>
          <w:lang w:val="en-US"/>
        </w:rPr>
        <w:t xml:space="preserve">not readily </w:t>
      </w:r>
      <w:r w:rsidR="00AC6E10" w:rsidRPr="00EC4B64">
        <w:rPr>
          <w:rFonts w:ascii="Arial" w:hAnsi="Arial" w:cs="Arial"/>
          <w:lang w:val="en-US"/>
        </w:rPr>
        <w:t>available and can be explored once the LURITS data from DBE is available</w:t>
      </w:r>
      <w:r w:rsidR="00F07024" w:rsidRPr="00EC4B64">
        <w:rPr>
          <w:rFonts w:ascii="Arial" w:hAnsi="Arial" w:cs="Arial"/>
          <w:lang w:val="en-US"/>
        </w:rPr>
        <w:t>.</w:t>
      </w:r>
    </w:p>
    <w:p w:rsidR="00AC6E10" w:rsidRPr="00EC4B64" w:rsidRDefault="00AC6E10" w:rsidP="00411E36">
      <w:pPr>
        <w:autoSpaceDE w:val="0"/>
        <w:autoSpaceDN w:val="0"/>
        <w:spacing w:before="100" w:beforeAutospacing="1" w:after="100" w:afterAutospacing="1"/>
        <w:ind w:left="567" w:right="26" w:hanging="567"/>
        <w:jc w:val="both"/>
        <w:rPr>
          <w:rFonts w:ascii="Arial" w:hAnsi="Arial" w:cs="Arial"/>
          <w:lang w:val="en-US"/>
        </w:rPr>
      </w:pPr>
      <w:r w:rsidRPr="00EC4B64">
        <w:rPr>
          <w:rFonts w:ascii="Arial" w:hAnsi="Arial" w:cs="Arial"/>
          <w:lang w:val="en-US"/>
        </w:rPr>
        <w:t xml:space="preserve">d) </w:t>
      </w:r>
      <w:r w:rsidR="004728BB" w:rsidRPr="00EC4B64">
        <w:rPr>
          <w:rFonts w:ascii="Arial" w:hAnsi="Arial" w:cs="Arial"/>
          <w:lang w:val="en-US"/>
        </w:rPr>
        <w:t>The information that is available is only for 2021 Grade 12 learners as depicted in Table 1 above. It has to be noted the information is not disaggregated by grant type, therefore it is difficult on report on Child Support Grant Beneficiaries.</w:t>
      </w:r>
    </w:p>
    <w:p w:rsidR="00DD6BBA" w:rsidRPr="00EC4B64" w:rsidRDefault="00DD6BBA" w:rsidP="00411E36">
      <w:pPr>
        <w:autoSpaceDE w:val="0"/>
        <w:autoSpaceDN w:val="0"/>
        <w:spacing w:before="100" w:beforeAutospacing="1" w:after="100" w:afterAutospacing="1"/>
        <w:ind w:right="26"/>
        <w:jc w:val="both"/>
        <w:rPr>
          <w:rFonts w:ascii="Arial" w:hAnsi="Arial" w:cs="Arial"/>
          <w:lang w:val="en-US"/>
        </w:rPr>
      </w:pPr>
      <w:r w:rsidRPr="00EC4B64">
        <w:rPr>
          <w:rFonts w:ascii="Arial" w:hAnsi="Arial" w:cs="Arial"/>
          <w:lang w:val="en-US"/>
        </w:rPr>
        <w:t>(2)  </w:t>
      </w:r>
      <w:r w:rsidR="002711E5" w:rsidRPr="00EC4B64">
        <w:rPr>
          <w:rFonts w:ascii="Arial" w:hAnsi="Arial" w:cs="Arial"/>
          <w:lang w:val="en-US"/>
        </w:rPr>
        <w:t>This information still needs to be explored. Evidence currently not available</w:t>
      </w:r>
    </w:p>
    <w:p w:rsidR="002711E5" w:rsidRPr="00EC4B64" w:rsidRDefault="00DD6BBA" w:rsidP="00411E36">
      <w:pPr>
        <w:jc w:val="both"/>
        <w:rPr>
          <w:rFonts w:ascii="Arial" w:hAnsi="Arial" w:cs="Arial"/>
          <w:color w:val="333333"/>
        </w:rPr>
      </w:pPr>
      <w:r w:rsidRPr="00EC4B64">
        <w:rPr>
          <w:rFonts w:ascii="Arial" w:hAnsi="Arial" w:cs="Arial"/>
          <w:lang w:val="en-US"/>
        </w:rPr>
        <w:t>(3)  </w:t>
      </w:r>
      <w:r w:rsidR="002711E5" w:rsidRPr="00EC4B64">
        <w:rPr>
          <w:rFonts w:ascii="Arial" w:hAnsi="Arial" w:cs="Arial"/>
          <w:color w:val="333333"/>
        </w:rPr>
        <w:t>A wealth of evidence shows that CSG receipt is good for children’s health and welfare: children who received the grant saw improved nutrition, more schooling, and less labour-force participation, and were more likely to possess formal identity documents.</w:t>
      </w:r>
    </w:p>
    <w:p w:rsidR="001E2F8B" w:rsidRPr="00EC4B64" w:rsidRDefault="001E2F8B" w:rsidP="00411E36">
      <w:pPr>
        <w:jc w:val="both"/>
        <w:rPr>
          <w:rFonts w:ascii="Arial" w:hAnsi="Arial" w:cs="Arial"/>
          <w:lang w:val="en-US"/>
        </w:rPr>
      </w:pPr>
      <w:r w:rsidRPr="00EC4B64">
        <w:rPr>
          <w:rFonts w:ascii="Arial" w:hAnsi="Arial" w:cs="Arial"/>
          <w:lang w:val="en-US"/>
        </w:rPr>
        <w:t>The impact evaluation study conducted by Department of Social Development in collaboration with SASSA and UNICEF in 2012 indicated that the CSG appears to play a compensatory role for children with less educated mothers, narrowing the schooling gap between children whose mothers have less education and those who have more. In these ways the Child Support Grant promotes human capital development, improves gender outcomes and helps to reduce the historical legacy of inequality. Receipt of the CSG by the household reduces adolescent absences from school, particularly for male adolescents, even when the household does not receive the grant specifically for the adolescent.</w:t>
      </w:r>
      <w:r w:rsidR="00F07024" w:rsidRPr="00EC4B64">
        <w:rPr>
          <w:rFonts w:ascii="Arial" w:hAnsi="Arial" w:cs="Arial"/>
          <w:lang w:val="en-US"/>
        </w:rPr>
        <w:t xml:space="preserve"> Recent evidence has also complimented this robust evidence on the </w:t>
      </w:r>
      <w:r w:rsidR="00803C76" w:rsidRPr="00EC4B64">
        <w:rPr>
          <w:rFonts w:ascii="Arial" w:hAnsi="Arial" w:cs="Arial"/>
          <w:lang w:val="en-US"/>
        </w:rPr>
        <w:t xml:space="preserve">positive impact of CSG on children and their families. </w:t>
      </w:r>
    </w:p>
    <w:p w:rsidR="00AC6E10" w:rsidRPr="00EC4B64" w:rsidRDefault="002711E5" w:rsidP="00411E36">
      <w:pPr>
        <w:jc w:val="both"/>
        <w:rPr>
          <w:rFonts w:ascii="Arial" w:hAnsi="Arial" w:cs="Arial"/>
          <w:lang w:val="en-US"/>
        </w:rPr>
      </w:pPr>
      <w:r w:rsidRPr="00EC4B64">
        <w:rPr>
          <w:rFonts w:ascii="Arial" w:hAnsi="Arial" w:cs="Arial"/>
        </w:rPr>
        <w:t xml:space="preserve">(4) </w:t>
      </w:r>
      <w:r w:rsidR="008F697C" w:rsidRPr="00EC4B64">
        <w:rPr>
          <w:rFonts w:ascii="Arial" w:hAnsi="Arial" w:cs="Arial"/>
          <w:lang w:val="en-US"/>
        </w:rPr>
        <w:t xml:space="preserve">The impact evaluation study conducted by Department of Social Development in collaboration with SASSA and UNICEF in 2012 indicated that </w:t>
      </w:r>
      <w:r w:rsidR="00AC6E10" w:rsidRPr="00EC4B64">
        <w:rPr>
          <w:rFonts w:ascii="Arial" w:hAnsi="Arial" w:cs="Arial"/>
          <w:lang w:val="en-US"/>
        </w:rPr>
        <w:t xml:space="preserve">for younger children, earlier receipt of the CSG improved girls’ grade attainment by a quarter grade compared to receipt of CSG at age six. In addition, early receipt of the CSG reduces delayed school entry of girls by 26.5 percent. </w:t>
      </w:r>
    </w:p>
    <w:p w:rsidR="008F697C" w:rsidRPr="00EC4B64" w:rsidRDefault="00AC6E10" w:rsidP="00411E36">
      <w:pPr>
        <w:jc w:val="both"/>
        <w:rPr>
          <w:rFonts w:ascii="Arial" w:hAnsi="Arial" w:cs="Arial"/>
          <w:lang w:val="en-US"/>
        </w:rPr>
      </w:pPr>
      <w:r w:rsidRPr="00EC4B64">
        <w:rPr>
          <w:rFonts w:ascii="Arial" w:hAnsi="Arial" w:cs="Arial"/>
          <w:lang w:val="en-US"/>
        </w:rPr>
        <w:t>R</w:t>
      </w:r>
      <w:r w:rsidR="008F697C" w:rsidRPr="00EC4B64">
        <w:rPr>
          <w:rFonts w:ascii="Arial" w:hAnsi="Arial" w:cs="Arial"/>
          <w:lang w:val="en-US"/>
        </w:rPr>
        <w:t>eceipt of the CSG by the household reduces adolescent absence from school, particularly for male adolescents, even when the household does not receive the grant specifically for the adolescent.</w:t>
      </w:r>
    </w:p>
    <w:p w:rsidR="00605A46" w:rsidRPr="00EC4B64" w:rsidRDefault="00605A46" w:rsidP="00B84755">
      <w:pPr>
        <w:spacing w:before="100" w:beforeAutospacing="1" w:after="100" w:afterAutospacing="1" w:line="240" w:lineRule="auto"/>
        <w:ind w:left="720"/>
        <w:jc w:val="both"/>
        <w:rPr>
          <w:rFonts w:ascii="Arial" w:hAnsi="Arial" w:cs="Arial"/>
        </w:rPr>
      </w:pPr>
    </w:p>
    <w:p w:rsidR="00364919" w:rsidRPr="004808A5" w:rsidRDefault="00364919" w:rsidP="0029264C">
      <w:pPr>
        <w:rPr>
          <w:rFonts w:ascii="Arial" w:eastAsia="Times New Roman" w:hAnsi="Arial" w:cs="Arial"/>
          <w:b/>
          <w:snapToGrid w:val="0"/>
          <w:color w:val="000000"/>
          <w:sz w:val="24"/>
          <w:szCs w:val="24"/>
        </w:rPr>
      </w:pPr>
    </w:p>
    <w:p w:rsidR="00F04ECE" w:rsidRPr="004808A5"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4808A5" w:rsidSect="00AB33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16" w:rsidRDefault="00CA2F16">
      <w:pPr>
        <w:spacing w:after="0" w:line="240" w:lineRule="auto"/>
      </w:pPr>
      <w:r>
        <w:separator/>
      </w:r>
    </w:p>
  </w:endnote>
  <w:endnote w:type="continuationSeparator" w:id="0">
    <w:p w:rsidR="00CA2F16" w:rsidRDefault="00CA2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AB33FD">
        <w:pPr>
          <w:pStyle w:val="Footer"/>
          <w:jc w:val="right"/>
        </w:pPr>
        <w:r>
          <w:fldChar w:fldCharType="begin"/>
        </w:r>
        <w:r w:rsidR="00A436AB">
          <w:instrText xml:space="preserve"> PAGE   \* MERGEFORMAT </w:instrText>
        </w:r>
        <w:r>
          <w:fldChar w:fldCharType="separate"/>
        </w:r>
        <w:r w:rsidR="00CA2F16">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16" w:rsidRDefault="00CA2F16">
      <w:pPr>
        <w:spacing w:after="0" w:line="240" w:lineRule="auto"/>
      </w:pPr>
      <w:r>
        <w:separator/>
      </w:r>
    </w:p>
  </w:footnote>
  <w:footnote w:type="continuationSeparator" w:id="0">
    <w:p w:rsidR="00CA2F16" w:rsidRDefault="00CA2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707D"/>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C4643"/>
    <w:rsid w:val="000C6C3F"/>
    <w:rsid w:val="000D465F"/>
    <w:rsid w:val="000E3F6F"/>
    <w:rsid w:val="000F1964"/>
    <w:rsid w:val="000F1F08"/>
    <w:rsid w:val="000F33EF"/>
    <w:rsid w:val="00103D68"/>
    <w:rsid w:val="001046D3"/>
    <w:rsid w:val="0010487E"/>
    <w:rsid w:val="00106780"/>
    <w:rsid w:val="00112973"/>
    <w:rsid w:val="0011699F"/>
    <w:rsid w:val="00123D9A"/>
    <w:rsid w:val="0012418C"/>
    <w:rsid w:val="00124761"/>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2F8B"/>
    <w:rsid w:val="001E322B"/>
    <w:rsid w:val="001F1C3B"/>
    <w:rsid w:val="00200FB6"/>
    <w:rsid w:val="0020123A"/>
    <w:rsid w:val="00205109"/>
    <w:rsid w:val="002052D4"/>
    <w:rsid w:val="00207160"/>
    <w:rsid w:val="002133F3"/>
    <w:rsid w:val="00214E66"/>
    <w:rsid w:val="00224843"/>
    <w:rsid w:val="002346B4"/>
    <w:rsid w:val="00245203"/>
    <w:rsid w:val="0024771A"/>
    <w:rsid w:val="00253C36"/>
    <w:rsid w:val="002559B6"/>
    <w:rsid w:val="00262858"/>
    <w:rsid w:val="00264E4F"/>
    <w:rsid w:val="00270B32"/>
    <w:rsid w:val="00270F3D"/>
    <w:rsid w:val="002711E5"/>
    <w:rsid w:val="002738BB"/>
    <w:rsid w:val="002810E9"/>
    <w:rsid w:val="00281672"/>
    <w:rsid w:val="0029264C"/>
    <w:rsid w:val="002932D5"/>
    <w:rsid w:val="002A66E4"/>
    <w:rsid w:val="002B3395"/>
    <w:rsid w:val="002B5DEF"/>
    <w:rsid w:val="002B6874"/>
    <w:rsid w:val="002B7F4E"/>
    <w:rsid w:val="002C04CE"/>
    <w:rsid w:val="002C6860"/>
    <w:rsid w:val="002D4C7A"/>
    <w:rsid w:val="002D57A0"/>
    <w:rsid w:val="002E7AA7"/>
    <w:rsid w:val="002F0131"/>
    <w:rsid w:val="002F04B7"/>
    <w:rsid w:val="002F17AE"/>
    <w:rsid w:val="0030488B"/>
    <w:rsid w:val="003055D8"/>
    <w:rsid w:val="00306CD5"/>
    <w:rsid w:val="00310F71"/>
    <w:rsid w:val="00317C62"/>
    <w:rsid w:val="00322453"/>
    <w:rsid w:val="00340511"/>
    <w:rsid w:val="003430E2"/>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1E36"/>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28BB"/>
    <w:rsid w:val="004758C6"/>
    <w:rsid w:val="00477E8D"/>
    <w:rsid w:val="0048059F"/>
    <w:rsid w:val="004808A5"/>
    <w:rsid w:val="00482785"/>
    <w:rsid w:val="004837E7"/>
    <w:rsid w:val="00483E25"/>
    <w:rsid w:val="00484173"/>
    <w:rsid w:val="004916AB"/>
    <w:rsid w:val="0049183A"/>
    <w:rsid w:val="004952C8"/>
    <w:rsid w:val="004A0A9C"/>
    <w:rsid w:val="004B0E92"/>
    <w:rsid w:val="004B2779"/>
    <w:rsid w:val="004B3426"/>
    <w:rsid w:val="004C75CF"/>
    <w:rsid w:val="004D27C4"/>
    <w:rsid w:val="004D2F24"/>
    <w:rsid w:val="004D56FC"/>
    <w:rsid w:val="004E0A72"/>
    <w:rsid w:val="004E33EB"/>
    <w:rsid w:val="004E7C2C"/>
    <w:rsid w:val="004F01B1"/>
    <w:rsid w:val="004F5481"/>
    <w:rsid w:val="004F58F7"/>
    <w:rsid w:val="0050147A"/>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6F4C"/>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34B7"/>
    <w:rsid w:val="00676187"/>
    <w:rsid w:val="0068260E"/>
    <w:rsid w:val="00682F8C"/>
    <w:rsid w:val="00685F7F"/>
    <w:rsid w:val="006867B0"/>
    <w:rsid w:val="006A4DB2"/>
    <w:rsid w:val="006B4884"/>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1E4B"/>
    <w:rsid w:val="00743DFA"/>
    <w:rsid w:val="00747628"/>
    <w:rsid w:val="0075766D"/>
    <w:rsid w:val="0075785A"/>
    <w:rsid w:val="007625A4"/>
    <w:rsid w:val="007660EA"/>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3C76"/>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0EE"/>
    <w:rsid w:val="0088698A"/>
    <w:rsid w:val="00892AE6"/>
    <w:rsid w:val="008A43F9"/>
    <w:rsid w:val="008A5D65"/>
    <w:rsid w:val="008B175E"/>
    <w:rsid w:val="008B3F12"/>
    <w:rsid w:val="008B4DC6"/>
    <w:rsid w:val="008B5901"/>
    <w:rsid w:val="008C1BDF"/>
    <w:rsid w:val="008C2E4D"/>
    <w:rsid w:val="008D3585"/>
    <w:rsid w:val="008D577E"/>
    <w:rsid w:val="008D671E"/>
    <w:rsid w:val="008E0887"/>
    <w:rsid w:val="008E3CB8"/>
    <w:rsid w:val="008E5107"/>
    <w:rsid w:val="008F2884"/>
    <w:rsid w:val="008F697C"/>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D44"/>
    <w:rsid w:val="009B0C0D"/>
    <w:rsid w:val="009C4045"/>
    <w:rsid w:val="009D07AD"/>
    <w:rsid w:val="009D12AD"/>
    <w:rsid w:val="009D31D0"/>
    <w:rsid w:val="009D6C6F"/>
    <w:rsid w:val="009E1947"/>
    <w:rsid w:val="009E2FDB"/>
    <w:rsid w:val="009E42A7"/>
    <w:rsid w:val="009E4955"/>
    <w:rsid w:val="009E7540"/>
    <w:rsid w:val="009F26B2"/>
    <w:rsid w:val="009F7B2C"/>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65FEB"/>
    <w:rsid w:val="00A73D6D"/>
    <w:rsid w:val="00A7719B"/>
    <w:rsid w:val="00A8600B"/>
    <w:rsid w:val="00A870F2"/>
    <w:rsid w:val="00A8760F"/>
    <w:rsid w:val="00A930EB"/>
    <w:rsid w:val="00A9378F"/>
    <w:rsid w:val="00A93D60"/>
    <w:rsid w:val="00A97C86"/>
    <w:rsid w:val="00AA29C3"/>
    <w:rsid w:val="00AB0772"/>
    <w:rsid w:val="00AB10C6"/>
    <w:rsid w:val="00AB33FD"/>
    <w:rsid w:val="00AB6425"/>
    <w:rsid w:val="00AB6B86"/>
    <w:rsid w:val="00AC4AB7"/>
    <w:rsid w:val="00AC6B28"/>
    <w:rsid w:val="00AC6E10"/>
    <w:rsid w:val="00AD58FA"/>
    <w:rsid w:val="00AD686B"/>
    <w:rsid w:val="00AE09B4"/>
    <w:rsid w:val="00AE14BC"/>
    <w:rsid w:val="00AE3CAA"/>
    <w:rsid w:val="00AF150C"/>
    <w:rsid w:val="00AF3D32"/>
    <w:rsid w:val="00AF7818"/>
    <w:rsid w:val="00B02F08"/>
    <w:rsid w:val="00B04D8C"/>
    <w:rsid w:val="00B121E9"/>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2F16"/>
    <w:rsid w:val="00CA3022"/>
    <w:rsid w:val="00CA47D7"/>
    <w:rsid w:val="00CB148E"/>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75B3C"/>
    <w:rsid w:val="00D80E2E"/>
    <w:rsid w:val="00DA1E4E"/>
    <w:rsid w:val="00DC028F"/>
    <w:rsid w:val="00DC221D"/>
    <w:rsid w:val="00DC5658"/>
    <w:rsid w:val="00DD69F1"/>
    <w:rsid w:val="00DD6BBA"/>
    <w:rsid w:val="00DD7FD5"/>
    <w:rsid w:val="00DE4ADA"/>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3476"/>
    <w:rsid w:val="00EC4B64"/>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024"/>
    <w:rsid w:val="00F15D74"/>
    <w:rsid w:val="00F178BB"/>
    <w:rsid w:val="00F17D24"/>
    <w:rsid w:val="00F21AFD"/>
    <w:rsid w:val="00F21D6B"/>
    <w:rsid w:val="00F265A7"/>
    <w:rsid w:val="00F30443"/>
    <w:rsid w:val="00F33D87"/>
    <w:rsid w:val="00F37E84"/>
    <w:rsid w:val="00F43329"/>
    <w:rsid w:val="00F468FA"/>
    <w:rsid w:val="00F5626E"/>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table" w:customStyle="1" w:styleId="TableGrid1">
    <w:name w:val="Table Grid1"/>
    <w:basedOn w:val="TableNormal"/>
    <w:next w:val="TableGrid"/>
    <w:uiPriority w:val="59"/>
    <w:rsid w:val="001E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25187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53B1-CB13-48F8-A3C1-5E09D9E0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2022-08-17T06:56:00Z</dcterms:created>
  <dcterms:modified xsi:type="dcterms:W3CDTF">2022-08-17T06:56:00Z</dcterms:modified>
</cp:coreProperties>
</file>