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BF" w:rsidRDefault="007B5197"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National Assembly</w:t>
      </w:r>
    </w:p>
    <w:p w:rsidR="007B5197" w:rsidRDefault="007B5197"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Question No: 2352</w:t>
      </w:r>
    </w:p>
    <w:p w:rsidR="002D4ABF" w:rsidRPr="002D4ABF" w:rsidRDefault="002D4ABF" w:rsidP="002D4ABF">
      <w:pPr>
        <w:spacing w:before="100" w:beforeAutospacing="1" w:after="100" w:afterAutospacing="1"/>
        <w:ind w:left="720" w:hanging="720"/>
        <w:jc w:val="both"/>
        <w:outlineLvl w:val="0"/>
        <w:rPr>
          <w:rFonts w:ascii="Arial" w:hAnsi="Arial" w:cs="Arial"/>
          <w:b/>
          <w:sz w:val="22"/>
          <w:szCs w:val="22"/>
          <w:lang w:val="en-GB"/>
        </w:rPr>
      </w:pPr>
      <w:r w:rsidRPr="002D4ABF">
        <w:rPr>
          <w:rFonts w:ascii="Arial" w:hAnsi="Arial" w:cs="Arial"/>
          <w:b/>
          <w:bCs/>
          <w:sz w:val="22"/>
          <w:szCs w:val="22"/>
        </w:rPr>
        <w:t>2352.</w:t>
      </w:r>
      <w:r w:rsidRPr="002D4ABF">
        <w:rPr>
          <w:rFonts w:ascii="Arial" w:hAnsi="Arial" w:cs="Arial"/>
          <w:b/>
          <w:bCs/>
          <w:sz w:val="22"/>
          <w:szCs w:val="22"/>
        </w:rPr>
        <w:tab/>
      </w:r>
      <w:r w:rsidRPr="002D4ABF">
        <w:rPr>
          <w:rFonts w:ascii="Arial" w:hAnsi="Arial" w:cs="Arial"/>
          <w:b/>
          <w:sz w:val="22"/>
          <w:szCs w:val="22"/>
          <w:lang w:val="en-GB"/>
        </w:rPr>
        <w:t>Mr C H H Hunsinger (DA) to ask the Minister of Transport</w:t>
      </w:r>
      <w:r w:rsidRPr="002D4ABF">
        <w:rPr>
          <w:rFonts w:ascii="Arial" w:hAnsi="Arial" w:cs="Arial"/>
          <w:b/>
          <w:sz w:val="22"/>
          <w:szCs w:val="22"/>
          <w:lang w:val="en-GB"/>
        </w:rPr>
        <w:fldChar w:fldCharType="begin"/>
      </w:r>
      <w:r w:rsidRPr="002D4ABF">
        <w:rPr>
          <w:rFonts w:ascii="Arial" w:hAnsi="Arial" w:cs="Arial"/>
          <w:sz w:val="22"/>
          <w:szCs w:val="22"/>
        </w:rPr>
        <w:instrText xml:space="preserve"> XE "</w:instrText>
      </w:r>
      <w:r w:rsidRPr="002D4ABF">
        <w:rPr>
          <w:rFonts w:ascii="Arial" w:hAnsi="Arial" w:cs="Arial"/>
          <w:b/>
          <w:sz w:val="22"/>
          <w:szCs w:val="22"/>
          <w:lang w:val="en-GB"/>
        </w:rPr>
        <w:instrText>Transport</w:instrText>
      </w:r>
      <w:r w:rsidRPr="002D4ABF">
        <w:rPr>
          <w:rFonts w:ascii="Arial" w:hAnsi="Arial" w:cs="Arial"/>
          <w:sz w:val="22"/>
          <w:szCs w:val="22"/>
        </w:rPr>
        <w:instrText xml:space="preserve">" </w:instrText>
      </w:r>
      <w:r w:rsidRPr="002D4ABF">
        <w:rPr>
          <w:rFonts w:ascii="Arial" w:hAnsi="Arial" w:cs="Arial"/>
          <w:b/>
          <w:sz w:val="22"/>
          <w:szCs w:val="22"/>
          <w:lang w:val="en-GB"/>
        </w:rPr>
        <w:fldChar w:fldCharType="end"/>
      </w:r>
      <w:r w:rsidRPr="002D4ABF">
        <w:rPr>
          <w:rFonts w:ascii="Arial" w:hAnsi="Arial" w:cs="Arial"/>
          <w:b/>
          <w:sz w:val="22"/>
          <w:szCs w:val="22"/>
          <w:lang w:val="en-GB"/>
        </w:rPr>
        <w:t>:</w:t>
      </w:r>
    </w:p>
    <w:p w:rsidR="002D4ABF" w:rsidRPr="002D4ABF" w:rsidRDefault="002D4ABF" w:rsidP="002D4ABF">
      <w:pPr>
        <w:spacing w:before="100" w:beforeAutospacing="1" w:after="100" w:afterAutospacing="1"/>
        <w:ind w:left="1440" w:hanging="720"/>
        <w:jc w:val="both"/>
        <w:outlineLvl w:val="0"/>
        <w:rPr>
          <w:rFonts w:ascii="Arial" w:hAnsi="Arial" w:cs="Arial"/>
          <w:bCs/>
          <w:sz w:val="22"/>
          <w:szCs w:val="22"/>
        </w:rPr>
      </w:pPr>
      <w:r w:rsidRPr="002D4ABF">
        <w:rPr>
          <w:rFonts w:ascii="Arial" w:hAnsi="Arial" w:cs="Arial"/>
          <w:bCs/>
          <w:sz w:val="22"/>
          <w:szCs w:val="22"/>
        </w:rPr>
        <w:t>(1)</w:t>
      </w:r>
      <w:r w:rsidRPr="002D4ABF">
        <w:rPr>
          <w:rFonts w:ascii="Arial" w:hAnsi="Arial" w:cs="Arial"/>
          <w:bCs/>
          <w:sz w:val="22"/>
          <w:szCs w:val="22"/>
        </w:rPr>
        <w:tab/>
        <w:t xml:space="preserve">What total amount (a) of payments is due from the Passenger Rail Agency of South Africa (Prasa) to </w:t>
      </w:r>
      <w:r w:rsidRPr="002D4ABF">
        <w:rPr>
          <w:rFonts w:ascii="Arial" w:hAnsi="Arial" w:cs="Arial"/>
          <w:sz w:val="22"/>
          <w:szCs w:val="22"/>
        </w:rPr>
        <w:t>Transnet</w:t>
      </w:r>
      <w:r w:rsidRPr="002D4ABF">
        <w:rPr>
          <w:rFonts w:ascii="Arial" w:hAnsi="Arial" w:cs="Arial"/>
          <w:bCs/>
          <w:sz w:val="22"/>
          <w:szCs w:val="22"/>
        </w:rPr>
        <w:t xml:space="preserve"> SOC Ltd for each year in the past five financial years and (b) did Prasa pay Transnet for rental and/or use of Transnet locomotives in the past three financial years;</w:t>
      </w:r>
    </w:p>
    <w:p w:rsidR="002D4ABF" w:rsidRPr="002D4ABF" w:rsidRDefault="002D4ABF" w:rsidP="002D4ABF">
      <w:pPr>
        <w:spacing w:before="100" w:beforeAutospacing="1" w:after="100" w:afterAutospacing="1"/>
        <w:ind w:left="1440" w:hanging="720"/>
        <w:jc w:val="both"/>
        <w:outlineLvl w:val="0"/>
        <w:rPr>
          <w:rFonts w:ascii="Arial" w:hAnsi="Arial" w:cs="Arial"/>
          <w:sz w:val="22"/>
          <w:szCs w:val="22"/>
        </w:rPr>
      </w:pPr>
      <w:r w:rsidRPr="002D4ABF">
        <w:rPr>
          <w:rFonts w:ascii="Arial" w:hAnsi="Arial" w:cs="Arial"/>
          <w:bCs/>
          <w:sz w:val="22"/>
          <w:szCs w:val="22"/>
        </w:rPr>
        <w:t>(2)</w:t>
      </w:r>
      <w:r w:rsidRPr="002D4ABF">
        <w:rPr>
          <w:rFonts w:ascii="Arial" w:hAnsi="Arial" w:cs="Arial"/>
          <w:bCs/>
          <w:sz w:val="22"/>
          <w:szCs w:val="22"/>
        </w:rPr>
        <w:tab/>
        <w:t xml:space="preserve">whether an asset audit has been undertaken by Prasa recently; if not, why not; if so, (a) what were the findings in the past financial year, (b) </w:t>
      </w:r>
      <w:bookmarkStart w:id="0" w:name="_Hlk87959321"/>
      <w:r w:rsidRPr="002D4ABF">
        <w:rPr>
          <w:rFonts w:ascii="Arial" w:hAnsi="Arial" w:cs="Arial"/>
          <w:bCs/>
          <w:sz w:val="22"/>
          <w:szCs w:val="22"/>
        </w:rPr>
        <w:t>which areas showed the highest levels of loss to assets</w:t>
      </w:r>
      <w:bookmarkEnd w:id="0"/>
      <w:r w:rsidRPr="002D4ABF">
        <w:rPr>
          <w:rFonts w:ascii="Arial" w:hAnsi="Arial" w:cs="Arial"/>
          <w:bCs/>
          <w:sz w:val="22"/>
          <w:szCs w:val="22"/>
        </w:rPr>
        <w:t xml:space="preserve"> and (c) </w:t>
      </w:r>
      <w:bookmarkStart w:id="1" w:name="_Hlk87959390"/>
      <w:r w:rsidRPr="002D4ABF">
        <w:rPr>
          <w:rFonts w:ascii="Arial" w:hAnsi="Arial" w:cs="Arial"/>
          <w:bCs/>
          <w:sz w:val="22"/>
          <w:szCs w:val="22"/>
        </w:rPr>
        <w:t>what is the estimated replacement value to equal stated assets value as shown in the past financial year balance sheet?</w:t>
      </w:r>
      <w:bookmarkEnd w:id="1"/>
      <w:r w:rsidRPr="002D4ABF">
        <w:rPr>
          <w:rFonts w:ascii="Arial" w:hAnsi="Arial" w:cs="Arial"/>
          <w:bCs/>
          <w:sz w:val="22"/>
          <w:szCs w:val="22"/>
        </w:rPr>
        <w:tab/>
      </w:r>
      <w:r w:rsidRPr="002D4ABF">
        <w:rPr>
          <w:rFonts w:ascii="Arial" w:hAnsi="Arial" w:cs="Arial"/>
          <w:sz w:val="22"/>
          <w:szCs w:val="22"/>
        </w:rPr>
        <w:tab/>
      </w:r>
      <w:r w:rsidRPr="002D4ABF">
        <w:rPr>
          <w:rFonts w:ascii="Arial" w:hAnsi="Arial" w:cs="Arial"/>
          <w:sz w:val="22"/>
          <w:szCs w:val="22"/>
        </w:rPr>
        <w:tab/>
      </w:r>
      <w:r w:rsidRPr="002D4ABF">
        <w:rPr>
          <w:rFonts w:ascii="Arial" w:hAnsi="Arial" w:cs="Arial"/>
          <w:sz w:val="22"/>
          <w:szCs w:val="22"/>
        </w:rPr>
        <w:tab/>
      </w:r>
      <w:r w:rsidRPr="002D4ABF">
        <w:rPr>
          <w:rFonts w:ascii="Arial" w:hAnsi="Arial" w:cs="Arial"/>
          <w:sz w:val="22"/>
          <w:szCs w:val="22"/>
        </w:rPr>
        <w:tab/>
      </w:r>
      <w:r w:rsidRPr="002D4ABF">
        <w:rPr>
          <w:rFonts w:ascii="Arial" w:hAnsi="Arial" w:cs="Arial"/>
          <w:sz w:val="22"/>
          <w:szCs w:val="22"/>
        </w:rPr>
        <w:tab/>
      </w:r>
      <w:r w:rsidRPr="002D4ABF">
        <w:rPr>
          <w:rFonts w:ascii="Arial" w:hAnsi="Arial" w:cs="Arial"/>
          <w:sz w:val="22"/>
          <w:szCs w:val="22"/>
        </w:rPr>
        <w:tab/>
      </w:r>
      <w:r w:rsidRPr="002D4ABF">
        <w:rPr>
          <w:rFonts w:ascii="Arial" w:eastAsia="Calibri" w:hAnsi="Arial" w:cs="Arial"/>
          <w:color w:val="000000"/>
          <w:sz w:val="22"/>
          <w:szCs w:val="22"/>
          <w:lang w:val="en-US"/>
        </w:rPr>
        <w:t>NW2611E</w:t>
      </w:r>
    </w:p>
    <w:p w:rsidR="0082465F" w:rsidRDefault="00431FFB" w:rsidP="00806B90">
      <w:pPr>
        <w:spacing w:before="100" w:beforeAutospacing="1" w:after="100" w:afterAutospacing="1"/>
        <w:jc w:val="both"/>
        <w:rPr>
          <w:rFonts w:ascii="Arial" w:hAnsi="Arial" w:cs="Arial"/>
          <w:b/>
          <w:bCs/>
          <w:sz w:val="22"/>
          <w:szCs w:val="22"/>
          <w:lang w:val="en-US"/>
        </w:rPr>
      </w:pPr>
      <w:r w:rsidRPr="00431FFB">
        <w:rPr>
          <w:rFonts w:ascii="Arial" w:hAnsi="Arial" w:cs="Arial"/>
          <w:b/>
          <w:bCs/>
          <w:sz w:val="22"/>
          <w:szCs w:val="22"/>
          <w:lang w:val="en-US"/>
        </w:rPr>
        <w:t>REPLY</w:t>
      </w:r>
    </w:p>
    <w:p w:rsidR="009258ED" w:rsidRPr="008F227A" w:rsidRDefault="009258ED" w:rsidP="008F227A">
      <w:pPr>
        <w:numPr>
          <w:ilvl w:val="0"/>
          <w:numId w:val="30"/>
        </w:numPr>
        <w:tabs>
          <w:tab w:val="left" w:pos="567"/>
          <w:tab w:val="left" w:pos="1134"/>
        </w:tabs>
        <w:spacing w:before="100" w:beforeAutospacing="1" w:after="100" w:afterAutospacing="1"/>
        <w:ind w:left="567" w:hanging="567"/>
        <w:jc w:val="both"/>
        <w:rPr>
          <w:rFonts w:ascii="Arial" w:hAnsi="Arial" w:cs="Arial"/>
          <w:bCs/>
          <w:sz w:val="22"/>
          <w:szCs w:val="22"/>
          <w:lang w:val="en-US"/>
        </w:rPr>
      </w:pPr>
      <w:r w:rsidRPr="008F227A">
        <w:rPr>
          <w:rFonts w:ascii="Arial" w:hAnsi="Arial" w:cs="Arial"/>
          <w:bCs/>
          <w:sz w:val="22"/>
          <w:szCs w:val="22"/>
          <w:lang w:val="en-US"/>
        </w:rPr>
        <w:t>(a)</w:t>
      </w:r>
      <w:r w:rsidR="008F227A">
        <w:rPr>
          <w:rFonts w:ascii="Arial" w:hAnsi="Arial" w:cs="Arial"/>
          <w:bCs/>
          <w:sz w:val="22"/>
          <w:szCs w:val="22"/>
          <w:lang w:val="en-US"/>
        </w:rPr>
        <w:tab/>
      </w:r>
      <w:r w:rsidRPr="008F227A">
        <w:rPr>
          <w:rFonts w:ascii="Arial" w:hAnsi="Arial" w:cs="Arial"/>
          <w:bCs/>
          <w:sz w:val="22"/>
          <w:szCs w:val="22"/>
          <w:lang w:val="en-US"/>
        </w:rPr>
        <w:t>Amount recorded as being owed by PRASA to Transnet</w:t>
      </w:r>
    </w:p>
    <w:p w:rsidR="009258ED" w:rsidRDefault="00175D3F" w:rsidP="008F227A">
      <w:pPr>
        <w:spacing w:before="100" w:beforeAutospacing="1" w:after="100" w:afterAutospacing="1"/>
        <w:ind w:left="720" w:firstLine="414"/>
        <w:jc w:val="both"/>
        <w:rPr>
          <w:rFonts w:ascii="Arial" w:hAnsi="Arial" w:cs="Arial"/>
          <w:b/>
          <w:bCs/>
          <w:sz w:val="22"/>
          <w:szCs w:val="22"/>
          <w:lang w:val="en-US"/>
        </w:rPr>
      </w:pPr>
      <w:r>
        <w:rPr>
          <w:rFonts w:ascii="Arial" w:hAnsi="Arial" w:cs="Arial"/>
          <w:b/>
          <w:noProof/>
          <w:sz w:val="22"/>
          <w:szCs w:val="22"/>
          <w:lang w:eastAsia="en-ZA"/>
        </w:rPr>
        <w:drawing>
          <wp:inline distT="0" distB="0" distL="0" distR="0">
            <wp:extent cx="4171950" cy="733425"/>
            <wp:effectExtent l="1905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able&#10;&#10;Description automatically generated"/>
                    <pic:cNvPicPr>
                      <a:picLocks noChangeAspect="1" noChangeArrowheads="1"/>
                    </pic:cNvPicPr>
                  </pic:nvPicPr>
                  <pic:blipFill>
                    <a:blip r:embed="rId10" cstate="print"/>
                    <a:srcRect/>
                    <a:stretch>
                      <a:fillRect/>
                    </a:stretch>
                  </pic:blipFill>
                  <pic:spPr bwMode="auto">
                    <a:xfrm>
                      <a:off x="0" y="0"/>
                      <a:ext cx="4171950" cy="733425"/>
                    </a:xfrm>
                    <a:prstGeom prst="rect">
                      <a:avLst/>
                    </a:prstGeom>
                    <a:noFill/>
                    <a:ln w="9525">
                      <a:noFill/>
                      <a:miter lim="800000"/>
                      <a:headEnd/>
                      <a:tailEnd/>
                    </a:ln>
                  </pic:spPr>
                </pic:pic>
              </a:graphicData>
            </a:graphic>
          </wp:inline>
        </w:drawing>
      </w:r>
    </w:p>
    <w:p w:rsidR="002201E3" w:rsidRPr="008F227A" w:rsidRDefault="002201E3" w:rsidP="008F227A">
      <w:pPr>
        <w:tabs>
          <w:tab w:val="left" w:pos="1134"/>
        </w:tabs>
        <w:spacing w:before="100" w:beforeAutospacing="1" w:after="100" w:afterAutospacing="1"/>
        <w:ind w:firstLine="567"/>
        <w:jc w:val="both"/>
        <w:rPr>
          <w:rFonts w:ascii="Arial" w:eastAsia="Calibri" w:hAnsi="Arial" w:cs="Arial"/>
          <w:bCs/>
          <w:color w:val="000000"/>
          <w:sz w:val="22"/>
          <w:szCs w:val="22"/>
        </w:rPr>
      </w:pPr>
      <w:r w:rsidRPr="008F227A">
        <w:rPr>
          <w:rFonts w:ascii="Arial" w:eastAsia="Calibri" w:hAnsi="Arial" w:cs="Arial"/>
          <w:bCs/>
          <w:color w:val="000000"/>
          <w:sz w:val="22"/>
          <w:szCs w:val="22"/>
        </w:rPr>
        <w:t>(b)</w:t>
      </w:r>
      <w:r w:rsidR="008F227A">
        <w:rPr>
          <w:rFonts w:ascii="Arial" w:eastAsia="Calibri" w:hAnsi="Arial" w:cs="Arial"/>
          <w:bCs/>
          <w:color w:val="000000"/>
          <w:sz w:val="22"/>
          <w:szCs w:val="22"/>
        </w:rPr>
        <w:tab/>
      </w:r>
      <w:r w:rsidR="009258ED" w:rsidRPr="008F227A">
        <w:rPr>
          <w:rFonts w:ascii="Arial" w:eastAsia="Calibri" w:hAnsi="Arial" w:cs="Arial"/>
          <w:bCs/>
          <w:color w:val="000000"/>
          <w:sz w:val="22"/>
          <w:szCs w:val="22"/>
        </w:rPr>
        <w:t>Amount paid to Transnet for rental of locomotives over the last 5 years</w:t>
      </w:r>
    </w:p>
    <w:p w:rsidR="00303547" w:rsidRDefault="00175D3F" w:rsidP="008F227A">
      <w:pPr>
        <w:spacing w:before="100" w:beforeAutospacing="1" w:after="100" w:afterAutospacing="1"/>
        <w:ind w:left="1134"/>
        <w:jc w:val="both"/>
        <w:rPr>
          <w:rFonts w:ascii="Arial" w:eastAsia="Calibri" w:hAnsi="Arial" w:cs="Arial"/>
          <w:color w:val="000000"/>
          <w:sz w:val="22"/>
          <w:szCs w:val="22"/>
        </w:rPr>
      </w:pPr>
      <w:r>
        <w:rPr>
          <w:rFonts w:eastAsia="Calibri"/>
          <w:noProof/>
          <w:lang w:eastAsia="en-ZA"/>
        </w:rPr>
        <w:drawing>
          <wp:inline distT="0" distB="0" distL="0" distR="0">
            <wp:extent cx="5257800" cy="1285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EditPoints="1" noChangeArrowheads="1" noCrop="1"/>
                    </pic:cNvPicPr>
                  </pic:nvPicPr>
                  <pic:blipFill>
                    <a:blip r:embed="rId11" cstate="print"/>
                    <a:srcRect/>
                    <a:stretch>
                      <a:fillRect/>
                    </a:stretch>
                  </pic:blipFill>
                  <pic:spPr bwMode="auto">
                    <a:xfrm>
                      <a:off x="0" y="0"/>
                      <a:ext cx="5257800" cy="1285875"/>
                    </a:xfrm>
                    <a:prstGeom prst="rect">
                      <a:avLst/>
                    </a:prstGeom>
                    <a:noFill/>
                    <a:ln w="9525">
                      <a:noFill/>
                      <a:miter lim="800000"/>
                      <a:headEnd/>
                      <a:tailEnd/>
                    </a:ln>
                  </pic:spPr>
                </pic:pic>
              </a:graphicData>
            </a:graphic>
          </wp:inline>
        </w:drawing>
      </w:r>
    </w:p>
    <w:p w:rsidR="00B67F5B" w:rsidRDefault="00BF3911" w:rsidP="005D37C5">
      <w:pPr>
        <w:ind w:left="567" w:hanging="567"/>
        <w:jc w:val="both"/>
        <w:rPr>
          <w:rFonts w:ascii="Arial" w:eastAsia="Calibri" w:hAnsi="Arial" w:cs="Arial"/>
          <w:color w:val="000000"/>
          <w:sz w:val="22"/>
          <w:szCs w:val="22"/>
        </w:rPr>
      </w:pPr>
      <w:bookmarkStart w:id="2" w:name="_Hlk71548594"/>
      <w:r>
        <w:rPr>
          <w:rFonts w:ascii="Arial" w:eastAsia="Calibri" w:hAnsi="Arial" w:cs="Arial"/>
          <w:color w:val="000000"/>
          <w:sz w:val="22"/>
          <w:szCs w:val="22"/>
        </w:rPr>
        <w:t>(2)</w:t>
      </w:r>
      <w:r w:rsidR="008F227A">
        <w:rPr>
          <w:rFonts w:ascii="Arial" w:eastAsia="Calibri" w:hAnsi="Arial" w:cs="Arial"/>
          <w:color w:val="000000"/>
          <w:sz w:val="22"/>
          <w:szCs w:val="22"/>
        </w:rPr>
        <w:tab/>
      </w:r>
      <w:r w:rsidR="009258ED">
        <w:rPr>
          <w:rFonts w:ascii="Arial" w:eastAsia="Calibri" w:hAnsi="Arial" w:cs="Arial"/>
          <w:color w:val="000000"/>
          <w:sz w:val="22"/>
          <w:szCs w:val="22"/>
        </w:rPr>
        <w:t xml:space="preserve">PRASA has undertaken a national verification of its assets during the period of </w:t>
      </w:r>
      <w:r w:rsidR="00B67F5B">
        <w:rPr>
          <w:rFonts w:ascii="Arial" w:eastAsia="Calibri" w:hAnsi="Arial" w:cs="Arial"/>
          <w:color w:val="000000"/>
          <w:sz w:val="22"/>
          <w:szCs w:val="22"/>
        </w:rPr>
        <w:t>March 2021 up to August 2021.</w:t>
      </w:r>
    </w:p>
    <w:p w:rsidR="00B67F5B" w:rsidRDefault="00B67F5B" w:rsidP="005D37C5">
      <w:pPr>
        <w:ind w:left="567"/>
        <w:jc w:val="both"/>
        <w:rPr>
          <w:rFonts w:ascii="Arial" w:eastAsia="Calibri" w:hAnsi="Arial" w:cs="Arial"/>
          <w:color w:val="000000"/>
          <w:sz w:val="22"/>
          <w:szCs w:val="22"/>
        </w:rPr>
      </w:pPr>
    </w:p>
    <w:p w:rsidR="00B67F5B" w:rsidRDefault="00FD2E53" w:rsidP="005D37C5">
      <w:pPr>
        <w:numPr>
          <w:ilvl w:val="0"/>
          <w:numId w:val="31"/>
        </w:numPr>
        <w:ind w:left="1134" w:hanging="567"/>
        <w:jc w:val="both"/>
        <w:rPr>
          <w:rFonts w:ascii="Arial" w:eastAsia="Calibri" w:hAnsi="Arial" w:cs="Arial"/>
          <w:color w:val="000000"/>
          <w:sz w:val="22"/>
          <w:szCs w:val="22"/>
        </w:rPr>
      </w:pPr>
      <w:r>
        <w:rPr>
          <w:rFonts w:ascii="Arial" w:eastAsia="Calibri" w:hAnsi="Arial" w:cs="Arial"/>
          <w:color w:val="000000"/>
          <w:sz w:val="22"/>
          <w:szCs w:val="22"/>
        </w:rPr>
        <w:t>T</w:t>
      </w:r>
      <w:r w:rsidR="00B67F5B">
        <w:rPr>
          <w:rFonts w:ascii="Arial" w:eastAsia="Calibri" w:hAnsi="Arial" w:cs="Arial"/>
          <w:color w:val="000000"/>
          <w:sz w:val="22"/>
          <w:szCs w:val="22"/>
        </w:rPr>
        <w:t xml:space="preserve">he following were the findings raised by </w:t>
      </w:r>
      <w:r w:rsidR="00BF3911">
        <w:rPr>
          <w:rFonts w:ascii="Arial" w:eastAsia="Calibri" w:hAnsi="Arial" w:cs="Arial"/>
          <w:color w:val="000000"/>
          <w:sz w:val="22"/>
          <w:szCs w:val="22"/>
        </w:rPr>
        <w:t xml:space="preserve">Auditor General </w:t>
      </w:r>
      <w:r w:rsidR="00B67F5B">
        <w:rPr>
          <w:rFonts w:ascii="Arial" w:eastAsia="Calibri" w:hAnsi="Arial" w:cs="Arial"/>
          <w:color w:val="000000"/>
          <w:sz w:val="22"/>
          <w:szCs w:val="22"/>
        </w:rPr>
        <w:t xml:space="preserve">South Africa </w:t>
      </w:r>
      <w:r w:rsidR="00BF3911">
        <w:rPr>
          <w:rFonts w:ascii="Arial" w:eastAsia="Calibri" w:hAnsi="Arial" w:cs="Arial"/>
          <w:color w:val="000000"/>
          <w:sz w:val="22"/>
          <w:szCs w:val="22"/>
        </w:rPr>
        <w:t>(AG</w:t>
      </w:r>
      <w:r w:rsidR="00B67F5B">
        <w:rPr>
          <w:rFonts w:ascii="Arial" w:eastAsia="Calibri" w:hAnsi="Arial" w:cs="Arial"/>
          <w:color w:val="000000"/>
          <w:sz w:val="22"/>
          <w:szCs w:val="22"/>
        </w:rPr>
        <w:t>SA</w:t>
      </w:r>
      <w:r w:rsidR="00BF3911">
        <w:rPr>
          <w:rFonts w:ascii="Arial" w:eastAsia="Calibri" w:hAnsi="Arial" w:cs="Arial"/>
          <w:color w:val="000000"/>
          <w:sz w:val="22"/>
          <w:szCs w:val="22"/>
        </w:rPr>
        <w:t>) i</w:t>
      </w:r>
      <w:r w:rsidR="00B67F5B">
        <w:rPr>
          <w:rFonts w:ascii="Arial" w:eastAsia="Calibri" w:hAnsi="Arial" w:cs="Arial"/>
          <w:color w:val="000000"/>
          <w:sz w:val="22"/>
          <w:szCs w:val="22"/>
        </w:rPr>
        <w:t>n the past financial year</w:t>
      </w:r>
      <w:r w:rsidR="008F227A">
        <w:rPr>
          <w:rFonts w:ascii="Arial" w:eastAsia="Calibri" w:hAnsi="Arial" w:cs="Arial"/>
          <w:color w:val="000000"/>
          <w:sz w:val="22"/>
          <w:szCs w:val="22"/>
        </w:rPr>
        <w:t>:</w:t>
      </w:r>
    </w:p>
    <w:p w:rsidR="008F227A" w:rsidRDefault="008F227A" w:rsidP="005D37C5">
      <w:pPr>
        <w:ind w:left="1134"/>
        <w:jc w:val="both"/>
        <w:rPr>
          <w:rFonts w:ascii="Arial" w:eastAsia="Calibri" w:hAnsi="Arial" w:cs="Arial"/>
          <w:color w:val="000000"/>
          <w:sz w:val="22"/>
          <w:szCs w:val="22"/>
        </w:rPr>
      </w:pPr>
    </w:p>
    <w:p w:rsidR="008F227A" w:rsidRDefault="008F227A" w:rsidP="005D37C5">
      <w:pPr>
        <w:numPr>
          <w:ilvl w:val="0"/>
          <w:numId w:val="32"/>
        </w:numPr>
        <w:tabs>
          <w:tab w:val="left" w:pos="1701"/>
        </w:tabs>
        <w:ind w:left="1701" w:hanging="567"/>
        <w:jc w:val="both"/>
        <w:rPr>
          <w:rFonts w:ascii="Arial" w:eastAsia="Calibri" w:hAnsi="Arial" w:cs="Arial"/>
          <w:color w:val="000000"/>
          <w:sz w:val="22"/>
          <w:szCs w:val="22"/>
        </w:rPr>
      </w:pPr>
      <w:r>
        <w:rPr>
          <w:rFonts w:ascii="Arial" w:eastAsia="Calibri" w:hAnsi="Arial" w:cs="Arial"/>
          <w:color w:val="000000"/>
          <w:sz w:val="22"/>
          <w:szCs w:val="22"/>
        </w:rPr>
        <w:t>Network assets – limitation to existence and completeness.</w:t>
      </w:r>
    </w:p>
    <w:p w:rsidR="008F227A" w:rsidRDefault="008F227A" w:rsidP="005D37C5">
      <w:pPr>
        <w:numPr>
          <w:ilvl w:val="0"/>
          <w:numId w:val="32"/>
        </w:numPr>
        <w:tabs>
          <w:tab w:val="left" w:pos="1701"/>
        </w:tabs>
        <w:ind w:left="1701" w:hanging="567"/>
        <w:jc w:val="both"/>
        <w:rPr>
          <w:rFonts w:ascii="Arial" w:eastAsia="Calibri" w:hAnsi="Arial" w:cs="Arial"/>
          <w:color w:val="000000"/>
          <w:sz w:val="22"/>
          <w:szCs w:val="22"/>
        </w:rPr>
      </w:pPr>
      <w:r w:rsidRPr="008F227A">
        <w:rPr>
          <w:rFonts w:ascii="Arial" w:eastAsia="Calibri" w:hAnsi="Arial" w:cs="Arial"/>
          <w:color w:val="000000"/>
          <w:sz w:val="22"/>
          <w:szCs w:val="22"/>
        </w:rPr>
        <w:t>Completeness of facilities and lease improvements.</w:t>
      </w:r>
    </w:p>
    <w:p w:rsidR="008F227A" w:rsidRDefault="008F227A" w:rsidP="005D37C5">
      <w:pPr>
        <w:numPr>
          <w:ilvl w:val="0"/>
          <w:numId w:val="32"/>
        </w:numPr>
        <w:tabs>
          <w:tab w:val="left" w:pos="1701"/>
        </w:tabs>
        <w:ind w:left="1701" w:hanging="567"/>
        <w:jc w:val="both"/>
        <w:rPr>
          <w:rFonts w:ascii="Arial" w:eastAsia="Calibri" w:hAnsi="Arial" w:cs="Arial"/>
          <w:color w:val="000000"/>
          <w:sz w:val="22"/>
          <w:szCs w:val="22"/>
        </w:rPr>
      </w:pPr>
      <w:r w:rsidRPr="008F227A">
        <w:rPr>
          <w:rFonts w:ascii="Arial" w:eastAsia="Calibri" w:hAnsi="Arial" w:cs="Arial"/>
          <w:color w:val="000000"/>
          <w:sz w:val="22"/>
          <w:szCs w:val="22"/>
        </w:rPr>
        <w:t xml:space="preserve">Internal control deficiencies identified on the Land </w:t>
      </w:r>
      <w:r w:rsidR="005D37C5">
        <w:rPr>
          <w:rFonts w:ascii="Arial" w:eastAsia="Calibri" w:hAnsi="Arial" w:cs="Arial"/>
          <w:color w:val="000000"/>
          <w:sz w:val="22"/>
          <w:szCs w:val="22"/>
        </w:rPr>
        <w:t>A</w:t>
      </w:r>
      <w:r w:rsidRPr="008F227A">
        <w:rPr>
          <w:rFonts w:ascii="Arial" w:eastAsia="Calibri" w:hAnsi="Arial" w:cs="Arial"/>
          <w:color w:val="000000"/>
          <w:sz w:val="22"/>
          <w:szCs w:val="22"/>
        </w:rPr>
        <w:t xml:space="preserve">sset </w:t>
      </w:r>
      <w:r w:rsidR="005D37C5">
        <w:rPr>
          <w:rFonts w:ascii="Arial" w:eastAsia="Calibri" w:hAnsi="Arial" w:cs="Arial"/>
          <w:color w:val="000000"/>
          <w:sz w:val="22"/>
          <w:szCs w:val="22"/>
        </w:rPr>
        <w:t>R</w:t>
      </w:r>
      <w:r w:rsidRPr="008F227A">
        <w:rPr>
          <w:rFonts w:ascii="Arial" w:eastAsia="Calibri" w:hAnsi="Arial" w:cs="Arial"/>
          <w:color w:val="000000"/>
          <w:sz w:val="22"/>
          <w:szCs w:val="22"/>
        </w:rPr>
        <w:t>egister.</w:t>
      </w:r>
    </w:p>
    <w:p w:rsidR="008F227A" w:rsidRDefault="008F227A" w:rsidP="005D37C5">
      <w:pPr>
        <w:numPr>
          <w:ilvl w:val="0"/>
          <w:numId w:val="32"/>
        </w:numPr>
        <w:tabs>
          <w:tab w:val="left" w:pos="1701"/>
        </w:tabs>
        <w:ind w:left="1701" w:hanging="567"/>
        <w:jc w:val="both"/>
        <w:rPr>
          <w:rFonts w:ascii="Arial" w:eastAsia="Calibri" w:hAnsi="Arial" w:cs="Arial"/>
          <w:color w:val="000000"/>
          <w:sz w:val="22"/>
          <w:szCs w:val="22"/>
        </w:rPr>
      </w:pPr>
      <w:r w:rsidRPr="008F227A">
        <w:rPr>
          <w:rFonts w:ascii="Arial" w:eastAsia="Calibri" w:hAnsi="Arial" w:cs="Arial"/>
          <w:color w:val="000000"/>
          <w:sz w:val="22"/>
          <w:szCs w:val="22"/>
        </w:rPr>
        <w:t>Facilities and leasehold improvement information not submitted for audit.</w:t>
      </w:r>
    </w:p>
    <w:p w:rsidR="008F227A" w:rsidRDefault="008F227A" w:rsidP="005D37C5">
      <w:pPr>
        <w:numPr>
          <w:ilvl w:val="0"/>
          <w:numId w:val="32"/>
        </w:numPr>
        <w:tabs>
          <w:tab w:val="left" w:pos="1701"/>
        </w:tabs>
        <w:ind w:left="1701" w:hanging="567"/>
        <w:jc w:val="both"/>
        <w:rPr>
          <w:rFonts w:ascii="Arial" w:eastAsia="Calibri" w:hAnsi="Arial" w:cs="Arial"/>
          <w:color w:val="000000"/>
          <w:sz w:val="22"/>
          <w:szCs w:val="22"/>
        </w:rPr>
      </w:pPr>
      <w:r w:rsidRPr="008F227A">
        <w:rPr>
          <w:rFonts w:ascii="Arial" w:eastAsia="Calibri" w:hAnsi="Arial" w:cs="Arial"/>
          <w:color w:val="000000"/>
          <w:sz w:val="22"/>
          <w:szCs w:val="22"/>
        </w:rPr>
        <w:t xml:space="preserve">Retirement on </w:t>
      </w:r>
      <w:r w:rsidR="005D37C5">
        <w:rPr>
          <w:rFonts w:ascii="Arial" w:eastAsia="Calibri" w:hAnsi="Arial" w:cs="Arial"/>
          <w:color w:val="000000"/>
          <w:sz w:val="22"/>
          <w:szCs w:val="22"/>
        </w:rPr>
        <w:t>f</w:t>
      </w:r>
      <w:r w:rsidRPr="008F227A">
        <w:rPr>
          <w:rFonts w:ascii="Arial" w:eastAsia="Calibri" w:hAnsi="Arial" w:cs="Arial"/>
          <w:color w:val="000000"/>
          <w:sz w:val="22"/>
          <w:szCs w:val="22"/>
        </w:rPr>
        <w:t>acilities and leasehold improvement has been accounted incorrectly and no supporting documents obtained to ascertain the accuracy of the retirement amount.</w:t>
      </w:r>
    </w:p>
    <w:p w:rsidR="008F227A" w:rsidRDefault="008F227A" w:rsidP="005D37C5">
      <w:pPr>
        <w:numPr>
          <w:ilvl w:val="0"/>
          <w:numId w:val="32"/>
        </w:numPr>
        <w:tabs>
          <w:tab w:val="left" w:pos="1701"/>
        </w:tabs>
        <w:ind w:left="1701" w:hanging="567"/>
        <w:jc w:val="both"/>
        <w:rPr>
          <w:rFonts w:ascii="Arial" w:eastAsia="Calibri" w:hAnsi="Arial" w:cs="Arial"/>
          <w:color w:val="000000"/>
          <w:sz w:val="22"/>
          <w:szCs w:val="22"/>
        </w:rPr>
      </w:pPr>
      <w:r w:rsidRPr="00912B9E">
        <w:rPr>
          <w:rFonts w:ascii="Arial" w:eastAsia="Calibri" w:hAnsi="Arial" w:cs="Arial"/>
          <w:color w:val="000000"/>
          <w:sz w:val="22"/>
          <w:szCs w:val="22"/>
        </w:rPr>
        <w:t>Intangible assets could not be traced back to the fixed asset register.</w:t>
      </w:r>
    </w:p>
    <w:p w:rsidR="008F227A" w:rsidRDefault="008F227A" w:rsidP="005D37C5">
      <w:pPr>
        <w:numPr>
          <w:ilvl w:val="0"/>
          <w:numId w:val="32"/>
        </w:numPr>
        <w:tabs>
          <w:tab w:val="left" w:pos="1701"/>
        </w:tabs>
        <w:ind w:left="1701" w:hanging="567"/>
        <w:jc w:val="both"/>
        <w:rPr>
          <w:rFonts w:ascii="Arial" w:eastAsia="Calibri" w:hAnsi="Arial" w:cs="Arial"/>
          <w:color w:val="000000"/>
          <w:sz w:val="22"/>
          <w:szCs w:val="22"/>
        </w:rPr>
      </w:pPr>
      <w:r w:rsidRPr="00912B9E">
        <w:rPr>
          <w:rFonts w:ascii="Arial" w:eastAsia="Calibri" w:hAnsi="Arial" w:cs="Arial"/>
          <w:color w:val="000000"/>
          <w:sz w:val="22"/>
          <w:szCs w:val="22"/>
        </w:rPr>
        <w:t xml:space="preserve">Completed assets under </w:t>
      </w:r>
      <w:r w:rsidR="005D37C5">
        <w:rPr>
          <w:rFonts w:ascii="Arial" w:eastAsia="Calibri" w:hAnsi="Arial" w:cs="Arial"/>
          <w:color w:val="000000"/>
          <w:sz w:val="22"/>
          <w:szCs w:val="22"/>
        </w:rPr>
        <w:t>w</w:t>
      </w:r>
      <w:r w:rsidRPr="00912B9E">
        <w:rPr>
          <w:rFonts w:ascii="Arial" w:eastAsia="Calibri" w:hAnsi="Arial" w:cs="Arial"/>
          <w:color w:val="000000"/>
          <w:sz w:val="22"/>
          <w:szCs w:val="22"/>
        </w:rPr>
        <w:t>ork in progress.</w:t>
      </w:r>
    </w:p>
    <w:p w:rsidR="008F227A" w:rsidRDefault="008F227A" w:rsidP="005D37C5">
      <w:pPr>
        <w:numPr>
          <w:ilvl w:val="0"/>
          <w:numId w:val="32"/>
        </w:numPr>
        <w:tabs>
          <w:tab w:val="left" w:pos="1701"/>
        </w:tabs>
        <w:ind w:left="1701" w:hanging="567"/>
        <w:jc w:val="both"/>
        <w:rPr>
          <w:rFonts w:ascii="Arial" w:eastAsia="Calibri" w:hAnsi="Arial" w:cs="Arial"/>
          <w:color w:val="000000"/>
          <w:sz w:val="22"/>
          <w:szCs w:val="22"/>
        </w:rPr>
      </w:pPr>
      <w:r w:rsidRPr="00912B9E">
        <w:rPr>
          <w:rFonts w:ascii="Arial" w:eastAsia="Calibri" w:hAnsi="Arial" w:cs="Arial"/>
          <w:color w:val="000000"/>
          <w:sz w:val="22"/>
          <w:szCs w:val="22"/>
        </w:rPr>
        <w:lastRenderedPageBreak/>
        <w:t xml:space="preserve">Difference between amount per Intangible Asset Register and Trial </w:t>
      </w:r>
      <w:r w:rsidR="005D37C5">
        <w:rPr>
          <w:rFonts w:ascii="Arial" w:eastAsia="Calibri" w:hAnsi="Arial" w:cs="Arial"/>
          <w:color w:val="000000"/>
          <w:sz w:val="22"/>
          <w:szCs w:val="22"/>
        </w:rPr>
        <w:t>B</w:t>
      </w:r>
      <w:r w:rsidRPr="00912B9E">
        <w:rPr>
          <w:rFonts w:ascii="Arial" w:eastAsia="Calibri" w:hAnsi="Arial" w:cs="Arial"/>
          <w:color w:val="000000"/>
          <w:sz w:val="22"/>
          <w:szCs w:val="22"/>
        </w:rPr>
        <w:t>alance/</w:t>
      </w:r>
      <w:r w:rsidR="005D37C5">
        <w:rPr>
          <w:rFonts w:ascii="Arial" w:eastAsia="Calibri" w:hAnsi="Arial" w:cs="Arial"/>
          <w:color w:val="000000"/>
          <w:sz w:val="22"/>
          <w:szCs w:val="22"/>
        </w:rPr>
        <w:t>A</w:t>
      </w:r>
      <w:r w:rsidRPr="00912B9E">
        <w:rPr>
          <w:rFonts w:ascii="Arial" w:eastAsia="Calibri" w:hAnsi="Arial" w:cs="Arial"/>
          <w:color w:val="000000"/>
          <w:sz w:val="22"/>
          <w:szCs w:val="22"/>
        </w:rPr>
        <w:t xml:space="preserve">nnual </w:t>
      </w:r>
      <w:r w:rsidR="005D37C5">
        <w:rPr>
          <w:rFonts w:ascii="Arial" w:eastAsia="Calibri" w:hAnsi="Arial" w:cs="Arial"/>
          <w:color w:val="000000"/>
          <w:sz w:val="22"/>
          <w:szCs w:val="22"/>
        </w:rPr>
        <w:t>F</w:t>
      </w:r>
      <w:r w:rsidRPr="00912B9E">
        <w:rPr>
          <w:rFonts w:ascii="Arial" w:eastAsia="Calibri" w:hAnsi="Arial" w:cs="Arial"/>
          <w:color w:val="000000"/>
          <w:sz w:val="22"/>
          <w:szCs w:val="22"/>
        </w:rPr>
        <w:t xml:space="preserve">inancial </w:t>
      </w:r>
      <w:r w:rsidR="005D37C5">
        <w:rPr>
          <w:rFonts w:ascii="Arial" w:eastAsia="Calibri" w:hAnsi="Arial" w:cs="Arial"/>
          <w:color w:val="000000"/>
          <w:sz w:val="22"/>
          <w:szCs w:val="22"/>
        </w:rPr>
        <w:t>S</w:t>
      </w:r>
      <w:r w:rsidRPr="00912B9E">
        <w:rPr>
          <w:rFonts w:ascii="Arial" w:eastAsia="Calibri" w:hAnsi="Arial" w:cs="Arial"/>
          <w:color w:val="000000"/>
          <w:sz w:val="22"/>
          <w:szCs w:val="22"/>
        </w:rPr>
        <w:t>tatements.</w:t>
      </w:r>
    </w:p>
    <w:p w:rsidR="008F227A" w:rsidRDefault="008F227A" w:rsidP="005D37C5">
      <w:pPr>
        <w:numPr>
          <w:ilvl w:val="0"/>
          <w:numId w:val="32"/>
        </w:numPr>
        <w:tabs>
          <w:tab w:val="left" w:pos="1701"/>
        </w:tabs>
        <w:ind w:left="1701" w:hanging="567"/>
        <w:jc w:val="both"/>
        <w:rPr>
          <w:rFonts w:ascii="Arial" w:eastAsia="Calibri" w:hAnsi="Arial" w:cs="Arial"/>
          <w:color w:val="000000"/>
          <w:sz w:val="22"/>
          <w:szCs w:val="22"/>
        </w:rPr>
      </w:pPr>
      <w:r w:rsidRPr="00785769">
        <w:rPr>
          <w:rFonts w:ascii="Arial" w:eastAsia="Calibri" w:hAnsi="Arial" w:cs="Arial"/>
          <w:color w:val="000000"/>
          <w:sz w:val="22"/>
          <w:szCs w:val="22"/>
        </w:rPr>
        <w:t>De-recognition certificates of vehicles were approved after year end.</w:t>
      </w:r>
    </w:p>
    <w:p w:rsidR="008F227A" w:rsidRDefault="008F227A" w:rsidP="005D37C5">
      <w:pPr>
        <w:numPr>
          <w:ilvl w:val="0"/>
          <w:numId w:val="32"/>
        </w:numPr>
        <w:tabs>
          <w:tab w:val="left" w:pos="1701"/>
        </w:tabs>
        <w:ind w:left="1701" w:hanging="567"/>
        <w:jc w:val="both"/>
        <w:rPr>
          <w:rFonts w:ascii="Arial" w:eastAsia="Calibri" w:hAnsi="Arial" w:cs="Arial"/>
          <w:color w:val="000000"/>
          <w:sz w:val="22"/>
          <w:szCs w:val="22"/>
        </w:rPr>
      </w:pPr>
      <w:r w:rsidRPr="00785769">
        <w:rPr>
          <w:rFonts w:ascii="Arial" w:eastAsia="Calibri" w:hAnsi="Arial" w:cs="Arial"/>
          <w:color w:val="000000"/>
          <w:sz w:val="22"/>
          <w:szCs w:val="22"/>
        </w:rPr>
        <w:t>Misstatements identified in investment property.</w:t>
      </w:r>
    </w:p>
    <w:p w:rsidR="008F227A" w:rsidRDefault="008F227A" w:rsidP="005D37C5">
      <w:pPr>
        <w:numPr>
          <w:ilvl w:val="0"/>
          <w:numId w:val="32"/>
        </w:numPr>
        <w:tabs>
          <w:tab w:val="left" w:pos="1701"/>
        </w:tabs>
        <w:ind w:left="1701" w:hanging="567"/>
        <w:jc w:val="both"/>
        <w:rPr>
          <w:rFonts w:ascii="Arial" w:eastAsia="Calibri" w:hAnsi="Arial" w:cs="Arial"/>
          <w:color w:val="000000"/>
          <w:sz w:val="22"/>
          <w:szCs w:val="22"/>
        </w:rPr>
      </w:pPr>
      <w:r w:rsidRPr="00785769">
        <w:rPr>
          <w:rFonts w:ascii="Arial" w:eastAsia="Calibri" w:hAnsi="Arial" w:cs="Arial"/>
          <w:color w:val="000000"/>
          <w:sz w:val="22"/>
          <w:szCs w:val="22"/>
        </w:rPr>
        <w:t xml:space="preserve">Completeness of </w:t>
      </w:r>
      <w:r w:rsidR="005D37C5">
        <w:rPr>
          <w:rFonts w:ascii="Arial" w:eastAsia="Calibri" w:hAnsi="Arial" w:cs="Arial"/>
          <w:color w:val="000000"/>
          <w:sz w:val="22"/>
          <w:szCs w:val="22"/>
        </w:rPr>
        <w:t>l</w:t>
      </w:r>
      <w:r w:rsidRPr="00785769">
        <w:rPr>
          <w:rFonts w:ascii="Arial" w:eastAsia="Calibri" w:hAnsi="Arial" w:cs="Arial"/>
          <w:color w:val="000000"/>
          <w:sz w:val="22"/>
          <w:szCs w:val="22"/>
        </w:rPr>
        <w:t xml:space="preserve">and on PPE and </w:t>
      </w:r>
      <w:r w:rsidR="005D37C5">
        <w:rPr>
          <w:rFonts w:ascii="Arial" w:eastAsia="Calibri" w:hAnsi="Arial" w:cs="Arial"/>
          <w:color w:val="000000"/>
          <w:sz w:val="22"/>
          <w:szCs w:val="22"/>
        </w:rPr>
        <w:t>i</w:t>
      </w:r>
      <w:r w:rsidRPr="00785769">
        <w:rPr>
          <w:rFonts w:ascii="Arial" w:eastAsia="Calibri" w:hAnsi="Arial" w:cs="Arial"/>
          <w:color w:val="000000"/>
          <w:sz w:val="22"/>
          <w:szCs w:val="22"/>
        </w:rPr>
        <w:t>nvestment property could not be confirmed.</w:t>
      </w:r>
    </w:p>
    <w:p w:rsidR="008F227A" w:rsidRDefault="008F227A" w:rsidP="005D37C5">
      <w:pPr>
        <w:numPr>
          <w:ilvl w:val="0"/>
          <w:numId w:val="32"/>
        </w:numPr>
        <w:tabs>
          <w:tab w:val="left" w:pos="1701"/>
        </w:tabs>
        <w:ind w:left="1701" w:hanging="567"/>
        <w:jc w:val="both"/>
        <w:rPr>
          <w:rFonts w:ascii="Arial" w:eastAsia="Calibri" w:hAnsi="Arial" w:cs="Arial"/>
          <w:color w:val="000000"/>
          <w:sz w:val="22"/>
          <w:szCs w:val="22"/>
        </w:rPr>
      </w:pPr>
      <w:r w:rsidRPr="005D37C5">
        <w:rPr>
          <w:rFonts w:ascii="Arial" w:eastAsia="Calibri" w:hAnsi="Arial" w:cs="Arial"/>
          <w:color w:val="000000"/>
          <w:sz w:val="22"/>
          <w:szCs w:val="22"/>
        </w:rPr>
        <w:t>Inadequate impairment assessment on all classes of PPE.</w:t>
      </w:r>
    </w:p>
    <w:p w:rsidR="008F227A" w:rsidRDefault="008F227A" w:rsidP="005D37C5">
      <w:pPr>
        <w:numPr>
          <w:ilvl w:val="0"/>
          <w:numId w:val="32"/>
        </w:numPr>
        <w:tabs>
          <w:tab w:val="left" w:pos="1701"/>
        </w:tabs>
        <w:ind w:left="1701" w:hanging="567"/>
        <w:jc w:val="both"/>
        <w:rPr>
          <w:rFonts w:ascii="Arial" w:eastAsia="Calibri" w:hAnsi="Arial" w:cs="Arial"/>
          <w:color w:val="000000"/>
          <w:sz w:val="22"/>
          <w:szCs w:val="22"/>
        </w:rPr>
      </w:pPr>
      <w:r w:rsidRPr="005D37C5">
        <w:rPr>
          <w:rFonts w:ascii="Arial" w:eastAsia="Calibri" w:hAnsi="Arial" w:cs="Arial"/>
          <w:color w:val="000000"/>
          <w:sz w:val="22"/>
          <w:szCs w:val="22"/>
        </w:rPr>
        <w:t>Assessment of useful lives of assets not performed in accordance with GRAP 17.</w:t>
      </w:r>
    </w:p>
    <w:p w:rsidR="008F227A" w:rsidRDefault="008F227A" w:rsidP="005D37C5">
      <w:pPr>
        <w:numPr>
          <w:ilvl w:val="0"/>
          <w:numId w:val="32"/>
        </w:numPr>
        <w:tabs>
          <w:tab w:val="left" w:pos="1701"/>
        </w:tabs>
        <w:ind w:left="1701" w:hanging="567"/>
        <w:jc w:val="both"/>
        <w:rPr>
          <w:rFonts w:ascii="Arial" w:eastAsia="Calibri" w:hAnsi="Arial" w:cs="Arial"/>
          <w:color w:val="000000"/>
          <w:sz w:val="22"/>
          <w:szCs w:val="22"/>
        </w:rPr>
      </w:pPr>
      <w:r w:rsidRPr="005D37C5">
        <w:rPr>
          <w:rFonts w:ascii="Arial" w:eastAsia="Calibri" w:hAnsi="Arial" w:cs="Arial"/>
          <w:color w:val="000000"/>
          <w:sz w:val="22"/>
          <w:szCs w:val="22"/>
        </w:rPr>
        <w:t>Assets captured at no cost.</w:t>
      </w:r>
    </w:p>
    <w:p w:rsidR="008F227A" w:rsidRDefault="008F227A" w:rsidP="005D37C5">
      <w:pPr>
        <w:numPr>
          <w:ilvl w:val="0"/>
          <w:numId w:val="32"/>
        </w:numPr>
        <w:tabs>
          <w:tab w:val="left" w:pos="1701"/>
        </w:tabs>
        <w:ind w:left="1701" w:hanging="567"/>
        <w:jc w:val="both"/>
        <w:rPr>
          <w:rFonts w:ascii="Arial" w:eastAsia="Calibri" w:hAnsi="Arial" w:cs="Arial"/>
          <w:color w:val="000000"/>
          <w:sz w:val="22"/>
          <w:szCs w:val="22"/>
        </w:rPr>
      </w:pPr>
      <w:r w:rsidRPr="005D37C5">
        <w:rPr>
          <w:rFonts w:ascii="Arial" w:eastAsia="Calibri" w:hAnsi="Arial" w:cs="Arial"/>
          <w:color w:val="000000"/>
          <w:sz w:val="22"/>
          <w:szCs w:val="22"/>
        </w:rPr>
        <w:t xml:space="preserve">Facilities and leasehold </w:t>
      </w:r>
      <w:r w:rsidR="005D37C5">
        <w:rPr>
          <w:rFonts w:ascii="Arial" w:eastAsia="Calibri" w:hAnsi="Arial" w:cs="Arial"/>
          <w:color w:val="000000"/>
          <w:sz w:val="22"/>
          <w:szCs w:val="22"/>
        </w:rPr>
        <w:t>i</w:t>
      </w:r>
      <w:r w:rsidRPr="005D37C5">
        <w:rPr>
          <w:rFonts w:ascii="Arial" w:eastAsia="Calibri" w:hAnsi="Arial" w:cs="Arial"/>
          <w:color w:val="000000"/>
          <w:sz w:val="22"/>
          <w:szCs w:val="22"/>
        </w:rPr>
        <w:t>mprovement</w:t>
      </w:r>
      <w:r w:rsidR="005D37C5">
        <w:rPr>
          <w:rFonts w:ascii="Arial" w:eastAsia="Calibri" w:hAnsi="Arial" w:cs="Arial"/>
          <w:color w:val="000000"/>
          <w:sz w:val="22"/>
          <w:szCs w:val="22"/>
        </w:rPr>
        <w:t xml:space="preserve"> </w:t>
      </w:r>
      <w:r w:rsidRPr="005D37C5">
        <w:rPr>
          <w:rFonts w:ascii="Arial" w:eastAsia="Calibri" w:hAnsi="Arial" w:cs="Arial"/>
          <w:color w:val="000000"/>
          <w:sz w:val="22"/>
          <w:szCs w:val="22"/>
        </w:rPr>
        <w:t xml:space="preserve">- valuation of </w:t>
      </w:r>
      <w:r w:rsidR="005D37C5">
        <w:rPr>
          <w:rFonts w:ascii="Arial" w:eastAsia="Calibri" w:hAnsi="Arial" w:cs="Arial"/>
          <w:color w:val="000000"/>
          <w:sz w:val="22"/>
          <w:szCs w:val="22"/>
        </w:rPr>
        <w:t>w</w:t>
      </w:r>
      <w:r w:rsidRPr="005D37C5">
        <w:rPr>
          <w:rFonts w:ascii="Arial" w:eastAsia="Calibri" w:hAnsi="Arial" w:cs="Arial"/>
          <w:color w:val="000000"/>
          <w:sz w:val="22"/>
          <w:szCs w:val="22"/>
        </w:rPr>
        <w:t>ork in progress.</w:t>
      </w:r>
    </w:p>
    <w:p w:rsidR="008F227A" w:rsidRDefault="008F227A" w:rsidP="005D37C5">
      <w:pPr>
        <w:numPr>
          <w:ilvl w:val="0"/>
          <w:numId w:val="32"/>
        </w:numPr>
        <w:tabs>
          <w:tab w:val="left" w:pos="1701"/>
        </w:tabs>
        <w:ind w:left="1701" w:hanging="567"/>
        <w:jc w:val="both"/>
        <w:rPr>
          <w:rFonts w:ascii="Arial" w:eastAsia="Calibri" w:hAnsi="Arial" w:cs="Arial"/>
          <w:color w:val="000000"/>
          <w:sz w:val="22"/>
          <w:szCs w:val="22"/>
        </w:rPr>
      </w:pPr>
      <w:r w:rsidRPr="005D37C5">
        <w:rPr>
          <w:rFonts w:ascii="Arial" w:eastAsia="Calibri" w:hAnsi="Arial" w:cs="Arial"/>
          <w:color w:val="000000"/>
          <w:sz w:val="22"/>
          <w:szCs w:val="22"/>
        </w:rPr>
        <w:t>Facilities and leasehold improvement - findings on valuation and verification of work in progress.</w:t>
      </w:r>
    </w:p>
    <w:p w:rsidR="008F227A" w:rsidRPr="005D37C5" w:rsidRDefault="008F227A" w:rsidP="005D37C5">
      <w:pPr>
        <w:numPr>
          <w:ilvl w:val="0"/>
          <w:numId w:val="32"/>
        </w:numPr>
        <w:tabs>
          <w:tab w:val="left" w:pos="1701"/>
        </w:tabs>
        <w:ind w:left="1701" w:hanging="567"/>
        <w:jc w:val="both"/>
        <w:rPr>
          <w:rFonts w:ascii="Arial" w:eastAsia="Calibri" w:hAnsi="Arial" w:cs="Arial"/>
          <w:color w:val="000000"/>
          <w:sz w:val="22"/>
          <w:szCs w:val="22"/>
        </w:rPr>
      </w:pPr>
      <w:r w:rsidRPr="005D37C5">
        <w:rPr>
          <w:rFonts w:ascii="Arial" w:eastAsia="Calibri" w:hAnsi="Arial" w:cs="Arial"/>
          <w:color w:val="000000"/>
          <w:sz w:val="22"/>
          <w:szCs w:val="22"/>
        </w:rPr>
        <w:t xml:space="preserve">Existence and completeness of </w:t>
      </w:r>
      <w:r w:rsidR="005D37C5">
        <w:rPr>
          <w:rFonts w:ascii="Arial" w:eastAsia="Calibri" w:hAnsi="Arial" w:cs="Arial"/>
          <w:color w:val="000000"/>
          <w:sz w:val="22"/>
          <w:szCs w:val="22"/>
        </w:rPr>
        <w:t>r</w:t>
      </w:r>
      <w:r w:rsidRPr="005D37C5">
        <w:rPr>
          <w:rFonts w:ascii="Arial" w:eastAsia="Calibri" w:hAnsi="Arial" w:cs="Arial"/>
          <w:color w:val="000000"/>
          <w:sz w:val="22"/>
          <w:szCs w:val="22"/>
        </w:rPr>
        <w:t>olling stock could not be confirmed.</w:t>
      </w:r>
    </w:p>
    <w:p w:rsidR="008F227A" w:rsidRDefault="008F227A" w:rsidP="005D37C5">
      <w:pPr>
        <w:ind w:left="1134"/>
        <w:jc w:val="both"/>
        <w:rPr>
          <w:rFonts w:ascii="Arial" w:eastAsia="Calibri" w:hAnsi="Arial" w:cs="Arial"/>
          <w:color w:val="000000"/>
          <w:sz w:val="22"/>
          <w:szCs w:val="22"/>
        </w:rPr>
      </w:pPr>
    </w:p>
    <w:p w:rsidR="007B18C0" w:rsidRPr="005D37C5" w:rsidRDefault="00704D0F" w:rsidP="005D37C5">
      <w:pPr>
        <w:numPr>
          <w:ilvl w:val="0"/>
          <w:numId w:val="31"/>
        </w:numPr>
        <w:ind w:left="1134" w:hanging="567"/>
        <w:jc w:val="both"/>
        <w:rPr>
          <w:rFonts w:ascii="Arial" w:eastAsia="Calibri" w:hAnsi="Arial" w:cs="Arial"/>
          <w:color w:val="000000"/>
          <w:sz w:val="22"/>
          <w:szCs w:val="22"/>
        </w:rPr>
      </w:pPr>
      <w:r>
        <w:rPr>
          <w:rFonts w:ascii="Arial" w:eastAsia="Calibri" w:hAnsi="Arial" w:cs="Arial"/>
          <w:color w:val="000000"/>
          <w:sz w:val="22"/>
          <w:szCs w:val="22"/>
        </w:rPr>
        <w:t>The network infrastructure assets shows significant areas of loss.</w:t>
      </w:r>
    </w:p>
    <w:p w:rsidR="005D37C5" w:rsidRPr="005D37C5" w:rsidRDefault="005D37C5" w:rsidP="005D37C5">
      <w:pPr>
        <w:ind w:left="1134"/>
        <w:jc w:val="both"/>
        <w:rPr>
          <w:rFonts w:ascii="Arial" w:eastAsia="Calibri" w:hAnsi="Arial" w:cs="Arial"/>
          <w:color w:val="000000"/>
          <w:sz w:val="22"/>
          <w:szCs w:val="22"/>
        </w:rPr>
      </w:pPr>
    </w:p>
    <w:p w:rsidR="005D37C5" w:rsidRDefault="00704D0F" w:rsidP="005D37C5">
      <w:pPr>
        <w:numPr>
          <w:ilvl w:val="0"/>
          <w:numId w:val="31"/>
        </w:numPr>
        <w:ind w:left="1134" w:hanging="567"/>
        <w:jc w:val="both"/>
        <w:rPr>
          <w:rFonts w:ascii="Arial" w:eastAsia="Calibri" w:hAnsi="Arial" w:cs="Arial"/>
          <w:color w:val="000000"/>
          <w:sz w:val="22"/>
          <w:szCs w:val="22"/>
        </w:rPr>
      </w:pPr>
      <w:r>
        <w:rPr>
          <w:rFonts w:ascii="Arial" w:eastAsia="Calibri" w:hAnsi="Arial" w:cs="Arial"/>
          <w:color w:val="000000"/>
          <w:sz w:val="22"/>
          <w:szCs w:val="22"/>
        </w:rPr>
        <w:t>It will not be practical to provide, at this stage, the estimated replacement value of the entire damaged infrastructure as an assessment to replace all the assets has not been done for the entire network.  This will be an exercise which is done as and when each area of the damaged infrastructure is replaced, i.e. on a phased approach.  The focus currently is on the replacement of</w:t>
      </w:r>
      <w:r w:rsidR="00F26A8D">
        <w:rPr>
          <w:rFonts w:ascii="Arial" w:eastAsia="Calibri" w:hAnsi="Arial" w:cs="Arial"/>
          <w:color w:val="000000"/>
          <w:sz w:val="22"/>
          <w:szCs w:val="22"/>
        </w:rPr>
        <w:t xml:space="preserve"> Mabopane line in Gauteng and Central line in the Western Cape which is Phase 1.</w:t>
      </w:r>
    </w:p>
    <w:p w:rsidR="00F26A8D" w:rsidRDefault="00F26A8D" w:rsidP="00F26A8D">
      <w:pPr>
        <w:jc w:val="both"/>
        <w:rPr>
          <w:rFonts w:ascii="Arial" w:eastAsia="Calibri" w:hAnsi="Arial" w:cs="Arial"/>
          <w:color w:val="000000"/>
          <w:sz w:val="22"/>
          <w:szCs w:val="22"/>
          <w:lang w:eastAsia="en-ZA"/>
        </w:rPr>
      </w:pPr>
    </w:p>
    <w:p w:rsidR="00F26A8D" w:rsidRDefault="00F26A8D" w:rsidP="00F26A8D">
      <w:pPr>
        <w:ind w:left="1134"/>
        <w:jc w:val="both"/>
        <w:rPr>
          <w:rFonts w:ascii="Arial" w:eastAsia="Calibri" w:hAnsi="Arial" w:cs="Arial"/>
          <w:color w:val="000000"/>
          <w:sz w:val="22"/>
          <w:szCs w:val="22"/>
        </w:rPr>
      </w:pPr>
      <w:r>
        <w:rPr>
          <w:rFonts w:ascii="Arial" w:eastAsia="Calibri" w:hAnsi="Arial" w:cs="Arial"/>
          <w:color w:val="000000"/>
          <w:sz w:val="22"/>
          <w:szCs w:val="22"/>
        </w:rPr>
        <w:t>Assessment has been done on the two area in terms of replacing the assets.  It is estimated that the two areas will be will be replaced at an estimated value of R1,2bn.</w:t>
      </w:r>
    </w:p>
    <w:p w:rsidR="00F26A8D" w:rsidRDefault="00F26A8D" w:rsidP="00F26A8D">
      <w:pPr>
        <w:ind w:left="1134"/>
        <w:jc w:val="both"/>
        <w:rPr>
          <w:rFonts w:ascii="Arial" w:eastAsia="Calibri" w:hAnsi="Arial" w:cs="Arial"/>
          <w:color w:val="000000"/>
          <w:sz w:val="22"/>
          <w:szCs w:val="22"/>
        </w:rPr>
      </w:pPr>
    </w:p>
    <w:p w:rsidR="00F26A8D" w:rsidRPr="005D37C5" w:rsidRDefault="00F26A8D" w:rsidP="00F26A8D">
      <w:pPr>
        <w:ind w:left="1134"/>
        <w:jc w:val="both"/>
        <w:rPr>
          <w:rFonts w:ascii="Arial" w:eastAsia="Calibri" w:hAnsi="Arial" w:cs="Arial"/>
          <w:color w:val="000000"/>
          <w:sz w:val="22"/>
          <w:szCs w:val="22"/>
        </w:rPr>
      </w:pPr>
      <w:r>
        <w:rPr>
          <w:rFonts w:ascii="Arial" w:eastAsia="Calibri" w:hAnsi="Arial" w:cs="Arial"/>
          <w:color w:val="000000"/>
          <w:sz w:val="22"/>
          <w:szCs w:val="22"/>
        </w:rPr>
        <w:t>The second phase assessment is on ten (10) identified corridors which cut across all the provinces with a Metrorail footprint.</w:t>
      </w:r>
    </w:p>
    <w:bookmarkEnd w:id="2"/>
    <w:p w:rsidR="001D7FF3" w:rsidRDefault="001D7FF3" w:rsidP="005D37C5">
      <w:pPr>
        <w:jc w:val="both"/>
        <w:rPr>
          <w:rFonts w:ascii="Arial" w:eastAsia="Calibri" w:hAnsi="Arial" w:cs="Arial"/>
          <w:sz w:val="22"/>
          <w:szCs w:val="22"/>
        </w:rPr>
      </w:pPr>
    </w:p>
    <w:sectPr w:rsidR="001D7FF3" w:rsidSect="008F227A">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D22" w:rsidRDefault="00595D22">
      <w:r>
        <w:separator/>
      </w:r>
    </w:p>
  </w:endnote>
  <w:endnote w:type="continuationSeparator" w:id="0">
    <w:p w:rsidR="00595D22" w:rsidRDefault="00595D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D22" w:rsidRDefault="00595D22">
      <w:r>
        <w:separator/>
      </w:r>
    </w:p>
  </w:footnote>
  <w:footnote w:type="continuationSeparator" w:id="0">
    <w:p w:rsidR="00595D22" w:rsidRDefault="00595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153"/>
    <w:multiLevelType w:val="hybridMultilevel"/>
    <w:tmpl w:val="84E26062"/>
    <w:lvl w:ilvl="0" w:tplc="04DCD294">
      <w:start w:val="1"/>
      <w:numFmt w:val="lowerRoman"/>
      <w:lvlText w:val="(%1)"/>
      <w:lvlJc w:val="left"/>
      <w:pPr>
        <w:ind w:left="2160" w:hanging="720"/>
      </w:pPr>
      <w:rPr>
        <w:rFonts w:ascii="Arial" w:eastAsia="Calibri"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3590BFD"/>
    <w:multiLevelType w:val="hybridMultilevel"/>
    <w:tmpl w:val="FBA0DF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5">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6">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E1934D4"/>
    <w:multiLevelType w:val="hybridMultilevel"/>
    <w:tmpl w:val="49C6A74E"/>
    <w:lvl w:ilvl="0" w:tplc="12F2277C">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3">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009F6"/>
    <w:multiLevelType w:val="hybridMultilevel"/>
    <w:tmpl w:val="47D08ADC"/>
    <w:lvl w:ilvl="0" w:tplc="5AEA24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3">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DBD6677"/>
    <w:multiLevelType w:val="hybridMultilevel"/>
    <w:tmpl w:val="A3F0D7A8"/>
    <w:lvl w:ilvl="0" w:tplc="94DC3A3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59B362B"/>
    <w:multiLevelType w:val="hybridMultilevel"/>
    <w:tmpl w:val="6D5E5016"/>
    <w:lvl w:ilvl="0" w:tplc="0D1EA7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7143E28"/>
    <w:multiLevelType w:val="hybridMultilevel"/>
    <w:tmpl w:val="201069F2"/>
    <w:lvl w:ilvl="0" w:tplc="0C0EB4F8">
      <w:start w:val="1"/>
      <w:numFmt w:val="decimal"/>
      <w:lvlText w:val="(%1)"/>
      <w:lvlJc w:val="left"/>
      <w:pPr>
        <w:ind w:left="1440" w:hanging="830"/>
      </w:pPr>
      <w:rPr>
        <w:rFonts w:eastAsia="Times New Roman" w:hint="default"/>
        <w:color w:val="auto"/>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8">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9">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7372A"/>
    <w:multiLevelType w:val="hybridMultilevel"/>
    <w:tmpl w:val="5044B4A2"/>
    <w:lvl w:ilvl="0" w:tplc="31BC7198">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2">
    <w:nsid w:val="7093195B"/>
    <w:multiLevelType w:val="hybridMultilevel"/>
    <w:tmpl w:val="AF0618A2"/>
    <w:lvl w:ilvl="0" w:tplc="94DC3A3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7"/>
  </w:num>
  <w:num w:numId="3">
    <w:abstractNumId w:val="29"/>
  </w:num>
  <w:num w:numId="4">
    <w:abstractNumId w:val="33"/>
  </w:num>
  <w:num w:numId="5">
    <w:abstractNumId w:val="23"/>
  </w:num>
  <w:num w:numId="6">
    <w:abstractNumId w:val="20"/>
  </w:num>
  <w:num w:numId="7">
    <w:abstractNumId w:val="16"/>
  </w:num>
  <w:num w:numId="8">
    <w:abstractNumId w:val="8"/>
  </w:num>
  <w:num w:numId="9">
    <w:abstractNumId w:val="25"/>
  </w:num>
  <w:num w:numId="10">
    <w:abstractNumId w:val="13"/>
  </w:num>
  <w:num w:numId="11">
    <w:abstractNumId w:val="10"/>
  </w:num>
  <w:num w:numId="12">
    <w:abstractNumId w:val="18"/>
  </w:num>
  <w:num w:numId="13">
    <w:abstractNumId w:val="6"/>
  </w:num>
  <w:num w:numId="14">
    <w:abstractNumId w:val="30"/>
  </w:num>
  <w:num w:numId="15">
    <w:abstractNumId w:val="22"/>
  </w:num>
  <w:num w:numId="16">
    <w:abstractNumId w:val="28"/>
  </w:num>
  <w:num w:numId="17">
    <w:abstractNumId w:val="2"/>
  </w:num>
  <w:num w:numId="18">
    <w:abstractNumId w:val="21"/>
  </w:num>
  <w:num w:numId="19">
    <w:abstractNumId w:val="19"/>
  </w:num>
  <w:num w:numId="20">
    <w:abstractNumId w:val="14"/>
  </w:num>
  <w:num w:numId="21">
    <w:abstractNumId w:val="3"/>
  </w:num>
  <w:num w:numId="22">
    <w:abstractNumId w:val="4"/>
  </w:num>
  <w:num w:numId="23">
    <w:abstractNumId w:val="9"/>
  </w:num>
  <w:num w:numId="24">
    <w:abstractNumId w:val="5"/>
  </w:num>
  <w:num w:numId="25">
    <w:abstractNumId w:val="34"/>
  </w:num>
  <w:num w:numId="26">
    <w:abstractNumId w:val="7"/>
  </w:num>
  <w:num w:numId="27">
    <w:abstractNumId w:val="27"/>
  </w:num>
  <w:num w:numId="28">
    <w:abstractNumId w:val="12"/>
  </w:num>
  <w:num w:numId="29">
    <w:abstractNumId w:val="1"/>
  </w:num>
  <w:num w:numId="30">
    <w:abstractNumId w:val="26"/>
  </w:num>
  <w:num w:numId="31">
    <w:abstractNumId w:val="32"/>
  </w:num>
  <w:num w:numId="32">
    <w:abstractNumId w:val="0"/>
  </w:num>
  <w:num w:numId="33">
    <w:abstractNumId w:val="15"/>
  </w:num>
  <w:num w:numId="34">
    <w:abstractNumId w:val="24"/>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E6EEB"/>
    <w:rsid w:val="0000307F"/>
    <w:rsid w:val="00014DCA"/>
    <w:rsid w:val="00016BA0"/>
    <w:rsid w:val="00020051"/>
    <w:rsid w:val="0002309F"/>
    <w:rsid w:val="00024C9D"/>
    <w:rsid w:val="000337B8"/>
    <w:rsid w:val="00034087"/>
    <w:rsid w:val="0003638E"/>
    <w:rsid w:val="0004110B"/>
    <w:rsid w:val="00041CC1"/>
    <w:rsid w:val="000424EB"/>
    <w:rsid w:val="00052E60"/>
    <w:rsid w:val="00064000"/>
    <w:rsid w:val="00066839"/>
    <w:rsid w:val="00082ADE"/>
    <w:rsid w:val="000D2FCC"/>
    <w:rsid w:val="000E46E0"/>
    <w:rsid w:val="00107B84"/>
    <w:rsid w:val="00124B06"/>
    <w:rsid w:val="00130913"/>
    <w:rsid w:val="00136739"/>
    <w:rsid w:val="001465BA"/>
    <w:rsid w:val="00152742"/>
    <w:rsid w:val="00175D3F"/>
    <w:rsid w:val="001A6EB5"/>
    <w:rsid w:val="001B30FC"/>
    <w:rsid w:val="001B3A9C"/>
    <w:rsid w:val="001B5F04"/>
    <w:rsid w:val="001C0016"/>
    <w:rsid w:val="001D7FF3"/>
    <w:rsid w:val="001E56FC"/>
    <w:rsid w:val="001E5EA6"/>
    <w:rsid w:val="001F04AB"/>
    <w:rsid w:val="001F17B3"/>
    <w:rsid w:val="002144E9"/>
    <w:rsid w:val="002201E3"/>
    <w:rsid w:val="00225A2A"/>
    <w:rsid w:val="00226862"/>
    <w:rsid w:val="00235D7B"/>
    <w:rsid w:val="00237995"/>
    <w:rsid w:val="00237C59"/>
    <w:rsid w:val="002425A4"/>
    <w:rsid w:val="00242966"/>
    <w:rsid w:val="002456E4"/>
    <w:rsid w:val="00252FE4"/>
    <w:rsid w:val="0026496F"/>
    <w:rsid w:val="002765E6"/>
    <w:rsid w:val="00287706"/>
    <w:rsid w:val="002900FA"/>
    <w:rsid w:val="002A5A36"/>
    <w:rsid w:val="002A6B98"/>
    <w:rsid w:val="002B33E9"/>
    <w:rsid w:val="002B3521"/>
    <w:rsid w:val="002B4CC3"/>
    <w:rsid w:val="002D4ABF"/>
    <w:rsid w:val="002F3330"/>
    <w:rsid w:val="00303547"/>
    <w:rsid w:val="003148C1"/>
    <w:rsid w:val="00326688"/>
    <w:rsid w:val="00337C35"/>
    <w:rsid w:val="00345018"/>
    <w:rsid w:val="00345FF8"/>
    <w:rsid w:val="0037735D"/>
    <w:rsid w:val="0038074E"/>
    <w:rsid w:val="0038097C"/>
    <w:rsid w:val="00381F6D"/>
    <w:rsid w:val="00385180"/>
    <w:rsid w:val="00385635"/>
    <w:rsid w:val="00387FEF"/>
    <w:rsid w:val="00392721"/>
    <w:rsid w:val="0039544E"/>
    <w:rsid w:val="00395FAB"/>
    <w:rsid w:val="003A7D7C"/>
    <w:rsid w:val="003D2356"/>
    <w:rsid w:val="003E6EEB"/>
    <w:rsid w:val="003E7A1C"/>
    <w:rsid w:val="003F69C2"/>
    <w:rsid w:val="0040324C"/>
    <w:rsid w:val="00411BD1"/>
    <w:rsid w:val="00411F12"/>
    <w:rsid w:val="00431FFB"/>
    <w:rsid w:val="0043348C"/>
    <w:rsid w:val="00437E91"/>
    <w:rsid w:val="004413E4"/>
    <w:rsid w:val="00441BD7"/>
    <w:rsid w:val="00457030"/>
    <w:rsid w:val="00471AD3"/>
    <w:rsid w:val="00485272"/>
    <w:rsid w:val="004C1EEB"/>
    <w:rsid w:val="004E7C50"/>
    <w:rsid w:val="004F1197"/>
    <w:rsid w:val="00510ACC"/>
    <w:rsid w:val="00510B97"/>
    <w:rsid w:val="0051301F"/>
    <w:rsid w:val="00513026"/>
    <w:rsid w:val="00517714"/>
    <w:rsid w:val="0053543F"/>
    <w:rsid w:val="00595D22"/>
    <w:rsid w:val="005A7D3A"/>
    <w:rsid w:val="005B41E4"/>
    <w:rsid w:val="005B5BA3"/>
    <w:rsid w:val="005C31F0"/>
    <w:rsid w:val="005C59C6"/>
    <w:rsid w:val="005D37C5"/>
    <w:rsid w:val="005D38A5"/>
    <w:rsid w:val="006053FE"/>
    <w:rsid w:val="00607381"/>
    <w:rsid w:val="00611598"/>
    <w:rsid w:val="00612A92"/>
    <w:rsid w:val="00630369"/>
    <w:rsid w:val="006339C7"/>
    <w:rsid w:val="006348E3"/>
    <w:rsid w:val="00636266"/>
    <w:rsid w:val="006504F0"/>
    <w:rsid w:val="006532B9"/>
    <w:rsid w:val="00653B72"/>
    <w:rsid w:val="00661147"/>
    <w:rsid w:val="00664844"/>
    <w:rsid w:val="00666D4D"/>
    <w:rsid w:val="006723D4"/>
    <w:rsid w:val="00673B92"/>
    <w:rsid w:val="00675536"/>
    <w:rsid w:val="00677616"/>
    <w:rsid w:val="006A7311"/>
    <w:rsid w:val="006B2B5E"/>
    <w:rsid w:val="006B574A"/>
    <w:rsid w:val="006C0D88"/>
    <w:rsid w:val="006E2005"/>
    <w:rsid w:val="006F483D"/>
    <w:rsid w:val="006F71AF"/>
    <w:rsid w:val="00700C01"/>
    <w:rsid w:val="007027F7"/>
    <w:rsid w:val="007028CF"/>
    <w:rsid w:val="00704C1A"/>
    <w:rsid w:val="00704D0F"/>
    <w:rsid w:val="007058EE"/>
    <w:rsid w:val="00713973"/>
    <w:rsid w:val="00721E32"/>
    <w:rsid w:val="007269C6"/>
    <w:rsid w:val="007277EA"/>
    <w:rsid w:val="007341C8"/>
    <w:rsid w:val="00736B7C"/>
    <w:rsid w:val="00743EB1"/>
    <w:rsid w:val="00760318"/>
    <w:rsid w:val="00765CB9"/>
    <w:rsid w:val="00774F52"/>
    <w:rsid w:val="00785769"/>
    <w:rsid w:val="00793DB2"/>
    <w:rsid w:val="007A1E4C"/>
    <w:rsid w:val="007B18C0"/>
    <w:rsid w:val="007B5197"/>
    <w:rsid w:val="007B5587"/>
    <w:rsid w:val="007C3628"/>
    <w:rsid w:val="007C49D3"/>
    <w:rsid w:val="007D1DB5"/>
    <w:rsid w:val="007E5609"/>
    <w:rsid w:val="007F4FB6"/>
    <w:rsid w:val="00806B90"/>
    <w:rsid w:val="0082465F"/>
    <w:rsid w:val="008415E3"/>
    <w:rsid w:val="00854EEA"/>
    <w:rsid w:val="00857E66"/>
    <w:rsid w:val="00860957"/>
    <w:rsid w:val="0088592E"/>
    <w:rsid w:val="00890C38"/>
    <w:rsid w:val="00891BA4"/>
    <w:rsid w:val="008C423C"/>
    <w:rsid w:val="008D1184"/>
    <w:rsid w:val="008D2789"/>
    <w:rsid w:val="008F227A"/>
    <w:rsid w:val="009007BA"/>
    <w:rsid w:val="00903BA2"/>
    <w:rsid w:val="00912B9E"/>
    <w:rsid w:val="00920373"/>
    <w:rsid w:val="00925679"/>
    <w:rsid w:val="009258ED"/>
    <w:rsid w:val="00932BE1"/>
    <w:rsid w:val="00970C1F"/>
    <w:rsid w:val="0097109E"/>
    <w:rsid w:val="00974C3B"/>
    <w:rsid w:val="00977C0A"/>
    <w:rsid w:val="00980549"/>
    <w:rsid w:val="009837A4"/>
    <w:rsid w:val="00987548"/>
    <w:rsid w:val="0099251A"/>
    <w:rsid w:val="009963B1"/>
    <w:rsid w:val="009A00BC"/>
    <w:rsid w:val="009A75BD"/>
    <w:rsid w:val="009B23A9"/>
    <w:rsid w:val="009B47B9"/>
    <w:rsid w:val="009B59CD"/>
    <w:rsid w:val="009C2DDB"/>
    <w:rsid w:val="009F40C5"/>
    <w:rsid w:val="00A0518F"/>
    <w:rsid w:val="00A054A7"/>
    <w:rsid w:val="00A0566C"/>
    <w:rsid w:val="00A14605"/>
    <w:rsid w:val="00A24093"/>
    <w:rsid w:val="00A52B6B"/>
    <w:rsid w:val="00A54A49"/>
    <w:rsid w:val="00A568DE"/>
    <w:rsid w:val="00A66081"/>
    <w:rsid w:val="00A72D34"/>
    <w:rsid w:val="00A74B01"/>
    <w:rsid w:val="00A80870"/>
    <w:rsid w:val="00A92055"/>
    <w:rsid w:val="00AB0485"/>
    <w:rsid w:val="00AB6D56"/>
    <w:rsid w:val="00AB738B"/>
    <w:rsid w:val="00AD3695"/>
    <w:rsid w:val="00AD7A5B"/>
    <w:rsid w:val="00B21E84"/>
    <w:rsid w:val="00B67F5B"/>
    <w:rsid w:val="00B70328"/>
    <w:rsid w:val="00B83217"/>
    <w:rsid w:val="00B860FF"/>
    <w:rsid w:val="00B8678D"/>
    <w:rsid w:val="00BA0A9C"/>
    <w:rsid w:val="00BC22EA"/>
    <w:rsid w:val="00BC3BED"/>
    <w:rsid w:val="00BC73D2"/>
    <w:rsid w:val="00BF3911"/>
    <w:rsid w:val="00C006D6"/>
    <w:rsid w:val="00C250FE"/>
    <w:rsid w:val="00C26DCC"/>
    <w:rsid w:val="00C466AE"/>
    <w:rsid w:val="00C56433"/>
    <w:rsid w:val="00C7054F"/>
    <w:rsid w:val="00C815E6"/>
    <w:rsid w:val="00C85650"/>
    <w:rsid w:val="00C9190C"/>
    <w:rsid w:val="00CA30B4"/>
    <w:rsid w:val="00CB0BF4"/>
    <w:rsid w:val="00CB2AB7"/>
    <w:rsid w:val="00CB2B14"/>
    <w:rsid w:val="00CB2DF3"/>
    <w:rsid w:val="00CB6795"/>
    <w:rsid w:val="00CC12C9"/>
    <w:rsid w:val="00CD56BE"/>
    <w:rsid w:val="00CE11EF"/>
    <w:rsid w:val="00CE4231"/>
    <w:rsid w:val="00CF46F2"/>
    <w:rsid w:val="00D11D88"/>
    <w:rsid w:val="00D15831"/>
    <w:rsid w:val="00D253F8"/>
    <w:rsid w:val="00D34CBF"/>
    <w:rsid w:val="00D353FB"/>
    <w:rsid w:val="00D4263D"/>
    <w:rsid w:val="00D5334D"/>
    <w:rsid w:val="00D76D32"/>
    <w:rsid w:val="00D76EB2"/>
    <w:rsid w:val="00D91DFB"/>
    <w:rsid w:val="00D956F8"/>
    <w:rsid w:val="00DA3181"/>
    <w:rsid w:val="00DA3F5F"/>
    <w:rsid w:val="00DB7340"/>
    <w:rsid w:val="00DD1C18"/>
    <w:rsid w:val="00DE22D8"/>
    <w:rsid w:val="00DF3929"/>
    <w:rsid w:val="00E22B78"/>
    <w:rsid w:val="00E30026"/>
    <w:rsid w:val="00E31A36"/>
    <w:rsid w:val="00E3479A"/>
    <w:rsid w:val="00E412D5"/>
    <w:rsid w:val="00E42C01"/>
    <w:rsid w:val="00E51CF2"/>
    <w:rsid w:val="00E5486F"/>
    <w:rsid w:val="00E70DB4"/>
    <w:rsid w:val="00E9309F"/>
    <w:rsid w:val="00E94BA4"/>
    <w:rsid w:val="00E977F7"/>
    <w:rsid w:val="00EB4F6D"/>
    <w:rsid w:val="00EC3A80"/>
    <w:rsid w:val="00EF4F84"/>
    <w:rsid w:val="00EF64CA"/>
    <w:rsid w:val="00F10440"/>
    <w:rsid w:val="00F13895"/>
    <w:rsid w:val="00F14ED0"/>
    <w:rsid w:val="00F2002D"/>
    <w:rsid w:val="00F208C8"/>
    <w:rsid w:val="00F21151"/>
    <w:rsid w:val="00F26A8D"/>
    <w:rsid w:val="00F274D2"/>
    <w:rsid w:val="00F34081"/>
    <w:rsid w:val="00F47916"/>
    <w:rsid w:val="00F71816"/>
    <w:rsid w:val="00F72FDD"/>
    <w:rsid w:val="00F76E39"/>
    <w:rsid w:val="00F81A73"/>
    <w:rsid w:val="00F924CF"/>
    <w:rsid w:val="00F92972"/>
    <w:rsid w:val="00F95566"/>
    <w:rsid w:val="00FA54F7"/>
    <w:rsid w:val="00FC1B65"/>
    <w:rsid w:val="00FC49AD"/>
    <w:rsid w:val="00FC63AA"/>
    <w:rsid w:val="00FD2E53"/>
    <w:rsid w:val="00FD4470"/>
    <w:rsid w:val="00FD7763"/>
    <w:rsid w:val="00FD7DC2"/>
    <w:rsid w:val="00FD7E25"/>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8B7021-8D53-4D92-8E5E-F6BA14A8D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0E5F693A-E32A-4ABC-8B9D-8B72DC28853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2021-06-23T11:25:00Z</cp:lastPrinted>
  <dcterms:created xsi:type="dcterms:W3CDTF">2021-12-13T17:57:00Z</dcterms:created>
  <dcterms:modified xsi:type="dcterms:W3CDTF">2021-12-13T17:57:00Z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