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DA6739" w:rsidRDefault="00F515CF" w:rsidP="00DA6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6739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DA6739" w:rsidRDefault="001304CF" w:rsidP="00DA67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A6739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DA6739">
        <w:rPr>
          <w:rFonts w:ascii="Arial" w:eastAsia="Times New Roman" w:hAnsi="Arial" w:cs="Arial"/>
          <w:b/>
          <w:sz w:val="24"/>
          <w:szCs w:val="24"/>
        </w:rPr>
        <w:t>R</w:t>
      </w:r>
      <w:r w:rsidRPr="00DA6739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DA6739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DA6739" w:rsidRDefault="001168CA" w:rsidP="00DA67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DA6739" w:rsidRDefault="00FD7F03" w:rsidP="00DA673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DA6739" w:rsidRDefault="00F515CF" w:rsidP="00DA67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6739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DA673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50D69" w:rsidRPr="00DA673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330CB" w:rsidRPr="00DA6739">
        <w:rPr>
          <w:rFonts w:ascii="Arial" w:eastAsia="Times New Roman" w:hAnsi="Arial" w:cs="Arial"/>
          <w:b/>
          <w:bCs/>
          <w:sz w:val="24"/>
          <w:szCs w:val="24"/>
        </w:rPr>
        <w:t>346</w:t>
      </w:r>
    </w:p>
    <w:p w:rsidR="00FF1348" w:rsidRPr="00DA6739" w:rsidRDefault="00F515CF" w:rsidP="00DA67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6739">
        <w:rPr>
          <w:rFonts w:ascii="Arial" w:eastAsia="Times New Roman" w:hAnsi="Arial" w:cs="Arial"/>
          <w:sz w:val="24"/>
          <w:szCs w:val="24"/>
        </w:rPr>
        <w:t> </w:t>
      </w:r>
    </w:p>
    <w:p w:rsidR="002355A7" w:rsidRPr="00DA6739" w:rsidRDefault="00687C52" w:rsidP="00DA673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2E3EF6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B330CB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1187C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2E3EF6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>0</w:t>
      </w:r>
      <w:r w:rsidR="00B330CB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2E3EF6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JUNE</w:t>
      </w:r>
      <w:r w:rsidR="00AE4FD6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</w:t>
      </w:r>
      <w:r w:rsidR="00F515CF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DA6739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DA6739" w:rsidRDefault="00C63DFF" w:rsidP="00DA6739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330CB" w:rsidRPr="00DA6739" w:rsidRDefault="00B330CB" w:rsidP="00DA67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A6739">
        <w:rPr>
          <w:rFonts w:ascii="Arial" w:hAnsi="Arial" w:cs="Arial"/>
          <w:b/>
          <w:bCs/>
          <w:sz w:val="24"/>
          <w:szCs w:val="24"/>
        </w:rPr>
        <w:t>2346.</w:t>
      </w:r>
      <w:r w:rsidRPr="00DA6739">
        <w:rPr>
          <w:rFonts w:ascii="Arial" w:hAnsi="Arial" w:cs="Arial"/>
          <w:b/>
          <w:bCs/>
          <w:sz w:val="24"/>
          <w:szCs w:val="24"/>
        </w:rPr>
        <w:tab/>
      </w:r>
      <w:r w:rsidRPr="00DA6739">
        <w:rPr>
          <w:rFonts w:ascii="Arial" w:hAnsi="Arial" w:cs="Arial"/>
          <w:b/>
          <w:sz w:val="24"/>
          <w:szCs w:val="24"/>
          <w:lang w:val="en-US"/>
        </w:rPr>
        <w:t>Mr N P Masipa (DA) to ask the Minister of Agriculture, Land Reform and Rural Development</w:t>
      </w:r>
      <w:r w:rsidR="00B13A4A" w:rsidRPr="00DA6739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DA6739">
        <w:rPr>
          <w:rFonts w:ascii="Arial" w:hAnsi="Arial" w:cs="Arial"/>
          <w:sz w:val="24"/>
          <w:szCs w:val="24"/>
        </w:rPr>
        <w:instrText xml:space="preserve"> XE "</w:instrText>
      </w:r>
      <w:r w:rsidRPr="00DA6739">
        <w:rPr>
          <w:rFonts w:ascii="Arial" w:hAnsi="Arial" w:cs="Arial"/>
          <w:b/>
          <w:sz w:val="24"/>
          <w:szCs w:val="24"/>
          <w:lang w:val="en-US"/>
        </w:rPr>
        <w:instrText>Minister of Agriculture, Land Reform and Rural Development</w:instrText>
      </w:r>
      <w:r w:rsidRPr="00DA6739">
        <w:rPr>
          <w:rFonts w:ascii="Arial" w:hAnsi="Arial" w:cs="Arial"/>
          <w:sz w:val="24"/>
          <w:szCs w:val="24"/>
        </w:rPr>
        <w:instrText xml:space="preserve">" </w:instrText>
      </w:r>
      <w:r w:rsidR="00B13A4A" w:rsidRPr="00DA6739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DA6739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DA6739" w:rsidRPr="00DA6739" w:rsidRDefault="00DA6739" w:rsidP="00DA67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330CB" w:rsidRPr="00DA6739" w:rsidRDefault="00B330CB" w:rsidP="00DA67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6739">
        <w:rPr>
          <w:rFonts w:ascii="Arial" w:hAnsi="Arial" w:cs="Arial"/>
          <w:sz w:val="24"/>
          <w:szCs w:val="24"/>
          <w:lang w:val="en-US"/>
        </w:rPr>
        <w:t xml:space="preserve">What are the full relevant details of the (a) purchase of a farm belonging to </w:t>
      </w:r>
      <w:proofErr w:type="spellStart"/>
      <w:r w:rsidRPr="00DA6739">
        <w:rPr>
          <w:rFonts w:ascii="Arial" w:hAnsi="Arial" w:cs="Arial"/>
          <w:sz w:val="24"/>
          <w:szCs w:val="24"/>
          <w:lang w:val="en-US"/>
        </w:rPr>
        <w:t>Fortuinskolk</w:t>
      </w:r>
      <w:proofErr w:type="spellEnd"/>
      <w:r w:rsidRPr="00DA6739">
        <w:rPr>
          <w:rFonts w:ascii="Arial" w:hAnsi="Arial" w:cs="Arial"/>
          <w:sz w:val="24"/>
          <w:szCs w:val="24"/>
          <w:lang w:val="en-US"/>
        </w:rPr>
        <w:t xml:space="preserve"> of the </w:t>
      </w:r>
      <w:proofErr w:type="spellStart"/>
      <w:r w:rsidRPr="00DA6739">
        <w:rPr>
          <w:rFonts w:ascii="Arial" w:hAnsi="Arial" w:cs="Arial"/>
          <w:sz w:val="24"/>
          <w:szCs w:val="24"/>
          <w:lang w:val="en-US"/>
        </w:rPr>
        <w:t>Rossouw</w:t>
      </w:r>
      <w:proofErr w:type="spellEnd"/>
      <w:r w:rsidRPr="00DA6739">
        <w:rPr>
          <w:rFonts w:ascii="Arial" w:hAnsi="Arial" w:cs="Arial"/>
          <w:sz w:val="24"/>
          <w:szCs w:val="24"/>
          <w:lang w:val="en-US"/>
        </w:rPr>
        <w:t xml:space="preserve"> Olivier </w:t>
      </w:r>
      <w:proofErr w:type="spellStart"/>
      <w:r w:rsidRPr="00DA6739">
        <w:rPr>
          <w:rFonts w:ascii="Arial" w:hAnsi="Arial" w:cs="Arial"/>
          <w:sz w:val="24"/>
          <w:szCs w:val="24"/>
          <w:lang w:val="en-US"/>
        </w:rPr>
        <w:t>Familietrust</w:t>
      </w:r>
      <w:proofErr w:type="spellEnd"/>
      <w:r w:rsidRPr="00DA6739">
        <w:rPr>
          <w:rFonts w:ascii="Arial" w:hAnsi="Arial" w:cs="Arial"/>
          <w:sz w:val="24"/>
          <w:szCs w:val="24"/>
          <w:lang w:val="en-US"/>
        </w:rPr>
        <w:t xml:space="preserve"> in Carnarvon that was sold to the Government, (b) comparative market values and prices of the farms that were sold in the </w:t>
      </w:r>
      <w:proofErr w:type="spellStart"/>
      <w:r w:rsidRPr="00DA6739">
        <w:rPr>
          <w:rFonts w:ascii="Arial" w:hAnsi="Arial" w:cs="Arial"/>
          <w:sz w:val="24"/>
          <w:szCs w:val="24"/>
          <w:lang w:val="en-US"/>
        </w:rPr>
        <w:t>Carnavon</w:t>
      </w:r>
      <w:proofErr w:type="spellEnd"/>
      <w:r w:rsidRPr="00DA6739">
        <w:rPr>
          <w:rFonts w:ascii="Arial" w:hAnsi="Arial" w:cs="Arial"/>
          <w:sz w:val="24"/>
          <w:szCs w:val="24"/>
          <w:lang w:val="en-US"/>
        </w:rPr>
        <w:t xml:space="preserve"> area between 2014 and 2023, (c) indicators that the farm was bought within the realistic market value and (d) reasons for staying within the market values?</w:t>
      </w:r>
      <w:r w:rsidRPr="00DA6739">
        <w:rPr>
          <w:rFonts w:ascii="Arial" w:hAnsi="Arial" w:cs="Arial"/>
          <w:sz w:val="24"/>
          <w:szCs w:val="24"/>
          <w:lang w:val="en-US"/>
        </w:rPr>
        <w:tab/>
      </w:r>
      <w:r w:rsidRPr="00DA6739">
        <w:rPr>
          <w:rFonts w:ascii="Arial" w:hAnsi="Arial" w:cs="Arial"/>
          <w:sz w:val="24"/>
          <w:szCs w:val="24"/>
          <w:lang w:val="en-US"/>
        </w:rPr>
        <w:tab/>
      </w:r>
      <w:r w:rsidRPr="00DA6739">
        <w:rPr>
          <w:rFonts w:ascii="Arial" w:hAnsi="Arial" w:cs="Arial"/>
          <w:b/>
          <w:bCs/>
          <w:sz w:val="24"/>
          <w:szCs w:val="24"/>
          <w:lang w:val="en-US"/>
        </w:rPr>
        <w:t>NW2681E</w:t>
      </w:r>
    </w:p>
    <w:p w:rsidR="00C22E5A" w:rsidRPr="00DA6739" w:rsidRDefault="00C22E5A" w:rsidP="00DA67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DA6739" w:rsidRDefault="00E433A8" w:rsidP="00DA67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739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DA6739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A6739">
        <w:rPr>
          <w:rFonts w:ascii="Arial" w:hAnsi="Arial" w:cs="Arial"/>
          <w:b/>
          <w:sz w:val="24"/>
          <w:szCs w:val="24"/>
        </w:rPr>
        <w:t>:</w:t>
      </w:r>
    </w:p>
    <w:p w:rsidR="00E433A8" w:rsidRPr="00DA6739" w:rsidRDefault="00E433A8" w:rsidP="00DA673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DA6739" w:rsidRDefault="000B7E81" w:rsidP="00DA673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B530E7" w:rsidRPr="00DA6739" w:rsidRDefault="0064118D" w:rsidP="00DA6739">
      <w:pPr>
        <w:pStyle w:val="NoSpacing"/>
        <w:numPr>
          <w:ilvl w:val="0"/>
          <w:numId w:val="18"/>
        </w:numPr>
        <w:tabs>
          <w:tab w:val="left" w:pos="142"/>
        </w:tabs>
        <w:ind w:left="360"/>
        <w:jc w:val="both"/>
        <w:rPr>
          <w:rFonts w:ascii="Arial" w:hAnsi="Arial" w:cs="Arial"/>
          <w:b/>
          <w:strike/>
          <w:color w:val="FF0000"/>
          <w:sz w:val="24"/>
          <w:szCs w:val="24"/>
          <w:u w:val="single"/>
        </w:rPr>
      </w:pPr>
      <w:r w:rsidRPr="00DA6739">
        <w:rPr>
          <w:rFonts w:ascii="Arial" w:hAnsi="Arial" w:cs="Arial"/>
          <w:sz w:val="24"/>
          <w:szCs w:val="24"/>
          <w:lang w:val="en-US"/>
        </w:rPr>
        <w:t xml:space="preserve">The farm belonging to </w:t>
      </w:r>
      <w:proofErr w:type="spellStart"/>
      <w:r w:rsidRPr="00DA6739">
        <w:rPr>
          <w:rFonts w:ascii="Arial" w:hAnsi="Arial" w:cs="Arial"/>
          <w:sz w:val="24"/>
          <w:szCs w:val="24"/>
          <w:lang w:val="en-US"/>
        </w:rPr>
        <w:t>Fortuins</w:t>
      </w:r>
      <w:proofErr w:type="spellEnd"/>
      <w:r w:rsidR="009812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81263">
        <w:rPr>
          <w:rFonts w:ascii="Arial" w:hAnsi="Arial" w:cs="Arial"/>
          <w:sz w:val="24"/>
          <w:szCs w:val="24"/>
          <w:lang w:val="en-US"/>
        </w:rPr>
        <w:t>K</w:t>
      </w:r>
      <w:r w:rsidRPr="00DA6739">
        <w:rPr>
          <w:rFonts w:ascii="Arial" w:hAnsi="Arial" w:cs="Arial"/>
          <w:sz w:val="24"/>
          <w:szCs w:val="24"/>
          <w:lang w:val="en-US"/>
        </w:rPr>
        <w:t>olk</w:t>
      </w:r>
      <w:proofErr w:type="spellEnd"/>
      <w:r w:rsidRPr="00DA6739">
        <w:rPr>
          <w:rFonts w:ascii="Arial" w:hAnsi="Arial" w:cs="Arial"/>
          <w:sz w:val="24"/>
          <w:szCs w:val="24"/>
          <w:lang w:val="en-US"/>
        </w:rPr>
        <w:t xml:space="preserve"> of the </w:t>
      </w:r>
      <w:proofErr w:type="spellStart"/>
      <w:r w:rsidRPr="00DA6739">
        <w:rPr>
          <w:rFonts w:ascii="Arial" w:hAnsi="Arial" w:cs="Arial"/>
          <w:sz w:val="24"/>
          <w:szCs w:val="24"/>
          <w:lang w:val="en-US"/>
        </w:rPr>
        <w:t>Rossouw</w:t>
      </w:r>
      <w:proofErr w:type="spellEnd"/>
      <w:r w:rsidRPr="00DA6739">
        <w:rPr>
          <w:rFonts w:ascii="Arial" w:hAnsi="Arial" w:cs="Arial"/>
          <w:sz w:val="24"/>
          <w:szCs w:val="24"/>
          <w:lang w:val="en-US"/>
        </w:rPr>
        <w:t xml:space="preserve"> Olivier </w:t>
      </w:r>
      <w:proofErr w:type="spellStart"/>
      <w:r w:rsidRPr="00DA6739">
        <w:rPr>
          <w:rFonts w:ascii="Arial" w:hAnsi="Arial" w:cs="Arial"/>
          <w:sz w:val="24"/>
          <w:szCs w:val="24"/>
          <w:lang w:val="en-US"/>
        </w:rPr>
        <w:t>Familie</w:t>
      </w:r>
      <w:proofErr w:type="spellEnd"/>
      <w:r w:rsidRPr="00DA6739">
        <w:rPr>
          <w:rFonts w:ascii="Arial" w:hAnsi="Arial" w:cs="Arial"/>
          <w:sz w:val="24"/>
          <w:szCs w:val="24"/>
          <w:lang w:val="en-US"/>
        </w:rPr>
        <w:t xml:space="preserve"> Trust (IT1990:2004) in Carnarvon was purchased in line with the Provision of Land and Assistance Act, Act 126 of 1993, </w:t>
      </w:r>
      <w:r w:rsidR="00DA6739">
        <w:rPr>
          <w:rFonts w:ascii="Arial" w:hAnsi="Arial" w:cs="Arial"/>
          <w:sz w:val="24"/>
          <w:szCs w:val="24"/>
          <w:lang w:val="en-US"/>
        </w:rPr>
        <w:t xml:space="preserve">using </w:t>
      </w:r>
      <w:r w:rsidRPr="00DA6739">
        <w:rPr>
          <w:rFonts w:ascii="Arial" w:hAnsi="Arial" w:cs="Arial"/>
          <w:sz w:val="24"/>
          <w:szCs w:val="24"/>
          <w:lang w:val="en-US"/>
        </w:rPr>
        <w:t xml:space="preserve">the Proactive Land Acquisition policy (PLAP) on 13 January 2023. </w:t>
      </w:r>
    </w:p>
    <w:p w:rsidR="00DA6739" w:rsidRPr="00DA6739" w:rsidRDefault="00DA6739" w:rsidP="00DA6739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/>
          <w:strike/>
          <w:color w:val="FF0000"/>
          <w:sz w:val="24"/>
          <w:szCs w:val="24"/>
          <w:u w:val="single"/>
        </w:rPr>
      </w:pPr>
    </w:p>
    <w:p w:rsidR="00137457" w:rsidRPr="00DA6739" w:rsidRDefault="00B530E7" w:rsidP="00DA6739">
      <w:pPr>
        <w:pStyle w:val="NoSpacing"/>
        <w:numPr>
          <w:ilvl w:val="0"/>
          <w:numId w:val="18"/>
        </w:numPr>
        <w:tabs>
          <w:tab w:val="left" w:pos="142"/>
        </w:tabs>
        <w:ind w:left="360"/>
        <w:jc w:val="both"/>
        <w:rPr>
          <w:sz w:val="24"/>
          <w:szCs w:val="24"/>
        </w:rPr>
      </w:pPr>
      <w:r w:rsidRPr="00DA6739">
        <w:rPr>
          <w:rFonts w:ascii="Arial" w:hAnsi="Arial" w:cs="Arial"/>
          <w:sz w:val="24"/>
          <w:szCs w:val="24"/>
        </w:rPr>
        <w:t xml:space="preserve">The </w:t>
      </w:r>
      <w:r w:rsidRPr="00DA6739">
        <w:rPr>
          <w:rFonts w:ascii="Arial" w:hAnsi="Arial" w:cs="Arial"/>
          <w:sz w:val="24"/>
          <w:szCs w:val="24"/>
          <w:lang w:val="en-US"/>
        </w:rPr>
        <w:t xml:space="preserve">comparative market values and prices of the farms that were sold in the </w:t>
      </w:r>
      <w:proofErr w:type="spellStart"/>
      <w:r w:rsidRPr="00DA6739">
        <w:rPr>
          <w:rFonts w:ascii="Arial" w:hAnsi="Arial" w:cs="Arial"/>
          <w:sz w:val="24"/>
          <w:szCs w:val="24"/>
          <w:lang w:val="en-US"/>
        </w:rPr>
        <w:t>Carnavon</w:t>
      </w:r>
      <w:proofErr w:type="spellEnd"/>
      <w:r w:rsidRPr="00DA6739">
        <w:rPr>
          <w:rFonts w:ascii="Arial" w:hAnsi="Arial" w:cs="Arial"/>
          <w:sz w:val="24"/>
          <w:szCs w:val="24"/>
          <w:lang w:val="en-US"/>
        </w:rPr>
        <w:t xml:space="preserve"> area between 2014 and 2023 are </w:t>
      </w:r>
      <w:r w:rsidR="00DA6739">
        <w:rPr>
          <w:rFonts w:ascii="Arial" w:hAnsi="Arial" w:cs="Arial"/>
          <w:sz w:val="24"/>
          <w:szCs w:val="24"/>
          <w:lang w:val="en-US"/>
        </w:rPr>
        <w:t xml:space="preserve">reflected in </w:t>
      </w:r>
      <w:r w:rsidR="00137457" w:rsidRPr="00DA6739">
        <w:rPr>
          <w:rFonts w:ascii="Arial" w:hAnsi="Arial" w:cs="Arial"/>
          <w:b/>
          <w:bCs/>
          <w:sz w:val="24"/>
          <w:szCs w:val="24"/>
          <w:lang w:val="en-US"/>
        </w:rPr>
        <w:t>Annexure A</w:t>
      </w:r>
      <w:r w:rsidR="00137457" w:rsidRPr="00DA6739">
        <w:rPr>
          <w:rFonts w:ascii="Arial" w:hAnsi="Arial" w:cs="Arial"/>
          <w:b/>
          <w:sz w:val="24"/>
          <w:szCs w:val="24"/>
        </w:rPr>
        <w:t xml:space="preserve">: </w:t>
      </w:r>
      <w:r w:rsidR="00137457" w:rsidRPr="00DA6739">
        <w:rPr>
          <w:rFonts w:ascii="Arial" w:hAnsi="Arial" w:cs="Arial"/>
          <w:bCs/>
          <w:sz w:val="24"/>
          <w:szCs w:val="24"/>
        </w:rPr>
        <w:t xml:space="preserve">Comparable </w:t>
      </w:r>
      <w:r w:rsidR="00137457" w:rsidRPr="00DA6739">
        <w:rPr>
          <w:rFonts w:ascii="Arial" w:hAnsi="Arial" w:cs="Arial"/>
          <w:sz w:val="24"/>
          <w:szCs w:val="24"/>
          <w:lang w:val="en-US"/>
        </w:rPr>
        <w:t>Market Values and Prices</w:t>
      </w:r>
      <w:r w:rsidR="00DA6739">
        <w:rPr>
          <w:rFonts w:ascii="Arial" w:hAnsi="Arial" w:cs="Arial"/>
          <w:sz w:val="24"/>
          <w:szCs w:val="24"/>
          <w:lang w:val="en-US"/>
        </w:rPr>
        <w:t>.</w:t>
      </w:r>
    </w:p>
    <w:p w:rsidR="00DA6739" w:rsidRPr="00DA6739" w:rsidRDefault="00DA6739" w:rsidP="00DA6739">
      <w:pPr>
        <w:pStyle w:val="NoSpacing"/>
        <w:tabs>
          <w:tab w:val="left" w:pos="142"/>
        </w:tabs>
        <w:jc w:val="both"/>
        <w:rPr>
          <w:sz w:val="24"/>
          <w:szCs w:val="24"/>
        </w:rPr>
      </w:pPr>
    </w:p>
    <w:p w:rsidR="00DA6739" w:rsidRPr="00DA6739" w:rsidRDefault="003E4BB3" w:rsidP="00DA6739">
      <w:pPr>
        <w:pStyle w:val="NoSpacing"/>
        <w:numPr>
          <w:ilvl w:val="0"/>
          <w:numId w:val="18"/>
        </w:numPr>
        <w:tabs>
          <w:tab w:val="left" w:pos="90"/>
        </w:tabs>
        <w:ind w:left="360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DA6739">
        <w:rPr>
          <w:rFonts w:ascii="Arial" w:hAnsi="Arial" w:cs="Arial"/>
          <w:sz w:val="24"/>
          <w:szCs w:val="24"/>
        </w:rPr>
        <w:t>The</w:t>
      </w:r>
      <w:r w:rsidR="00C366FB" w:rsidRPr="00DA6739">
        <w:rPr>
          <w:rFonts w:ascii="Arial" w:hAnsi="Arial" w:cs="Arial"/>
          <w:sz w:val="24"/>
          <w:szCs w:val="24"/>
        </w:rPr>
        <w:t xml:space="preserve"> </w:t>
      </w:r>
      <w:r w:rsidR="00B530E7" w:rsidRPr="00DA6739">
        <w:rPr>
          <w:rFonts w:ascii="Arial" w:hAnsi="Arial" w:cs="Arial"/>
          <w:sz w:val="24"/>
          <w:szCs w:val="24"/>
          <w:lang w:val="en-US"/>
        </w:rPr>
        <w:t>indicators that the farm was bought within the realistic market value</w:t>
      </w:r>
      <w:r w:rsidR="00C366FB" w:rsidRPr="00DA6739">
        <w:rPr>
          <w:rFonts w:ascii="Arial" w:hAnsi="Arial" w:cs="Arial"/>
          <w:sz w:val="24"/>
          <w:szCs w:val="24"/>
          <w:lang w:val="en-US"/>
        </w:rPr>
        <w:t xml:space="preserve"> are</w:t>
      </w:r>
      <w:r w:rsidR="00B530E7" w:rsidRPr="00DA6739">
        <w:rPr>
          <w:rFonts w:ascii="Arial" w:hAnsi="Arial" w:cs="Arial"/>
          <w:sz w:val="24"/>
          <w:szCs w:val="24"/>
          <w:lang w:val="en-US"/>
        </w:rPr>
        <w:t xml:space="preserve"> based on the value determined by the Office of the Valuer-General in terms of the Property Valuation Act 17 of 2014 (PVA) of 2014</w:t>
      </w:r>
      <w:r w:rsidR="00DA6739">
        <w:rPr>
          <w:rFonts w:ascii="Arial" w:hAnsi="Arial" w:cs="Arial"/>
          <w:sz w:val="24"/>
          <w:szCs w:val="24"/>
          <w:lang w:val="en-US"/>
        </w:rPr>
        <w:t>:</w:t>
      </w:r>
    </w:p>
    <w:p w:rsidR="00DA6739" w:rsidRPr="00DA6739" w:rsidRDefault="00DA6739" w:rsidP="00DA6739">
      <w:pPr>
        <w:pStyle w:val="NoSpacing"/>
        <w:tabs>
          <w:tab w:val="left" w:pos="90"/>
        </w:tabs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B530E7" w:rsidRPr="00DA6739" w:rsidRDefault="00F37871" w:rsidP="00DA6739">
      <w:pPr>
        <w:pStyle w:val="NoSpacing"/>
        <w:tabs>
          <w:tab w:val="left" w:pos="90"/>
        </w:tabs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DA6739"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="00756143" w:rsidRPr="00DA6739">
        <w:rPr>
          <w:rFonts w:ascii="Arial" w:hAnsi="Arial" w:cs="Arial"/>
          <w:b/>
          <w:bCs/>
          <w:sz w:val="24"/>
          <w:szCs w:val="24"/>
          <w:lang w:val="en-US"/>
        </w:rPr>
        <w:t>he OVG price determination table</w:t>
      </w:r>
      <w:r w:rsidRPr="00DA6739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W w:w="9339" w:type="dxa"/>
        <w:tblInd w:w="30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3798"/>
        <w:gridCol w:w="5541"/>
      </w:tblGrid>
      <w:tr w:rsidR="00F37871" w:rsidRPr="00DA6739" w:rsidTr="00DA6739">
        <w:trPr>
          <w:trHeight w:val="103"/>
        </w:trPr>
        <w:tc>
          <w:tcPr>
            <w:tcW w:w="37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F37871" w:rsidRPr="00DA6739" w:rsidRDefault="00F37871" w:rsidP="00DA6739">
            <w:pPr>
              <w:pStyle w:val="Default"/>
            </w:pPr>
            <w:r w:rsidRPr="00DA6739">
              <w:t xml:space="preserve">Property description </w:t>
            </w:r>
          </w:p>
        </w:tc>
        <w:tc>
          <w:tcPr>
            <w:tcW w:w="5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F37871" w:rsidRPr="00DA6739" w:rsidRDefault="00F37871" w:rsidP="00DA6739">
            <w:pPr>
              <w:pStyle w:val="Default"/>
            </w:pPr>
            <w:r w:rsidRPr="00DA6739">
              <w:t xml:space="preserve">Portion 2 of Farm </w:t>
            </w:r>
            <w:proofErr w:type="spellStart"/>
            <w:r w:rsidRPr="00DA6739">
              <w:t>Fortuins</w:t>
            </w:r>
            <w:proofErr w:type="spellEnd"/>
            <w:r w:rsidRPr="00DA6739">
              <w:t xml:space="preserve"> </w:t>
            </w:r>
            <w:proofErr w:type="spellStart"/>
            <w:r w:rsidRPr="00DA6739">
              <w:t>Kolk</w:t>
            </w:r>
            <w:proofErr w:type="spellEnd"/>
            <w:r w:rsidRPr="00DA6739">
              <w:t xml:space="preserve"> 37, Carnarvon</w:t>
            </w:r>
            <w:r w:rsidR="00DA6739">
              <w:t xml:space="preserve"> </w:t>
            </w:r>
            <w:r w:rsidRPr="00DA6739">
              <w:t>RD</w:t>
            </w:r>
          </w:p>
        </w:tc>
      </w:tr>
      <w:tr w:rsidR="00F37871" w:rsidRPr="00DA6739" w:rsidTr="00DA6739">
        <w:trPr>
          <w:trHeight w:val="103"/>
        </w:trPr>
        <w:tc>
          <w:tcPr>
            <w:tcW w:w="37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F37871" w:rsidRPr="00DA6739" w:rsidRDefault="00F37871" w:rsidP="00DA6739">
            <w:pPr>
              <w:pStyle w:val="Default"/>
            </w:pPr>
            <w:r w:rsidRPr="00DA6739">
              <w:t xml:space="preserve">Land use </w:t>
            </w:r>
          </w:p>
        </w:tc>
        <w:tc>
          <w:tcPr>
            <w:tcW w:w="5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F37871" w:rsidRPr="00DA6739" w:rsidRDefault="00F37871" w:rsidP="00DA6739">
            <w:pPr>
              <w:pStyle w:val="Default"/>
            </w:pPr>
            <w:r w:rsidRPr="00DA6739">
              <w:t>Grazing and irrigated land</w:t>
            </w:r>
          </w:p>
        </w:tc>
      </w:tr>
      <w:tr w:rsidR="00F37871" w:rsidRPr="00DA6739" w:rsidTr="00DA6739">
        <w:trPr>
          <w:trHeight w:val="103"/>
        </w:trPr>
        <w:tc>
          <w:tcPr>
            <w:tcW w:w="37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F37871" w:rsidRPr="00DA6739" w:rsidRDefault="00F37871" w:rsidP="00DA6739">
            <w:pPr>
              <w:pStyle w:val="Default"/>
            </w:pPr>
            <w:r w:rsidRPr="00DA6739">
              <w:t xml:space="preserve">Extent </w:t>
            </w:r>
          </w:p>
        </w:tc>
        <w:tc>
          <w:tcPr>
            <w:tcW w:w="5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F37871" w:rsidRPr="00DA6739" w:rsidRDefault="00F37871" w:rsidP="00DA6739">
            <w:pPr>
              <w:pStyle w:val="Default"/>
            </w:pPr>
            <w:r w:rsidRPr="00DA6739">
              <w:t>3509.2669 Ha</w:t>
            </w:r>
          </w:p>
        </w:tc>
      </w:tr>
      <w:tr w:rsidR="00F37871" w:rsidRPr="00DA6739" w:rsidTr="00DA6739">
        <w:trPr>
          <w:trHeight w:val="103"/>
        </w:trPr>
        <w:tc>
          <w:tcPr>
            <w:tcW w:w="37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F37871" w:rsidRPr="00DA6739" w:rsidRDefault="00F37871" w:rsidP="00DA6739">
            <w:pPr>
              <w:pStyle w:val="Default"/>
            </w:pPr>
            <w:r w:rsidRPr="00DA6739">
              <w:t xml:space="preserve">Carrying capacity </w:t>
            </w:r>
          </w:p>
        </w:tc>
        <w:tc>
          <w:tcPr>
            <w:tcW w:w="5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F37871" w:rsidRPr="00DA6739" w:rsidRDefault="00F37871" w:rsidP="00DA6739">
            <w:pPr>
              <w:pStyle w:val="Default"/>
            </w:pPr>
            <w:r w:rsidRPr="00DA6739">
              <w:t>32ha/LSU</w:t>
            </w:r>
          </w:p>
        </w:tc>
      </w:tr>
      <w:tr w:rsidR="00F37871" w:rsidRPr="00DA6739" w:rsidTr="00DA6739">
        <w:trPr>
          <w:trHeight w:val="103"/>
        </w:trPr>
        <w:tc>
          <w:tcPr>
            <w:tcW w:w="37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F37871" w:rsidRPr="00DA6739" w:rsidRDefault="00F37871" w:rsidP="00DA6739">
            <w:pPr>
              <w:pStyle w:val="Default"/>
            </w:pPr>
            <w:r w:rsidRPr="00DA6739">
              <w:t xml:space="preserve">Water sources </w:t>
            </w:r>
          </w:p>
        </w:tc>
        <w:tc>
          <w:tcPr>
            <w:tcW w:w="5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F37871" w:rsidRPr="00DA6739" w:rsidRDefault="00F37871" w:rsidP="00DA6739">
            <w:pPr>
              <w:pStyle w:val="Default"/>
            </w:pPr>
            <w:r w:rsidRPr="00DA6739">
              <w:t>Boreholes and dams</w:t>
            </w:r>
          </w:p>
        </w:tc>
      </w:tr>
      <w:tr w:rsidR="00F37871" w:rsidRPr="00DA6739" w:rsidTr="00DA6739">
        <w:trPr>
          <w:trHeight w:val="103"/>
        </w:trPr>
        <w:tc>
          <w:tcPr>
            <w:tcW w:w="37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F37871" w:rsidRPr="00DA6739" w:rsidRDefault="00F37871" w:rsidP="00DA6739">
            <w:pPr>
              <w:pStyle w:val="Default"/>
            </w:pPr>
            <w:r w:rsidRPr="00DA6739">
              <w:t xml:space="preserve">Fixed improvements sizes </w:t>
            </w:r>
          </w:p>
        </w:tc>
        <w:tc>
          <w:tcPr>
            <w:tcW w:w="5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F37871" w:rsidRPr="00DA6739" w:rsidRDefault="00F37871" w:rsidP="00DA6739">
            <w:pPr>
              <w:pStyle w:val="Default"/>
            </w:pPr>
            <w:r w:rsidRPr="00DA6739">
              <w:t>±695 m² in total</w:t>
            </w:r>
          </w:p>
        </w:tc>
      </w:tr>
      <w:tr w:rsidR="00F37871" w:rsidRPr="00DA6739" w:rsidTr="00DA6739">
        <w:trPr>
          <w:trHeight w:val="103"/>
        </w:trPr>
        <w:tc>
          <w:tcPr>
            <w:tcW w:w="37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F37871" w:rsidRPr="00DA6739" w:rsidRDefault="00F37871" w:rsidP="00DA6739">
            <w:pPr>
              <w:pStyle w:val="Default"/>
            </w:pPr>
            <w:r w:rsidRPr="00DA6739">
              <w:t xml:space="preserve">Current use value </w:t>
            </w:r>
          </w:p>
        </w:tc>
        <w:tc>
          <w:tcPr>
            <w:tcW w:w="5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F37871" w:rsidRPr="00DA6739" w:rsidRDefault="00F37871" w:rsidP="00DA6739">
            <w:pPr>
              <w:pStyle w:val="Default"/>
            </w:pPr>
            <w:r w:rsidRPr="00DA6739">
              <w:t>R4 057 818.38</w:t>
            </w:r>
          </w:p>
        </w:tc>
      </w:tr>
      <w:tr w:rsidR="00F37871" w:rsidRPr="00DA6739" w:rsidTr="00DA6739">
        <w:trPr>
          <w:trHeight w:val="103"/>
        </w:trPr>
        <w:tc>
          <w:tcPr>
            <w:tcW w:w="37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F37871" w:rsidRPr="00DA6739" w:rsidRDefault="00F37871" w:rsidP="00DA6739">
            <w:pPr>
              <w:pStyle w:val="Default"/>
            </w:pPr>
            <w:r w:rsidRPr="00DA6739">
              <w:t xml:space="preserve">Market value </w:t>
            </w:r>
          </w:p>
        </w:tc>
        <w:tc>
          <w:tcPr>
            <w:tcW w:w="5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F37871" w:rsidRPr="00DA6739" w:rsidRDefault="00F37871" w:rsidP="00DA6739">
            <w:pPr>
              <w:pStyle w:val="Default"/>
            </w:pPr>
            <w:r w:rsidRPr="00DA6739">
              <w:t>R18 161 321.00</w:t>
            </w:r>
          </w:p>
        </w:tc>
      </w:tr>
      <w:tr w:rsidR="00F37871" w:rsidRPr="00DA6739" w:rsidTr="00DA6739">
        <w:trPr>
          <w:trHeight w:val="103"/>
        </w:trPr>
        <w:tc>
          <w:tcPr>
            <w:tcW w:w="37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F37871" w:rsidRPr="00DA6739" w:rsidRDefault="00F37871" w:rsidP="00DA6739">
            <w:pPr>
              <w:pStyle w:val="Default"/>
            </w:pPr>
            <w:r w:rsidRPr="00DA6739">
              <w:t xml:space="preserve">PVA value </w:t>
            </w:r>
          </w:p>
        </w:tc>
        <w:tc>
          <w:tcPr>
            <w:tcW w:w="5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F37871" w:rsidRPr="00DA6739" w:rsidRDefault="00F37871" w:rsidP="00DA6739">
            <w:pPr>
              <w:pStyle w:val="Default"/>
            </w:pPr>
            <w:r w:rsidRPr="00DA6739">
              <w:t>R11 110 000.00</w:t>
            </w:r>
          </w:p>
        </w:tc>
      </w:tr>
    </w:tbl>
    <w:p w:rsidR="00F37871" w:rsidRPr="00DA6739" w:rsidRDefault="00F37871" w:rsidP="00DA6739">
      <w:pPr>
        <w:pStyle w:val="NoSpacing"/>
        <w:tabs>
          <w:tab w:val="left" w:pos="90"/>
        </w:tabs>
        <w:ind w:left="360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756143" w:rsidRPr="00DA6739" w:rsidRDefault="00C366FB" w:rsidP="00DA6739">
      <w:pPr>
        <w:pStyle w:val="NoSpacing"/>
        <w:numPr>
          <w:ilvl w:val="0"/>
          <w:numId w:val="18"/>
        </w:numPr>
        <w:tabs>
          <w:tab w:val="left" w:pos="90"/>
          <w:tab w:val="left" w:pos="142"/>
        </w:tabs>
        <w:ind w:left="360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DA6739">
        <w:rPr>
          <w:rFonts w:ascii="Arial" w:hAnsi="Arial" w:cs="Arial"/>
          <w:sz w:val="24"/>
          <w:szCs w:val="24"/>
        </w:rPr>
        <w:t xml:space="preserve">The </w:t>
      </w:r>
      <w:r w:rsidR="00756143" w:rsidRPr="00DA6739">
        <w:rPr>
          <w:rFonts w:ascii="Arial" w:hAnsi="Arial" w:cs="Arial"/>
          <w:sz w:val="24"/>
          <w:szCs w:val="24"/>
        </w:rPr>
        <w:t xml:space="preserve">agreed purchase price of </w:t>
      </w:r>
      <w:r w:rsidR="00756143" w:rsidRPr="00DA6739">
        <w:rPr>
          <w:rFonts w:ascii="Arial" w:hAnsi="Arial" w:cs="Arial"/>
          <w:sz w:val="24"/>
          <w:szCs w:val="24"/>
          <w:lang w:val="en-US"/>
        </w:rPr>
        <w:t xml:space="preserve">R11 110 000.00 is based on the provisions </w:t>
      </w:r>
      <w:r w:rsidR="00F37871" w:rsidRPr="00DA6739">
        <w:rPr>
          <w:rFonts w:ascii="Arial" w:hAnsi="Arial" w:cs="Arial"/>
          <w:sz w:val="24"/>
          <w:szCs w:val="24"/>
          <w:lang w:val="en-US"/>
        </w:rPr>
        <w:t>of the</w:t>
      </w:r>
      <w:r w:rsidR="00B530E7" w:rsidRPr="00DA6739">
        <w:rPr>
          <w:rFonts w:ascii="Arial" w:hAnsi="Arial" w:cs="Arial"/>
          <w:sz w:val="24"/>
          <w:szCs w:val="24"/>
          <w:lang w:val="en-US"/>
        </w:rPr>
        <w:t xml:space="preserve"> Property Valuation Act 17 of 2014</w:t>
      </w:r>
      <w:r w:rsidRPr="00DA6739">
        <w:rPr>
          <w:rFonts w:ascii="Arial" w:hAnsi="Arial" w:cs="Arial"/>
          <w:sz w:val="24"/>
          <w:szCs w:val="24"/>
          <w:lang w:val="en-US"/>
        </w:rPr>
        <w:t xml:space="preserve"> </w:t>
      </w:r>
      <w:r w:rsidR="00B530E7" w:rsidRPr="00DA6739">
        <w:rPr>
          <w:rFonts w:ascii="Arial" w:hAnsi="Arial" w:cs="Arial"/>
          <w:sz w:val="24"/>
          <w:szCs w:val="24"/>
          <w:lang w:val="en-US"/>
        </w:rPr>
        <w:t>(PVA) and PVA Regulations</w:t>
      </w:r>
      <w:r w:rsidR="00F37871" w:rsidRPr="00DA6739">
        <w:rPr>
          <w:rFonts w:ascii="Arial" w:hAnsi="Arial" w:cs="Arial"/>
          <w:sz w:val="24"/>
          <w:szCs w:val="24"/>
          <w:lang w:val="en-US"/>
        </w:rPr>
        <w:t>.</w:t>
      </w:r>
    </w:p>
    <w:sectPr w:rsidR="00756143" w:rsidRPr="00DA6739" w:rsidSect="00DA6739">
      <w:pgSz w:w="11906" w:h="16838"/>
      <w:pgMar w:top="709" w:right="127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1C396BD3"/>
    <w:multiLevelType w:val="hybridMultilevel"/>
    <w:tmpl w:val="096CDB2C"/>
    <w:lvl w:ilvl="0" w:tplc="EA542DA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bCs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441EB08E">
      <w:start w:val="1"/>
      <w:numFmt w:val="lowerRoman"/>
      <w:lvlText w:val="(%3)."/>
      <w:lvlJc w:val="right"/>
      <w:pPr>
        <w:ind w:left="2340" w:hanging="36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D17EA"/>
    <w:multiLevelType w:val="hybridMultilevel"/>
    <w:tmpl w:val="3970F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615367B0"/>
    <w:multiLevelType w:val="hybridMultilevel"/>
    <w:tmpl w:val="EF5C1E6E"/>
    <w:lvl w:ilvl="0" w:tplc="08F8970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827A1"/>
    <w:multiLevelType w:val="hybridMultilevel"/>
    <w:tmpl w:val="D2D25B34"/>
    <w:lvl w:ilvl="0" w:tplc="8760E18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3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8B2490"/>
    <w:multiLevelType w:val="hybridMultilevel"/>
    <w:tmpl w:val="C41E5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BE7892"/>
    <w:multiLevelType w:val="hybridMultilevel"/>
    <w:tmpl w:val="19589152"/>
    <w:lvl w:ilvl="0" w:tplc="A5CA9F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18"/>
  </w:num>
  <w:num w:numId="9">
    <w:abstractNumId w:val="21"/>
  </w:num>
  <w:num w:numId="10">
    <w:abstractNumId w:val="17"/>
  </w:num>
  <w:num w:numId="11">
    <w:abstractNumId w:val="7"/>
  </w:num>
  <w:num w:numId="12">
    <w:abstractNumId w:val="5"/>
  </w:num>
  <w:num w:numId="13">
    <w:abstractNumId w:val="16"/>
  </w:num>
  <w:num w:numId="14">
    <w:abstractNumId w:val="12"/>
  </w:num>
  <w:num w:numId="15">
    <w:abstractNumId w:val="4"/>
  </w:num>
  <w:num w:numId="16">
    <w:abstractNumId w:val="1"/>
  </w:num>
  <w:num w:numId="17">
    <w:abstractNumId w:val="13"/>
  </w:num>
  <w:num w:numId="18">
    <w:abstractNumId w:val="2"/>
  </w:num>
  <w:num w:numId="19">
    <w:abstractNumId w:val="14"/>
  </w:num>
  <w:num w:numId="20">
    <w:abstractNumId w:val="20"/>
  </w:num>
  <w:num w:numId="21">
    <w:abstractNumId w:val="19"/>
  </w:num>
  <w:num w:numId="2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00C8"/>
    <w:rsid w:val="000015F5"/>
    <w:rsid w:val="00004681"/>
    <w:rsid w:val="00005B4C"/>
    <w:rsid w:val="0000782A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D741F"/>
    <w:rsid w:val="000E1870"/>
    <w:rsid w:val="000E23F0"/>
    <w:rsid w:val="000F0921"/>
    <w:rsid w:val="000F7255"/>
    <w:rsid w:val="00101158"/>
    <w:rsid w:val="00103B8A"/>
    <w:rsid w:val="00106536"/>
    <w:rsid w:val="00112595"/>
    <w:rsid w:val="00114C45"/>
    <w:rsid w:val="001168CA"/>
    <w:rsid w:val="00122668"/>
    <w:rsid w:val="001304CF"/>
    <w:rsid w:val="00137457"/>
    <w:rsid w:val="00137772"/>
    <w:rsid w:val="00141744"/>
    <w:rsid w:val="00143147"/>
    <w:rsid w:val="0015243C"/>
    <w:rsid w:val="00152647"/>
    <w:rsid w:val="00154941"/>
    <w:rsid w:val="001653A5"/>
    <w:rsid w:val="00167BF0"/>
    <w:rsid w:val="00173910"/>
    <w:rsid w:val="001B7997"/>
    <w:rsid w:val="001D3245"/>
    <w:rsid w:val="001D3373"/>
    <w:rsid w:val="001D52A3"/>
    <w:rsid w:val="001D53C2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480C"/>
    <w:rsid w:val="002D5F05"/>
    <w:rsid w:val="002D7DCF"/>
    <w:rsid w:val="002E3EF6"/>
    <w:rsid w:val="002F31C6"/>
    <w:rsid w:val="002F7E88"/>
    <w:rsid w:val="0031187C"/>
    <w:rsid w:val="003121C9"/>
    <w:rsid w:val="003143D9"/>
    <w:rsid w:val="00321184"/>
    <w:rsid w:val="003216AC"/>
    <w:rsid w:val="003409CC"/>
    <w:rsid w:val="0034601D"/>
    <w:rsid w:val="003469AF"/>
    <w:rsid w:val="00346DCF"/>
    <w:rsid w:val="00347028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E4BB3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D69"/>
    <w:rsid w:val="004521E7"/>
    <w:rsid w:val="00456125"/>
    <w:rsid w:val="0045623F"/>
    <w:rsid w:val="00461C43"/>
    <w:rsid w:val="00471F71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E11EB"/>
    <w:rsid w:val="004F05E9"/>
    <w:rsid w:val="004F1EED"/>
    <w:rsid w:val="004F25D4"/>
    <w:rsid w:val="004F33BF"/>
    <w:rsid w:val="004F452F"/>
    <w:rsid w:val="004F4F02"/>
    <w:rsid w:val="005057D6"/>
    <w:rsid w:val="00511BE9"/>
    <w:rsid w:val="00512497"/>
    <w:rsid w:val="005352FB"/>
    <w:rsid w:val="00554B5D"/>
    <w:rsid w:val="00556504"/>
    <w:rsid w:val="0056490D"/>
    <w:rsid w:val="00567BDA"/>
    <w:rsid w:val="005830DE"/>
    <w:rsid w:val="0058378C"/>
    <w:rsid w:val="00593B26"/>
    <w:rsid w:val="005A2413"/>
    <w:rsid w:val="005A6CE2"/>
    <w:rsid w:val="005B0567"/>
    <w:rsid w:val="005B1644"/>
    <w:rsid w:val="005C0F81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4118D"/>
    <w:rsid w:val="00653976"/>
    <w:rsid w:val="00656293"/>
    <w:rsid w:val="0065665B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197F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015AD"/>
    <w:rsid w:val="00710414"/>
    <w:rsid w:val="00715981"/>
    <w:rsid w:val="00720A4A"/>
    <w:rsid w:val="00726E7F"/>
    <w:rsid w:val="00730EBE"/>
    <w:rsid w:val="007457D6"/>
    <w:rsid w:val="00747EB8"/>
    <w:rsid w:val="00751CFE"/>
    <w:rsid w:val="00756143"/>
    <w:rsid w:val="00776857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725A4"/>
    <w:rsid w:val="00877601"/>
    <w:rsid w:val="00877FFE"/>
    <w:rsid w:val="00890974"/>
    <w:rsid w:val="0089114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5025"/>
    <w:rsid w:val="008F7745"/>
    <w:rsid w:val="00901E7D"/>
    <w:rsid w:val="00902BA5"/>
    <w:rsid w:val="009078FB"/>
    <w:rsid w:val="009121A3"/>
    <w:rsid w:val="00921103"/>
    <w:rsid w:val="00924313"/>
    <w:rsid w:val="00933828"/>
    <w:rsid w:val="00933D88"/>
    <w:rsid w:val="009457EF"/>
    <w:rsid w:val="00956AE7"/>
    <w:rsid w:val="009621BB"/>
    <w:rsid w:val="0097678F"/>
    <w:rsid w:val="00981263"/>
    <w:rsid w:val="009823D6"/>
    <w:rsid w:val="00995E51"/>
    <w:rsid w:val="009B00AA"/>
    <w:rsid w:val="009C1DC2"/>
    <w:rsid w:val="009C2943"/>
    <w:rsid w:val="009D5720"/>
    <w:rsid w:val="009D5D93"/>
    <w:rsid w:val="009E7F7A"/>
    <w:rsid w:val="009F0324"/>
    <w:rsid w:val="009F69BF"/>
    <w:rsid w:val="00A061B1"/>
    <w:rsid w:val="00A11407"/>
    <w:rsid w:val="00A11E1B"/>
    <w:rsid w:val="00A12546"/>
    <w:rsid w:val="00A170D1"/>
    <w:rsid w:val="00A320C5"/>
    <w:rsid w:val="00A358D3"/>
    <w:rsid w:val="00A5099E"/>
    <w:rsid w:val="00A5760D"/>
    <w:rsid w:val="00A644F7"/>
    <w:rsid w:val="00A75531"/>
    <w:rsid w:val="00A757DA"/>
    <w:rsid w:val="00A811CD"/>
    <w:rsid w:val="00AA1212"/>
    <w:rsid w:val="00AA440F"/>
    <w:rsid w:val="00AA7F90"/>
    <w:rsid w:val="00AB204B"/>
    <w:rsid w:val="00AC01E8"/>
    <w:rsid w:val="00AD68C7"/>
    <w:rsid w:val="00AE0E15"/>
    <w:rsid w:val="00AE3B9A"/>
    <w:rsid w:val="00AE4FD6"/>
    <w:rsid w:val="00AF1A99"/>
    <w:rsid w:val="00AF5D3E"/>
    <w:rsid w:val="00B119D1"/>
    <w:rsid w:val="00B125DB"/>
    <w:rsid w:val="00B13A4A"/>
    <w:rsid w:val="00B23562"/>
    <w:rsid w:val="00B27A1B"/>
    <w:rsid w:val="00B330CB"/>
    <w:rsid w:val="00B35E24"/>
    <w:rsid w:val="00B4425F"/>
    <w:rsid w:val="00B530E7"/>
    <w:rsid w:val="00B61C37"/>
    <w:rsid w:val="00B70039"/>
    <w:rsid w:val="00B71E7C"/>
    <w:rsid w:val="00B72514"/>
    <w:rsid w:val="00B8102D"/>
    <w:rsid w:val="00B8633E"/>
    <w:rsid w:val="00B97E5C"/>
    <w:rsid w:val="00BB0024"/>
    <w:rsid w:val="00BB0E8D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20126"/>
    <w:rsid w:val="00C22E5A"/>
    <w:rsid w:val="00C26E56"/>
    <w:rsid w:val="00C358F6"/>
    <w:rsid w:val="00C366DC"/>
    <w:rsid w:val="00C366FB"/>
    <w:rsid w:val="00C45DA7"/>
    <w:rsid w:val="00C47238"/>
    <w:rsid w:val="00C63DF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17B0"/>
    <w:rsid w:val="00CE5507"/>
    <w:rsid w:val="00CF0BA2"/>
    <w:rsid w:val="00CF0CDC"/>
    <w:rsid w:val="00CF7215"/>
    <w:rsid w:val="00D0368D"/>
    <w:rsid w:val="00D03AAF"/>
    <w:rsid w:val="00D06AF3"/>
    <w:rsid w:val="00D1005A"/>
    <w:rsid w:val="00D17A5F"/>
    <w:rsid w:val="00D4758D"/>
    <w:rsid w:val="00D5086A"/>
    <w:rsid w:val="00D57256"/>
    <w:rsid w:val="00D6309B"/>
    <w:rsid w:val="00D66976"/>
    <w:rsid w:val="00D67FFE"/>
    <w:rsid w:val="00D75855"/>
    <w:rsid w:val="00D767A4"/>
    <w:rsid w:val="00D850B2"/>
    <w:rsid w:val="00D86E2C"/>
    <w:rsid w:val="00D87A79"/>
    <w:rsid w:val="00D96A51"/>
    <w:rsid w:val="00D97EFF"/>
    <w:rsid w:val="00DA6739"/>
    <w:rsid w:val="00DB64EE"/>
    <w:rsid w:val="00DC1975"/>
    <w:rsid w:val="00DC48AF"/>
    <w:rsid w:val="00DD0909"/>
    <w:rsid w:val="00DD3420"/>
    <w:rsid w:val="00DD380D"/>
    <w:rsid w:val="00DD3CF4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36D1"/>
    <w:rsid w:val="00E1432C"/>
    <w:rsid w:val="00E159FD"/>
    <w:rsid w:val="00E36039"/>
    <w:rsid w:val="00E3774C"/>
    <w:rsid w:val="00E4020A"/>
    <w:rsid w:val="00E433A8"/>
    <w:rsid w:val="00E50E79"/>
    <w:rsid w:val="00E53F82"/>
    <w:rsid w:val="00E55957"/>
    <w:rsid w:val="00E648A4"/>
    <w:rsid w:val="00E82455"/>
    <w:rsid w:val="00E94873"/>
    <w:rsid w:val="00E96F22"/>
    <w:rsid w:val="00EA5F1F"/>
    <w:rsid w:val="00EB298B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35A64"/>
    <w:rsid w:val="00F37871"/>
    <w:rsid w:val="00F41D98"/>
    <w:rsid w:val="00F448C5"/>
    <w:rsid w:val="00F515CF"/>
    <w:rsid w:val="00F53422"/>
    <w:rsid w:val="00F6615B"/>
    <w:rsid w:val="00F670BD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F1348"/>
    <w:rsid w:val="00FF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  <w:style w:type="paragraph" w:customStyle="1" w:styleId="Default">
    <w:name w:val="Default"/>
    <w:rsid w:val="001374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8D5B4E640A9489278032BA281DC67" ma:contentTypeVersion="5" ma:contentTypeDescription="Create a new document." ma:contentTypeScope="" ma:versionID="36a67ad5b585744f46e3c93f60fb27a5">
  <xsd:schema xmlns:xsd="http://www.w3.org/2001/XMLSchema" xmlns:xs="http://www.w3.org/2001/XMLSchema" xmlns:p="http://schemas.microsoft.com/office/2006/metadata/properties" xmlns:ns3="a366e3b8-1240-4457-b6a6-a334322ff538" xmlns:ns4="18d3a188-0ecd-46e7-88e8-bed49e953af5" targetNamespace="http://schemas.microsoft.com/office/2006/metadata/properties" ma:root="true" ma:fieldsID="2058f24036331018447f2239651d26ec" ns3:_="" ns4:_="">
    <xsd:import namespace="a366e3b8-1240-4457-b6a6-a334322ff538"/>
    <xsd:import namespace="18d3a188-0ecd-46e7-88e8-bed49e953a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6e3b8-1240-4457-b6a6-a334322f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a188-0ecd-46e7-88e8-bed49e95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A919-7743-4BA4-B4E9-0D3F926D0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D1062-92D8-4E49-B190-013C4AF5C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6e3b8-1240-4457-b6a6-a334322ff538"/>
    <ds:schemaRef ds:uri="18d3a188-0ecd-46e7-88e8-bed49e95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5E740-D515-439D-9BB8-0FD0AE24E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6405F-CE17-4847-B030-3FF32258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2023-07-04T09:09:00Z</dcterms:created>
  <dcterms:modified xsi:type="dcterms:W3CDTF">2023-07-04T09:09:00Z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0x0101007628D5B4E640A9489278032BA281DC67</vt:lpwstr>
  </property>
</Properties>
</file>