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462F95" w:rsidRDefault="00CC32BE" w:rsidP="00173BDA">
      <w:pPr>
        <w:spacing w:line="240" w:lineRule="auto"/>
        <w:rPr>
          <w:rFonts w:ascii="Arial" w:eastAsia="Times New Roman" w:hAnsi="Arial" w:cs="Arial"/>
          <w:b/>
          <w:snapToGrid w:val="0"/>
          <w:color w:val="000000"/>
          <w:lang w:val="en-GB"/>
        </w:rPr>
      </w:pPr>
      <w:r w:rsidRPr="00462F95">
        <w:rPr>
          <w:rFonts w:ascii="Arial" w:eastAsia="Times New Roman" w:hAnsi="Arial" w:cs="Arial"/>
          <w:b/>
          <w:snapToGrid w:val="0"/>
          <w:color w:val="000000"/>
          <w:lang w:val="en-GB"/>
        </w:rPr>
        <w:t>_____________________________________</w:t>
      </w:r>
      <w:r w:rsidR="009B6FFC" w:rsidRPr="00462F95">
        <w:rPr>
          <w:rFonts w:ascii="Arial" w:eastAsia="Times New Roman" w:hAnsi="Arial" w:cs="Arial"/>
          <w:b/>
          <w:snapToGrid w:val="0"/>
          <w:color w:val="000000"/>
          <w:lang w:val="en-GB"/>
        </w:rPr>
        <w:t>___</w:t>
      </w:r>
      <w:r w:rsidR="00462F95">
        <w:rPr>
          <w:rFonts w:ascii="Arial" w:eastAsia="Times New Roman" w:hAnsi="Arial" w:cs="Arial"/>
          <w:b/>
          <w:snapToGrid w:val="0"/>
          <w:color w:val="000000"/>
          <w:lang w:val="en-GB"/>
        </w:rPr>
        <w:t>_________________________________</w:t>
      </w:r>
      <w:bookmarkStart w:id="0" w:name="_GoBack"/>
      <w:bookmarkEnd w:id="0"/>
    </w:p>
    <w:p w:rsidR="00D33C41" w:rsidRPr="00462F95"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462F95">
        <w:rPr>
          <w:rFonts w:ascii="Arial" w:eastAsia="Times New Roman" w:hAnsi="Arial" w:cs="Arial"/>
          <w:b/>
          <w:snapToGrid w:val="0"/>
          <w:color w:val="000000"/>
          <w:lang w:val="en-GB"/>
        </w:rPr>
        <w:t>NATIONAL ASSEMBLY</w:t>
      </w:r>
    </w:p>
    <w:p w:rsidR="00D33C41" w:rsidRPr="00462F9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462F95">
        <w:rPr>
          <w:rFonts w:ascii="Arial" w:eastAsia="Times New Roman" w:hAnsi="Arial" w:cs="Arial"/>
          <w:b/>
          <w:snapToGrid w:val="0"/>
          <w:color w:val="000000"/>
          <w:lang w:val="en-GB"/>
        </w:rPr>
        <w:t xml:space="preserve">QUESTION FOR </w:t>
      </w:r>
      <w:r w:rsidR="00CB758D" w:rsidRPr="00462F95">
        <w:rPr>
          <w:rFonts w:ascii="Arial" w:eastAsia="Times New Roman" w:hAnsi="Arial" w:cs="Arial"/>
          <w:b/>
          <w:snapToGrid w:val="0"/>
          <w:color w:val="000000"/>
          <w:lang w:val="en-GB"/>
        </w:rPr>
        <w:t>WRITTEN</w:t>
      </w:r>
      <w:r w:rsidR="00D33C41" w:rsidRPr="00462F95">
        <w:rPr>
          <w:rFonts w:ascii="Arial" w:eastAsia="Times New Roman" w:hAnsi="Arial" w:cs="Arial"/>
          <w:b/>
          <w:snapToGrid w:val="0"/>
          <w:color w:val="000000"/>
          <w:lang w:val="en-GB"/>
        </w:rPr>
        <w:t xml:space="preserve"> REPLY</w:t>
      </w:r>
    </w:p>
    <w:p w:rsidR="00D33C41" w:rsidRPr="00462F9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462F95">
        <w:rPr>
          <w:rFonts w:ascii="Arial" w:eastAsia="Times New Roman" w:hAnsi="Arial" w:cs="Arial"/>
          <w:b/>
          <w:snapToGrid w:val="0"/>
          <w:lang w:val="en-GB"/>
        </w:rPr>
        <w:t>QUESTION NUMBER:</w:t>
      </w:r>
      <w:r w:rsidR="00E556BF" w:rsidRPr="00462F95">
        <w:rPr>
          <w:rFonts w:ascii="Arial" w:eastAsia="Times New Roman" w:hAnsi="Arial" w:cs="Arial"/>
          <w:b/>
          <w:snapToGrid w:val="0"/>
          <w:lang w:val="en-GB"/>
        </w:rPr>
        <w:t xml:space="preserve"> </w:t>
      </w:r>
      <w:r w:rsidRPr="00462F95">
        <w:rPr>
          <w:rFonts w:ascii="Arial" w:eastAsia="Times New Roman" w:hAnsi="Arial" w:cs="Arial"/>
          <w:b/>
          <w:snapToGrid w:val="0"/>
          <w:lang w:val="en-GB"/>
        </w:rPr>
        <w:tab/>
      </w:r>
      <w:r w:rsidR="00FA5947" w:rsidRPr="00462F95">
        <w:rPr>
          <w:rFonts w:ascii="Arial" w:eastAsia="Times New Roman" w:hAnsi="Arial" w:cs="Arial"/>
          <w:b/>
          <w:snapToGrid w:val="0"/>
          <w:lang w:val="en-GB"/>
        </w:rPr>
        <w:t>2</w:t>
      </w:r>
      <w:r w:rsidR="00FC6DD0" w:rsidRPr="00462F95">
        <w:rPr>
          <w:rFonts w:ascii="Arial" w:eastAsia="Times New Roman" w:hAnsi="Arial" w:cs="Arial"/>
          <w:b/>
          <w:snapToGrid w:val="0"/>
          <w:lang w:val="en-GB"/>
        </w:rPr>
        <w:t>3</w:t>
      </w:r>
      <w:r w:rsidR="00232658" w:rsidRPr="00462F95">
        <w:rPr>
          <w:rFonts w:ascii="Arial" w:eastAsia="Times New Roman" w:hAnsi="Arial" w:cs="Arial"/>
          <w:b/>
          <w:snapToGrid w:val="0"/>
          <w:lang w:val="en-GB"/>
        </w:rPr>
        <w:t>43</w:t>
      </w:r>
    </w:p>
    <w:p w:rsidR="00D33C41" w:rsidRPr="00462F95" w:rsidRDefault="00D33C41" w:rsidP="00FB4659">
      <w:pPr>
        <w:spacing w:after="120" w:line="240" w:lineRule="auto"/>
        <w:jc w:val="center"/>
        <w:rPr>
          <w:rFonts w:ascii="Arial" w:eastAsia="Times New Roman" w:hAnsi="Arial" w:cs="Arial"/>
          <w:b/>
          <w:snapToGrid w:val="0"/>
          <w:lang w:val="en-GB"/>
        </w:rPr>
      </w:pPr>
      <w:r w:rsidRPr="00462F95">
        <w:rPr>
          <w:rFonts w:ascii="Arial" w:eastAsia="Times New Roman" w:hAnsi="Arial" w:cs="Arial"/>
          <w:b/>
          <w:snapToGrid w:val="0"/>
          <w:lang w:val="en-GB"/>
        </w:rPr>
        <w:t xml:space="preserve">DATE OF PUBLICATION IN INTERNAL QUESTION PAPER: </w:t>
      </w:r>
      <w:r w:rsidR="00FA5947" w:rsidRPr="00462F95">
        <w:rPr>
          <w:rFonts w:ascii="Arial" w:eastAsia="Times New Roman" w:hAnsi="Arial" w:cs="Arial"/>
          <w:b/>
          <w:snapToGrid w:val="0"/>
          <w:lang w:val="en-GB"/>
        </w:rPr>
        <w:t>1</w:t>
      </w:r>
      <w:r w:rsidR="00232658" w:rsidRPr="00462F95">
        <w:rPr>
          <w:rFonts w:ascii="Arial" w:eastAsia="Times New Roman" w:hAnsi="Arial" w:cs="Arial"/>
          <w:b/>
          <w:snapToGrid w:val="0"/>
          <w:lang w:val="en-GB"/>
        </w:rPr>
        <w:t>7</w:t>
      </w:r>
      <w:r w:rsidR="0029264C" w:rsidRPr="00462F95">
        <w:rPr>
          <w:rFonts w:ascii="Arial" w:eastAsia="Times New Roman" w:hAnsi="Arial" w:cs="Arial"/>
          <w:b/>
          <w:snapToGrid w:val="0"/>
          <w:lang w:val="en-GB"/>
        </w:rPr>
        <w:t xml:space="preserve"> JUNE</w:t>
      </w:r>
      <w:r w:rsidR="009E7540" w:rsidRPr="00462F95">
        <w:rPr>
          <w:rFonts w:ascii="Arial" w:eastAsia="Times New Roman" w:hAnsi="Arial" w:cs="Arial"/>
          <w:b/>
          <w:snapToGrid w:val="0"/>
          <w:lang w:val="en-GB"/>
        </w:rPr>
        <w:t xml:space="preserve"> 202</w:t>
      </w:r>
      <w:r w:rsidR="00FA5947" w:rsidRPr="00462F95">
        <w:rPr>
          <w:rFonts w:ascii="Arial" w:eastAsia="Times New Roman" w:hAnsi="Arial" w:cs="Arial"/>
          <w:b/>
          <w:snapToGrid w:val="0"/>
          <w:lang w:val="en-GB"/>
        </w:rPr>
        <w:t>2</w:t>
      </w:r>
    </w:p>
    <w:p w:rsidR="00D33C41" w:rsidRPr="00462F95"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462F95">
        <w:rPr>
          <w:rFonts w:ascii="Arial" w:eastAsia="Times New Roman" w:hAnsi="Arial" w:cs="Arial"/>
          <w:b/>
          <w:snapToGrid w:val="0"/>
          <w:lang w:val="en-GB"/>
        </w:rPr>
        <w:t xml:space="preserve">INTERNAL QUESTION PAPER NUMBER:  </w:t>
      </w:r>
      <w:r w:rsidR="005E3C42" w:rsidRPr="00462F95">
        <w:rPr>
          <w:rFonts w:ascii="Arial" w:eastAsia="Times New Roman" w:hAnsi="Arial" w:cs="Arial"/>
          <w:b/>
          <w:snapToGrid w:val="0"/>
          <w:lang w:val="en-GB"/>
        </w:rPr>
        <w:t>2</w:t>
      </w:r>
      <w:r w:rsidR="00232658" w:rsidRPr="00462F95">
        <w:rPr>
          <w:rFonts w:ascii="Arial" w:eastAsia="Times New Roman" w:hAnsi="Arial" w:cs="Arial"/>
          <w:b/>
          <w:snapToGrid w:val="0"/>
          <w:lang w:val="en-GB"/>
        </w:rPr>
        <w:t>4</w:t>
      </w:r>
      <w:r w:rsidR="009E7540" w:rsidRPr="00462F95">
        <w:rPr>
          <w:rFonts w:ascii="Arial" w:eastAsia="Times New Roman" w:hAnsi="Arial" w:cs="Arial"/>
          <w:b/>
          <w:snapToGrid w:val="0"/>
          <w:lang w:val="en-GB"/>
        </w:rPr>
        <w:t xml:space="preserve"> - 202</w:t>
      </w:r>
      <w:r w:rsidR="00FA5947" w:rsidRPr="00462F95">
        <w:rPr>
          <w:rFonts w:ascii="Arial" w:eastAsia="Times New Roman" w:hAnsi="Arial" w:cs="Arial"/>
          <w:b/>
          <w:snapToGrid w:val="0"/>
          <w:lang w:val="en-GB"/>
        </w:rPr>
        <w:t>2</w:t>
      </w:r>
    </w:p>
    <w:p w:rsidR="00357606" w:rsidRPr="00462F95" w:rsidRDefault="00357606" w:rsidP="00357606">
      <w:pPr>
        <w:spacing w:before="100" w:beforeAutospacing="1" w:after="100" w:afterAutospacing="1" w:line="240" w:lineRule="auto"/>
        <w:ind w:left="540" w:right="26" w:hanging="540"/>
        <w:jc w:val="both"/>
        <w:rPr>
          <w:rFonts w:ascii="Arial" w:hAnsi="Arial" w:cs="Arial"/>
          <w:b/>
        </w:rPr>
      </w:pPr>
      <w:r w:rsidRPr="00462F95">
        <w:rPr>
          <w:rFonts w:ascii="Arial" w:hAnsi="Arial" w:cs="Arial"/>
          <w:b/>
        </w:rPr>
        <w:t>2344.</w:t>
      </w:r>
      <w:r w:rsidRPr="00462F95">
        <w:rPr>
          <w:rFonts w:ascii="Arial" w:hAnsi="Arial" w:cs="Arial"/>
          <w:b/>
        </w:rPr>
        <w:tab/>
        <w:t>Mrs G Opperman (DA) to ask the Minister of Social Development</w:t>
      </w:r>
      <w:r w:rsidR="009C575B" w:rsidRPr="00462F95">
        <w:rPr>
          <w:rFonts w:ascii="Arial" w:hAnsi="Arial" w:cs="Arial"/>
          <w:b/>
        </w:rPr>
        <w:fldChar w:fldCharType="begin"/>
      </w:r>
      <w:r w:rsidRPr="00462F95">
        <w:rPr>
          <w:rFonts w:ascii="Arial" w:hAnsi="Arial" w:cs="Arial"/>
        </w:rPr>
        <w:instrText xml:space="preserve"> XE "</w:instrText>
      </w:r>
      <w:r w:rsidRPr="00462F95">
        <w:rPr>
          <w:rFonts w:ascii="Arial" w:hAnsi="Arial" w:cs="Arial"/>
          <w:b/>
          <w:lang w:val="en-GB"/>
        </w:rPr>
        <w:instrText>Social Development</w:instrText>
      </w:r>
      <w:r w:rsidRPr="00462F95">
        <w:rPr>
          <w:rFonts w:ascii="Arial" w:hAnsi="Arial" w:cs="Arial"/>
        </w:rPr>
        <w:instrText xml:space="preserve">" </w:instrText>
      </w:r>
      <w:r w:rsidR="009C575B" w:rsidRPr="00462F95">
        <w:rPr>
          <w:rFonts w:ascii="Arial" w:hAnsi="Arial" w:cs="Arial"/>
          <w:b/>
        </w:rPr>
        <w:fldChar w:fldCharType="end"/>
      </w:r>
      <w:r w:rsidRPr="00462F95">
        <w:rPr>
          <w:rFonts w:ascii="Arial" w:hAnsi="Arial" w:cs="Arial"/>
          <w:b/>
        </w:rPr>
        <w:t>:</w:t>
      </w:r>
    </w:p>
    <w:p w:rsidR="00357606" w:rsidRPr="00462F95" w:rsidRDefault="00357606" w:rsidP="00357606">
      <w:pPr>
        <w:spacing w:before="100" w:beforeAutospacing="1" w:after="100" w:afterAutospacing="1" w:line="240" w:lineRule="auto"/>
        <w:ind w:left="720" w:right="28"/>
        <w:jc w:val="both"/>
        <w:rPr>
          <w:rFonts w:ascii="Arial" w:hAnsi="Arial" w:cs="Arial"/>
        </w:rPr>
      </w:pPr>
      <w:r w:rsidRPr="00462F95">
        <w:rPr>
          <w:rFonts w:ascii="Arial" w:hAnsi="Arial" w:cs="Arial"/>
        </w:rPr>
        <w:t xml:space="preserve">With reference to the report of the Auditor-General for the 2020-21 financial year, regarding investigations which have been outstanding since 2011, what total number of the specified investigations (a) were </w:t>
      </w:r>
      <w:r w:rsidR="00462F95" w:rsidRPr="00462F95">
        <w:rPr>
          <w:rFonts w:ascii="Arial" w:hAnsi="Arial" w:cs="Arial"/>
        </w:rPr>
        <w:t>finalised and</w:t>
      </w:r>
      <w:r w:rsidRPr="00462F95">
        <w:rPr>
          <w:rFonts w:ascii="Arial" w:hAnsi="Arial" w:cs="Arial"/>
        </w:rPr>
        <w:t xml:space="preserve"> (b) are still outstanding?</w:t>
      </w:r>
      <w:r w:rsidRPr="00462F95">
        <w:rPr>
          <w:rFonts w:ascii="Arial" w:hAnsi="Arial" w:cs="Arial"/>
        </w:rPr>
        <w:tab/>
        <w:t xml:space="preserve">     NW2766E</w:t>
      </w:r>
    </w:p>
    <w:p w:rsidR="00F1743C" w:rsidRPr="00462F95" w:rsidRDefault="0029264C" w:rsidP="0004596A">
      <w:pPr>
        <w:spacing w:before="100" w:beforeAutospacing="1" w:after="100" w:afterAutospacing="1" w:line="240" w:lineRule="auto"/>
        <w:ind w:left="720" w:hanging="720"/>
        <w:jc w:val="both"/>
        <w:outlineLvl w:val="0"/>
        <w:rPr>
          <w:rFonts w:ascii="Arial" w:hAnsi="Arial" w:cs="Arial"/>
        </w:rPr>
      </w:pPr>
      <w:r w:rsidRPr="00462F95">
        <w:rPr>
          <w:rFonts w:ascii="Arial" w:eastAsia="Times New Roman" w:hAnsi="Arial" w:cs="Arial"/>
          <w:b/>
          <w:snapToGrid w:val="0"/>
          <w:color w:val="000000"/>
          <w:lang w:val="en-GB"/>
        </w:rPr>
        <w:t>REPLY:</w:t>
      </w:r>
      <w:r w:rsidR="005E60F0" w:rsidRPr="00462F95">
        <w:rPr>
          <w:rFonts w:ascii="Arial" w:hAnsi="Arial" w:cs="Arial"/>
        </w:rPr>
        <w:tab/>
      </w:r>
    </w:p>
    <w:p w:rsidR="00FC65E6" w:rsidRPr="00462F95" w:rsidRDefault="00FC65E6" w:rsidP="00FC65E6">
      <w:pPr>
        <w:rPr>
          <w:rFonts w:ascii="Arial" w:hAnsi="Arial" w:cs="Arial"/>
          <w:b/>
          <w:bCs/>
        </w:rPr>
      </w:pPr>
      <w:r w:rsidRPr="00462F95">
        <w:rPr>
          <w:rFonts w:ascii="Arial" w:hAnsi="Arial" w:cs="Arial"/>
          <w:b/>
          <w:bCs/>
        </w:rPr>
        <w:t>Department of Social Development (DSD)</w:t>
      </w:r>
    </w:p>
    <w:p w:rsidR="002F36CA" w:rsidRPr="00462F95" w:rsidRDefault="002F36CA" w:rsidP="002F36CA">
      <w:pPr>
        <w:rPr>
          <w:rFonts w:ascii="Arial" w:hAnsi="Arial" w:cs="Arial"/>
          <w:b/>
          <w:bCs/>
        </w:rPr>
      </w:pPr>
      <w:r w:rsidRPr="00462F95">
        <w:rPr>
          <w:rFonts w:ascii="Arial" w:hAnsi="Arial" w:cs="Arial"/>
          <w:b/>
          <w:bCs/>
        </w:rPr>
        <w:t>(a)(b)</w:t>
      </w:r>
    </w:p>
    <w:p w:rsidR="002F36CA" w:rsidRPr="00462F95" w:rsidRDefault="00462F95" w:rsidP="002F36CA">
      <w:pPr>
        <w:jc w:val="both"/>
        <w:rPr>
          <w:rFonts w:ascii="Arial" w:hAnsi="Arial" w:cs="Arial"/>
        </w:rPr>
      </w:pPr>
      <w:r>
        <w:rPr>
          <w:rFonts w:ascii="Arial" w:hAnsi="Arial" w:cs="Arial"/>
        </w:rPr>
        <w:t>As at 31 March 2021, t</w:t>
      </w:r>
      <w:r w:rsidR="002F36CA" w:rsidRPr="00462F95">
        <w:rPr>
          <w:rFonts w:ascii="Arial" w:hAnsi="Arial" w:cs="Arial"/>
        </w:rPr>
        <w:t>he Department of Social Development has recorded the following outstanding investigations:</w:t>
      </w:r>
    </w:p>
    <w:tbl>
      <w:tblPr>
        <w:tblStyle w:val="TableGrid"/>
        <w:tblW w:w="9543" w:type="dxa"/>
        <w:tblLook w:val="04A0"/>
      </w:tblPr>
      <w:tblGrid>
        <w:gridCol w:w="2194"/>
        <w:gridCol w:w="3111"/>
        <w:gridCol w:w="2160"/>
        <w:gridCol w:w="2078"/>
      </w:tblGrid>
      <w:tr w:rsidR="002F36CA" w:rsidRPr="00462F95" w:rsidTr="003747CE">
        <w:tc>
          <w:tcPr>
            <w:tcW w:w="2194" w:type="dxa"/>
            <w:shd w:val="clear" w:color="auto" w:fill="EEECE1" w:themeFill="background2"/>
          </w:tcPr>
          <w:p w:rsidR="002F36CA" w:rsidRPr="00462F95" w:rsidRDefault="002F36CA" w:rsidP="003747CE">
            <w:pPr>
              <w:rPr>
                <w:rFonts w:ascii="Arial" w:hAnsi="Arial" w:cs="Arial"/>
                <w:sz w:val="20"/>
                <w:szCs w:val="20"/>
              </w:rPr>
            </w:pPr>
            <w:r w:rsidRPr="00462F95">
              <w:rPr>
                <w:rFonts w:ascii="Arial" w:hAnsi="Arial" w:cs="Arial"/>
                <w:sz w:val="20"/>
                <w:szCs w:val="20"/>
              </w:rPr>
              <w:t>Category of cases</w:t>
            </w:r>
          </w:p>
        </w:tc>
        <w:tc>
          <w:tcPr>
            <w:tcW w:w="3111" w:type="dxa"/>
            <w:shd w:val="clear" w:color="auto" w:fill="EEECE1" w:themeFill="background2"/>
          </w:tcPr>
          <w:p w:rsidR="002F36CA" w:rsidRPr="00462F95" w:rsidRDefault="002F36CA" w:rsidP="003747CE">
            <w:pPr>
              <w:rPr>
                <w:rFonts w:ascii="Arial" w:eastAsia="Times New Roman" w:hAnsi="Arial" w:cs="Arial"/>
                <w:b/>
                <w:snapToGrid w:val="0"/>
                <w:color w:val="000000"/>
                <w:sz w:val="20"/>
                <w:szCs w:val="20"/>
              </w:rPr>
            </w:pPr>
            <w:r w:rsidRPr="00462F95">
              <w:rPr>
                <w:rFonts w:ascii="Arial" w:hAnsi="Arial" w:cs="Arial"/>
                <w:sz w:val="20"/>
                <w:szCs w:val="20"/>
              </w:rPr>
              <w:t>Total number of the specified investigations for the year 2020/21</w:t>
            </w:r>
          </w:p>
        </w:tc>
        <w:tc>
          <w:tcPr>
            <w:tcW w:w="2160" w:type="dxa"/>
            <w:shd w:val="clear" w:color="auto" w:fill="EEECE1" w:themeFill="background2"/>
          </w:tcPr>
          <w:p w:rsidR="002F36CA" w:rsidRPr="00462F95" w:rsidRDefault="002F36CA" w:rsidP="003747CE">
            <w:pP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(a)</w:t>
            </w:r>
            <w:r w:rsidRPr="00462F95">
              <w:rPr>
                <w:rFonts w:ascii="Arial" w:hAnsi="Arial" w:cs="Arial"/>
                <w:sz w:val="20"/>
                <w:szCs w:val="20"/>
              </w:rPr>
              <w:t xml:space="preserve"> were finalised as at 31 May 2022</w:t>
            </w:r>
          </w:p>
        </w:tc>
        <w:tc>
          <w:tcPr>
            <w:tcW w:w="2078" w:type="dxa"/>
            <w:shd w:val="clear" w:color="auto" w:fill="EEECE1" w:themeFill="background2"/>
          </w:tcPr>
          <w:p w:rsidR="002F36CA" w:rsidRPr="00462F95" w:rsidRDefault="002F36CA" w:rsidP="003747CE">
            <w:pP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(b)</w:t>
            </w:r>
            <w:r w:rsidRPr="00462F95">
              <w:rPr>
                <w:rFonts w:ascii="Arial" w:hAnsi="Arial" w:cs="Arial"/>
                <w:sz w:val="20"/>
                <w:szCs w:val="20"/>
              </w:rPr>
              <w:t xml:space="preserve"> are still outstanding</w:t>
            </w:r>
          </w:p>
        </w:tc>
      </w:tr>
      <w:tr w:rsidR="002F36CA" w:rsidRPr="00462F95" w:rsidTr="003747CE">
        <w:tc>
          <w:tcPr>
            <w:tcW w:w="2194" w:type="dxa"/>
          </w:tcPr>
          <w:p w:rsidR="002F36CA" w:rsidRPr="00462F95" w:rsidRDefault="002F36CA" w:rsidP="003747CE">
            <w:pPr>
              <w:rPr>
                <w:rFonts w:ascii="Arial" w:eastAsia="Times New Roman" w:hAnsi="Arial" w:cs="Arial"/>
                <w:snapToGrid w:val="0"/>
                <w:color w:val="000000"/>
                <w:sz w:val="20"/>
                <w:szCs w:val="20"/>
              </w:rPr>
            </w:pPr>
            <w:r w:rsidRPr="00462F95">
              <w:rPr>
                <w:rFonts w:ascii="Arial" w:eastAsia="Times New Roman" w:hAnsi="Arial" w:cs="Arial"/>
                <w:snapToGrid w:val="0"/>
                <w:color w:val="000000"/>
                <w:sz w:val="20"/>
                <w:szCs w:val="20"/>
              </w:rPr>
              <w:t>Irregular expenditure</w:t>
            </w:r>
          </w:p>
        </w:tc>
        <w:tc>
          <w:tcPr>
            <w:tcW w:w="3111" w:type="dxa"/>
          </w:tcPr>
          <w:p w:rsidR="002F36CA" w:rsidRPr="00462F95" w:rsidRDefault="002F36CA" w:rsidP="003747CE">
            <w:pPr>
              <w:jc w:val="center"/>
              <w:rPr>
                <w:rFonts w:ascii="Arial" w:eastAsia="Times New Roman" w:hAnsi="Arial" w:cs="Arial"/>
                <w:snapToGrid w:val="0"/>
                <w:color w:val="000000"/>
                <w:sz w:val="20"/>
                <w:szCs w:val="20"/>
              </w:rPr>
            </w:pPr>
            <w:r w:rsidRPr="00462F95">
              <w:rPr>
                <w:rFonts w:ascii="Arial" w:eastAsia="Times New Roman" w:hAnsi="Arial" w:cs="Arial"/>
                <w:snapToGrid w:val="0"/>
                <w:color w:val="000000"/>
                <w:sz w:val="20"/>
                <w:szCs w:val="20"/>
              </w:rPr>
              <w:t>09</w:t>
            </w:r>
          </w:p>
        </w:tc>
        <w:tc>
          <w:tcPr>
            <w:tcW w:w="2160" w:type="dxa"/>
          </w:tcPr>
          <w:p w:rsidR="002F36CA" w:rsidRPr="00462F95" w:rsidRDefault="002F36CA" w:rsidP="003747CE">
            <w:pPr>
              <w:jc w:val="cente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09</w:t>
            </w:r>
          </w:p>
        </w:tc>
        <w:tc>
          <w:tcPr>
            <w:tcW w:w="2078" w:type="dxa"/>
          </w:tcPr>
          <w:p w:rsidR="002F36CA" w:rsidRPr="00462F95" w:rsidRDefault="002F36CA" w:rsidP="003747CE">
            <w:pPr>
              <w:jc w:val="cente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0</w:t>
            </w:r>
          </w:p>
        </w:tc>
      </w:tr>
      <w:tr w:rsidR="002F36CA" w:rsidRPr="00462F95" w:rsidTr="003747CE">
        <w:tc>
          <w:tcPr>
            <w:tcW w:w="2194" w:type="dxa"/>
          </w:tcPr>
          <w:p w:rsidR="002F36CA" w:rsidRPr="00462F95" w:rsidRDefault="002F36CA" w:rsidP="003747CE">
            <w:pPr>
              <w:rPr>
                <w:rFonts w:ascii="Arial" w:eastAsia="Times New Roman" w:hAnsi="Arial" w:cs="Arial"/>
                <w:snapToGrid w:val="0"/>
                <w:color w:val="000000"/>
                <w:sz w:val="20"/>
                <w:szCs w:val="20"/>
              </w:rPr>
            </w:pPr>
            <w:r w:rsidRPr="00462F95">
              <w:rPr>
                <w:rFonts w:ascii="Arial" w:eastAsia="Times New Roman" w:hAnsi="Arial" w:cs="Arial"/>
                <w:snapToGrid w:val="0"/>
                <w:color w:val="000000"/>
                <w:sz w:val="20"/>
                <w:szCs w:val="20"/>
              </w:rPr>
              <w:t>Fruitless and wasteful expenditure</w:t>
            </w:r>
          </w:p>
        </w:tc>
        <w:tc>
          <w:tcPr>
            <w:tcW w:w="3111" w:type="dxa"/>
          </w:tcPr>
          <w:p w:rsidR="002F36CA" w:rsidRPr="00462F95" w:rsidRDefault="002F36CA" w:rsidP="003747CE">
            <w:pPr>
              <w:jc w:val="center"/>
              <w:rPr>
                <w:rFonts w:ascii="Arial" w:eastAsia="Times New Roman" w:hAnsi="Arial" w:cs="Arial"/>
                <w:snapToGrid w:val="0"/>
                <w:color w:val="000000"/>
                <w:sz w:val="20"/>
                <w:szCs w:val="20"/>
              </w:rPr>
            </w:pPr>
            <w:r w:rsidRPr="00462F95">
              <w:rPr>
                <w:rFonts w:ascii="Arial" w:eastAsia="Times New Roman" w:hAnsi="Arial" w:cs="Arial"/>
                <w:snapToGrid w:val="0"/>
                <w:color w:val="000000"/>
                <w:sz w:val="20"/>
                <w:szCs w:val="20"/>
              </w:rPr>
              <w:t>69</w:t>
            </w:r>
          </w:p>
        </w:tc>
        <w:tc>
          <w:tcPr>
            <w:tcW w:w="2160" w:type="dxa"/>
          </w:tcPr>
          <w:p w:rsidR="002F36CA" w:rsidRPr="00462F95" w:rsidRDefault="002F36CA" w:rsidP="003747CE">
            <w:pPr>
              <w:jc w:val="cente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61</w:t>
            </w:r>
          </w:p>
        </w:tc>
        <w:tc>
          <w:tcPr>
            <w:tcW w:w="2078" w:type="dxa"/>
          </w:tcPr>
          <w:p w:rsidR="002F36CA" w:rsidRPr="00462F95" w:rsidRDefault="002F36CA" w:rsidP="003747CE">
            <w:pPr>
              <w:jc w:val="cente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8</w:t>
            </w:r>
          </w:p>
        </w:tc>
      </w:tr>
    </w:tbl>
    <w:p w:rsidR="002F36CA" w:rsidRDefault="002F36CA" w:rsidP="002F36CA">
      <w:pPr>
        <w:jc w:val="both"/>
        <w:rPr>
          <w:rFonts w:ascii="Arial" w:eastAsia="Times New Roman" w:hAnsi="Arial" w:cs="Arial"/>
          <w:snapToGrid w:val="0"/>
          <w:color w:val="000000"/>
        </w:rPr>
      </w:pPr>
    </w:p>
    <w:p w:rsidR="002F36CA" w:rsidRDefault="002F36CA" w:rsidP="002F36CA">
      <w:pPr>
        <w:pStyle w:val="ListParagraph"/>
        <w:numPr>
          <w:ilvl w:val="0"/>
          <w:numId w:val="18"/>
        </w:numPr>
        <w:jc w:val="both"/>
        <w:rPr>
          <w:rFonts w:ascii="Arial" w:eastAsia="Times New Roman" w:hAnsi="Arial" w:cs="Arial"/>
          <w:snapToGrid w:val="0"/>
          <w:color w:val="000000"/>
        </w:rPr>
      </w:pPr>
      <w:r w:rsidRPr="00462F95">
        <w:rPr>
          <w:rFonts w:ascii="Arial" w:eastAsia="Times New Roman" w:hAnsi="Arial" w:cs="Arial"/>
          <w:snapToGrid w:val="0"/>
          <w:color w:val="000000"/>
        </w:rPr>
        <w:t>Irregular Expenditure (9 cases):</w:t>
      </w:r>
    </w:p>
    <w:p w:rsidR="00462F95" w:rsidRPr="00462F95" w:rsidRDefault="00462F95" w:rsidP="00462F95">
      <w:pPr>
        <w:pStyle w:val="ListParagraph"/>
        <w:jc w:val="both"/>
        <w:rPr>
          <w:rFonts w:ascii="Arial" w:eastAsia="Times New Roman" w:hAnsi="Arial" w:cs="Arial"/>
          <w:snapToGrid w:val="0"/>
          <w:color w:val="000000"/>
        </w:rPr>
      </w:pPr>
    </w:p>
    <w:p w:rsidR="002F36CA" w:rsidRPr="00462F95" w:rsidRDefault="002F36CA" w:rsidP="002F36CA">
      <w:pPr>
        <w:pStyle w:val="ListParagraph"/>
        <w:jc w:val="both"/>
        <w:rPr>
          <w:rFonts w:ascii="Arial" w:eastAsia="Times New Roman" w:hAnsi="Arial" w:cs="Arial"/>
          <w:snapToGrid w:val="0"/>
          <w:color w:val="000000"/>
        </w:rPr>
      </w:pPr>
      <w:r w:rsidRPr="00462F95">
        <w:rPr>
          <w:rFonts w:ascii="Arial" w:eastAsia="Times New Roman" w:hAnsi="Arial" w:cs="Arial"/>
          <w:snapToGrid w:val="0"/>
          <w:color w:val="000000"/>
        </w:rPr>
        <w:t>The investigations have been completed and has been referred Labour Relations to institute the disciplinary processes.</w:t>
      </w:r>
    </w:p>
    <w:p w:rsidR="002F36CA" w:rsidRPr="00462F95" w:rsidRDefault="002F36CA" w:rsidP="002F36CA">
      <w:pPr>
        <w:pStyle w:val="ListParagraph"/>
        <w:jc w:val="both"/>
        <w:rPr>
          <w:rFonts w:ascii="Arial" w:eastAsia="Times New Roman" w:hAnsi="Arial" w:cs="Arial"/>
          <w:snapToGrid w:val="0"/>
          <w:color w:val="000000"/>
        </w:rPr>
      </w:pPr>
    </w:p>
    <w:p w:rsidR="002F36CA" w:rsidRDefault="002F36CA" w:rsidP="002F36CA">
      <w:pPr>
        <w:pStyle w:val="ListParagraph"/>
        <w:numPr>
          <w:ilvl w:val="0"/>
          <w:numId w:val="18"/>
        </w:numPr>
        <w:jc w:val="both"/>
        <w:rPr>
          <w:rFonts w:ascii="Arial" w:eastAsia="Times New Roman" w:hAnsi="Arial" w:cs="Arial"/>
          <w:snapToGrid w:val="0"/>
          <w:color w:val="000000"/>
        </w:rPr>
      </w:pPr>
      <w:r w:rsidRPr="00462F95">
        <w:rPr>
          <w:rFonts w:ascii="Arial" w:eastAsia="Times New Roman" w:hAnsi="Arial" w:cs="Arial"/>
          <w:snapToGrid w:val="0"/>
          <w:color w:val="000000"/>
        </w:rPr>
        <w:t>Fruitless and Wasteful expenditure (69 cases):</w:t>
      </w:r>
    </w:p>
    <w:p w:rsidR="00462F95" w:rsidRPr="00462F95" w:rsidRDefault="00462F95" w:rsidP="00462F95">
      <w:pPr>
        <w:pStyle w:val="ListParagraph"/>
        <w:jc w:val="both"/>
        <w:rPr>
          <w:rFonts w:ascii="Arial" w:eastAsia="Times New Roman" w:hAnsi="Arial" w:cs="Arial"/>
          <w:snapToGrid w:val="0"/>
          <w:color w:val="000000"/>
        </w:rPr>
      </w:pPr>
    </w:p>
    <w:p w:rsidR="00462F95" w:rsidRDefault="002F36CA" w:rsidP="00462F95">
      <w:pPr>
        <w:pStyle w:val="ListParagraph"/>
        <w:numPr>
          <w:ilvl w:val="0"/>
          <w:numId w:val="19"/>
        </w:numPr>
        <w:jc w:val="both"/>
        <w:rPr>
          <w:rFonts w:ascii="Arial" w:eastAsia="Times New Roman" w:hAnsi="Arial" w:cs="Arial"/>
          <w:snapToGrid w:val="0"/>
          <w:color w:val="000000"/>
        </w:rPr>
      </w:pPr>
      <w:r w:rsidRPr="00462F95">
        <w:rPr>
          <w:rFonts w:ascii="Arial" w:eastAsia="Times New Roman" w:hAnsi="Arial" w:cs="Arial"/>
          <w:snapToGrid w:val="0"/>
          <w:color w:val="000000"/>
        </w:rPr>
        <w:t xml:space="preserve">Sixty-one (61) cases have been investigated and finalised. </w:t>
      </w:r>
    </w:p>
    <w:p w:rsidR="00462F95" w:rsidRDefault="002F36CA" w:rsidP="00462F95">
      <w:pPr>
        <w:pStyle w:val="ListParagraph"/>
        <w:numPr>
          <w:ilvl w:val="0"/>
          <w:numId w:val="19"/>
        </w:numPr>
        <w:jc w:val="both"/>
        <w:rPr>
          <w:rFonts w:ascii="Arial" w:eastAsia="Times New Roman" w:hAnsi="Arial" w:cs="Arial"/>
          <w:snapToGrid w:val="0"/>
          <w:color w:val="000000"/>
        </w:rPr>
      </w:pPr>
      <w:r w:rsidRPr="00462F95">
        <w:rPr>
          <w:rFonts w:ascii="Arial" w:eastAsia="Times New Roman" w:hAnsi="Arial" w:cs="Arial"/>
          <w:snapToGrid w:val="0"/>
          <w:color w:val="000000"/>
        </w:rPr>
        <w:lastRenderedPageBreak/>
        <w:t>Thirty-seven (37) cases have been recommended for recovery from the departmental officials</w:t>
      </w:r>
    </w:p>
    <w:p w:rsidR="00462F95" w:rsidRDefault="002F36CA" w:rsidP="00462F95">
      <w:pPr>
        <w:pStyle w:val="ListParagraph"/>
        <w:numPr>
          <w:ilvl w:val="0"/>
          <w:numId w:val="19"/>
        </w:numPr>
        <w:jc w:val="both"/>
        <w:rPr>
          <w:rFonts w:ascii="Arial" w:eastAsia="Times New Roman" w:hAnsi="Arial" w:cs="Arial"/>
          <w:snapToGrid w:val="0"/>
          <w:color w:val="000000"/>
        </w:rPr>
      </w:pPr>
      <w:r w:rsidRPr="00462F95">
        <w:rPr>
          <w:rFonts w:ascii="Arial" w:eastAsia="Times New Roman" w:hAnsi="Arial" w:cs="Arial"/>
          <w:snapToGrid w:val="0"/>
          <w:color w:val="000000"/>
        </w:rPr>
        <w:t>Eight (8) cases have been recommended for recovery from the travel agen</w:t>
      </w:r>
      <w:r w:rsidR="00462F95">
        <w:rPr>
          <w:rFonts w:ascii="Arial" w:eastAsia="Times New Roman" w:hAnsi="Arial" w:cs="Arial"/>
          <w:snapToGrid w:val="0"/>
          <w:color w:val="000000"/>
        </w:rPr>
        <w:t>cy</w:t>
      </w:r>
      <w:r w:rsidRPr="00462F95">
        <w:rPr>
          <w:rFonts w:ascii="Arial" w:eastAsia="Times New Roman" w:hAnsi="Arial" w:cs="Arial"/>
          <w:snapToGrid w:val="0"/>
          <w:color w:val="000000"/>
        </w:rPr>
        <w:t>.</w:t>
      </w:r>
    </w:p>
    <w:p w:rsidR="00462F95" w:rsidRDefault="002F36CA" w:rsidP="00462F95">
      <w:pPr>
        <w:pStyle w:val="ListParagraph"/>
        <w:numPr>
          <w:ilvl w:val="0"/>
          <w:numId w:val="19"/>
        </w:numPr>
        <w:jc w:val="both"/>
        <w:rPr>
          <w:rFonts w:ascii="Arial" w:eastAsia="Times New Roman" w:hAnsi="Arial" w:cs="Arial"/>
          <w:snapToGrid w:val="0"/>
          <w:color w:val="000000"/>
        </w:rPr>
      </w:pPr>
      <w:r w:rsidRPr="00462F95">
        <w:rPr>
          <w:rFonts w:ascii="Arial" w:eastAsia="Times New Roman" w:hAnsi="Arial" w:cs="Arial"/>
          <w:snapToGrid w:val="0"/>
          <w:color w:val="000000"/>
        </w:rPr>
        <w:t>Sixteen (16) cases were written-off</w:t>
      </w:r>
    </w:p>
    <w:p w:rsidR="00462F95" w:rsidRDefault="002F36CA" w:rsidP="00462F95">
      <w:pPr>
        <w:pStyle w:val="ListParagraph"/>
        <w:numPr>
          <w:ilvl w:val="0"/>
          <w:numId w:val="19"/>
        </w:numPr>
        <w:jc w:val="both"/>
        <w:rPr>
          <w:rFonts w:ascii="Arial" w:eastAsia="Times New Roman" w:hAnsi="Arial" w:cs="Arial"/>
          <w:snapToGrid w:val="0"/>
          <w:color w:val="000000"/>
        </w:rPr>
      </w:pPr>
      <w:r w:rsidRPr="00462F95">
        <w:rPr>
          <w:rFonts w:ascii="Arial" w:eastAsia="Times New Roman" w:hAnsi="Arial" w:cs="Arial"/>
          <w:snapToGrid w:val="0"/>
          <w:color w:val="000000"/>
        </w:rPr>
        <w:t>Seven (7) out of the thirty-seven (37) cases for recovery were referred to Labour Relations to institute the disciplinary processes</w:t>
      </w:r>
    </w:p>
    <w:p w:rsidR="002F36CA" w:rsidRPr="00462F95" w:rsidRDefault="002F36CA" w:rsidP="00462F95">
      <w:pPr>
        <w:pStyle w:val="ListParagraph"/>
        <w:numPr>
          <w:ilvl w:val="0"/>
          <w:numId w:val="19"/>
        </w:numPr>
        <w:jc w:val="both"/>
        <w:rPr>
          <w:rFonts w:ascii="Arial" w:eastAsia="Times New Roman" w:hAnsi="Arial" w:cs="Arial"/>
          <w:snapToGrid w:val="0"/>
          <w:color w:val="000000"/>
        </w:rPr>
      </w:pPr>
      <w:r w:rsidRPr="00462F95">
        <w:rPr>
          <w:rFonts w:ascii="Arial" w:eastAsia="Times New Roman" w:hAnsi="Arial" w:cs="Arial"/>
          <w:snapToGrid w:val="0"/>
          <w:color w:val="000000"/>
        </w:rPr>
        <w:t xml:space="preserve">The remaining eight (8) cases has been investigated and will be presented at the next Loss Control Committee. </w:t>
      </w:r>
    </w:p>
    <w:p w:rsidR="00FC65E6" w:rsidRPr="00462F95" w:rsidRDefault="00FC65E6" w:rsidP="0029264C">
      <w:pPr>
        <w:rPr>
          <w:rFonts w:ascii="Arial" w:hAnsi="Arial" w:cs="Arial"/>
          <w:b/>
          <w:bCs/>
        </w:rPr>
      </w:pPr>
      <w:r w:rsidRPr="00462F95">
        <w:rPr>
          <w:rFonts w:ascii="Arial" w:hAnsi="Arial" w:cs="Arial"/>
          <w:b/>
          <w:bCs/>
        </w:rPr>
        <w:t>South African Social Security Agency (SASSA)</w:t>
      </w:r>
    </w:p>
    <w:p w:rsidR="0029264C" w:rsidRPr="00462F95" w:rsidRDefault="00462F95" w:rsidP="0029264C">
      <w:pPr>
        <w:rPr>
          <w:rFonts w:ascii="Arial" w:hAnsi="Arial" w:cs="Arial"/>
        </w:rPr>
      </w:pPr>
      <w:r>
        <w:rPr>
          <w:rFonts w:ascii="Arial" w:hAnsi="Arial" w:cs="Arial"/>
        </w:rPr>
        <w:t>As at March 2021, t</w:t>
      </w:r>
      <w:r w:rsidR="009F5651" w:rsidRPr="00462F95">
        <w:rPr>
          <w:rFonts w:ascii="Arial" w:hAnsi="Arial" w:cs="Arial"/>
        </w:rPr>
        <w:t xml:space="preserve">he following are the financial misconduct cases </w:t>
      </w:r>
      <w:r w:rsidR="00343DF7" w:rsidRPr="00462F95">
        <w:rPr>
          <w:rFonts w:ascii="Arial" w:hAnsi="Arial" w:cs="Arial"/>
        </w:rPr>
        <w:t xml:space="preserve">which the investigations were </w:t>
      </w:r>
      <w:r w:rsidR="009F5651" w:rsidRPr="00462F95">
        <w:rPr>
          <w:rFonts w:ascii="Arial" w:hAnsi="Arial" w:cs="Arial"/>
        </w:rPr>
        <w:t>not finalised</w:t>
      </w:r>
      <w:r>
        <w:rPr>
          <w:rFonts w:ascii="Arial" w:hAnsi="Arial" w:cs="Arial"/>
        </w:rPr>
        <w:t>:</w:t>
      </w:r>
    </w:p>
    <w:tbl>
      <w:tblPr>
        <w:tblStyle w:val="TableGrid"/>
        <w:tblW w:w="9543" w:type="dxa"/>
        <w:tblLook w:val="04A0"/>
      </w:tblPr>
      <w:tblGrid>
        <w:gridCol w:w="2194"/>
        <w:gridCol w:w="3111"/>
        <w:gridCol w:w="2160"/>
        <w:gridCol w:w="2078"/>
      </w:tblGrid>
      <w:tr w:rsidR="004B55FA" w:rsidRPr="00462F95" w:rsidTr="004B55FA">
        <w:tc>
          <w:tcPr>
            <w:tcW w:w="2194" w:type="dxa"/>
            <w:shd w:val="clear" w:color="auto" w:fill="EEECE1" w:themeFill="background2"/>
          </w:tcPr>
          <w:p w:rsidR="004B55FA" w:rsidRPr="00462F95" w:rsidRDefault="004B55FA" w:rsidP="0029264C">
            <w:pPr>
              <w:rPr>
                <w:rFonts w:ascii="Arial" w:hAnsi="Arial" w:cs="Arial"/>
                <w:sz w:val="20"/>
                <w:szCs w:val="20"/>
              </w:rPr>
            </w:pPr>
            <w:r w:rsidRPr="00462F95">
              <w:rPr>
                <w:rFonts w:ascii="Arial" w:hAnsi="Arial" w:cs="Arial"/>
                <w:sz w:val="20"/>
                <w:szCs w:val="20"/>
              </w:rPr>
              <w:t>Category of cases</w:t>
            </w:r>
          </w:p>
        </w:tc>
        <w:tc>
          <w:tcPr>
            <w:tcW w:w="3111" w:type="dxa"/>
            <w:shd w:val="clear" w:color="auto" w:fill="EEECE1" w:themeFill="background2"/>
          </w:tcPr>
          <w:p w:rsidR="004B55FA" w:rsidRPr="00462F95" w:rsidRDefault="004B55FA" w:rsidP="0029264C">
            <w:pPr>
              <w:rPr>
                <w:rFonts w:ascii="Arial" w:eastAsia="Times New Roman" w:hAnsi="Arial" w:cs="Arial"/>
                <w:b/>
                <w:snapToGrid w:val="0"/>
                <w:color w:val="000000"/>
                <w:sz w:val="20"/>
                <w:szCs w:val="20"/>
              </w:rPr>
            </w:pPr>
            <w:r w:rsidRPr="00462F95">
              <w:rPr>
                <w:rFonts w:ascii="Arial" w:hAnsi="Arial" w:cs="Arial"/>
                <w:sz w:val="20"/>
                <w:szCs w:val="20"/>
              </w:rPr>
              <w:t>Total number of the specified investigations for the year 2020/21</w:t>
            </w:r>
          </w:p>
        </w:tc>
        <w:tc>
          <w:tcPr>
            <w:tcW w:w="2160" w:type="dxa"/>
            <w:shd w:val="clear" w:color="auto" w:fill="EEECE1" w:themeFill="background2"/>
          </w:tcPr>
          <w:p w:rsidR="004B55FA" w:rsidRPr="00462F95" w:rsidRDefault="004B55FA" w:rsidP="004B55FA">
            <w:pP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(a)</w:t>
            </w:r>
            <w:r w:rsidRPr="00462F95">
              <w:rPr>
                <w:rFonts w:ascii="Arial" w:hAnsi="Arial" w:cs="Arial"/>
                <w:sz w:val="20"/>
                <w:szCs w:val="20"/>
              </w:rPr>
              <w:t xml:space="preserve"> were finalised as at 31 May 2022</w:t>
            </w:r>
          </w:p>
        </w:tc>
        <w:tc>
          <w:tcPr>
            <w:tcW w:w="2078" w:type="dxa"/>
            <w:shd w:val="clear" w:color="auto" w:fill="EEECE1" w:themeFill="background2"/>
          </w:tcPr>
          <w:p w:rsidR="004B55FA" w:rsidRPr="00462F95" w:rsidRDefault="004B55FA" w:rsidP="0029264C">
            <w:pP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(b)</w:t>
            </w:r>
            <w:r w:rsidRPr="00462F95">
              <w:rPr>
                <w:rFonts w:ascii="Arial" w:hAnsi="Arial" w:cs="Arial"/>
                <w:sz w:val="20"/>
                <w:szCs w:val="20"/>
              </w:rPr>
              <w:t xml:space="preserve"> are still outstanding</w:t>
            </w:r>
          </w:p>
        </w:tc>
      </w:tr>
      <w:tr w:rsidR="004B55FA" w:rsidRPr="00462F95" w:rsidTr="004B55FA">
        <w:tc>
          <w:tcPr>
            <w:tcW w:w="2194" w:type="dxa"/>
          </w:tcPr>
          <w:p w:rsidR="004B55FA" w:rsidRPr="00462F95" w:rsidRDefault="004B55FA" w:rsidP="0029264C">
            <w:pPr>
              <w:rPr>
                <w:rFonts w:ascii="Arial" w:eastAsia="Times New Roman" w:hAnsi="Arial" w:cs="Arial"/>
                <w:snapToGrid w:val="0"/>
                <w:color w:val="000000"/>
                <w:sz w:val="20"/>
                <w:szCs w:val="20"/>
              </w:rPr>
            </w:pPr>
            <w:r w:rsidRPr="00462F95">
              <w:rPr>
                <w:rFonts w:ascii="Arial" w:eastAsia="Times New Roman" w:hAnsi="Arial" w:cs="Arial"/>
                <w:snapToGrid w:val="0"/>
                <w:color w:val="000000"/>
                <w:sz w:val="20"/>
                <w:szCs w:val="20"/>
              </w:rPr>
              <w:t>Irregular expenditure</w:t>
            </w:r>
          </w:p>
        </w:tc>
        <w:tc>
          <w:tcPr>
            <w:tcW w:w="3111" w:type="dxa"/>
          </w:tcPr>
          <w:p w:rsidR="004B55FA" w:rsidRPr="00462F95" w:rsidRDefault="004B55FA" w:rsidP="0029264C">
            <w:pPr>
              <w:rPr>
                <w:rFonts w:ascii="Arial" w:eastAsia="Times New Roman" w:hAnsi="Arial" w:cs="Arial"/>
                <w:snapToGrid w:val="0"/>
                <w:color w:val="000000"/>
                <w:sz w:val="20"/>
                <w:szCs w:val="20"/>
              </w:rPr>
            </w:pPr>
            <w:r w:rsidRPr="00462F95">
              <w:rPr>
                <w:rFonts w:ascii="Arial" w:eastAsia="Times New Roman" w:hAnsi="Arial" w:cs="Arial"/>
                <w:snapToGrid w:val="0"/>
                <w:color w:val="000000"/>
                <w:sz w:val="20"/>
                <w:szCs w:val="20"/>
              </w:rPr>
              <w:t>778</w:t>
            </w:r>
          </w:p>
        </w:tc>
        <w:tc>
          <w:tcPr>
            <w:tcW w:w="2160" w:type="dxa"/>
          </w:tcPr>
          <w:p w:rsidR="004B55FA" w:rsidRPr="00462F95" w:rsidRDefault="004B55FA" w:rsidP="0029264C">
            <w:pP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353</w:t>
            </w:r>
          </w:p>
        </w:tc>
        <w:tc>
          <w:tcPr>
            <w:tcW w:w="2078" w:type="dxa"/>
          </w:tcPr>
          <w:p w:rsidR="004B55FA" w:rsidRPr="00462F95" w:rsidRDefault="004B55FA" w:rsidP="0029264C">
            <w:pP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425</w:t>
            </w:r>
          </w:p>
        </w:tc>
      </w:tr>
      <w:tr w:rsidR="004B55FA" w:rsidRPr="00462F95" w:rsidTr="004B55FA">
        <w:tc>
          <w:tcPr>
            <w:tcW w:w="2194" w:type="dxa"/>
          </w:tcPr>
          <w:p w:rsidR="004B55FA" w:rsidRPr="00462F95" w:rsidRDefault="004B55FA" w:rsidP="0029264C">
            <w:pPr>
              <w:rPr>
                <w:rFonts w:ascii="Arial" w:eastAsia="Times New Roman" w:hAnsi="Arial" w:cs="Arial"/>
                <w:snapToGrid w:val="0"/>
                <w:color w:val="000000"/>
                <w:sz w:val="20"/>
                <w:szCs w:val="20"/>
              </w:rPr>
            </w:pPr>
            <w:r w:rsidRPr="00462F95">
              <w:rPr>
                <w:rFonts w:ascii="Arial" w:eastAsia="Times New Roman" w:hAnsi="Arial" w:cs="Arial"/>
                <w:snapToGrid w:val="0"/>
                <w:color w:val="000000"/>
                <w:sz w:val="20"/>
                <w:szCs w:val="20"/>
              </w:rPr>
              <w:t>Fruitless and wasteful expenditure</w:t>
            </w:r>
          </w:p>
        </w:tc>
        <w:tc>
          <w:tcPr>
            <w:tcW w:w="3111" w:type="dxa"/>
          </w:tcPr>
          <w:p w:rsidR="004B55FA" w:rsidRPr="00462F95" w:rsidRDefault="004B55FA" w:rsidP="0029264C">
            <w:pPr>
              <w:rPr>
                <w:rFonts w:ascii="Arial" w:eastAsia="Times New Roman" w:hAnsi="Arial" w:cs="Arial"/>
                <w:snapToGrid w:val="0"/>
                <w:color w:val="000000"/>
                <w:sz w:val="20"/>
                <w:szCs w:val="20"/>
              </w:rPr>
            </w:pPr>
            <w:r w:rsidRPr="00462F95">
              <w:rPr>
                <w:rFonts w:ascii="Arial" w:eastAsia="Times New Roman" w:hAnsi="Arial" w:cs="Arial"/>
                <w:snapToGrid w:val="0"/>
                <w:color w:val="000000"/>
                <w:sz w:val="20"/>
                <w:szCs w:val="20"/>
              </w:rPr>
              <w:t>38</w:t>
            </w:r>
          </w:p>
        </w:tc>
        <w:tc>
          <w:tcPr>
            <w:tcW w:w="2160" w:type="dxa"/>
          </w:tcPr>
          <w:p w:rsidR="004B55FA" w:rsidRPr="00462F95" w:rsidRDefault="004B55FA" w:rsidP="0029264C">
            <w:pP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25</w:t>
            </w:r>
          </w:p>
        </w:tc>
        <w:tc>
          <w:tcPr>
            <w:tcW w:w="2078" w:type="dxa"/>
          </w:tcPr>
          <w:p w:rsidR="004B55FA" w:rsidRPr="00462F95" w:rsidRDefault="004B55FA" w:rsidP="0029264C">
            <w:pP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13</w:t>
            </w:r>
          </w:p>
        </w:tc>
      </w:tr>
    </w:tbl>
    <w:p w:rsidR="00F1743C" w:rsidRPr="00462F95" w:rsidRDefault="00F1743C" w:rsidP="00796884">
      <w:pPr>
        <w:jc w:val="both"/>
        <w:rPr>
          <w:rFonts w:ascii="Arial" w:eastAsia="Times New Roman" w:hAnsi="Arial" w:cs="Arial"/>
          <w:snapToGrid w:val="0"/>
          <w:color w:val="000000"/>
        </w:rPr>
      </w:pPr>
    </w:p>
    <w:p w:rsidR="00462F95" w:rsidRDefault="005122BD" w:rsidP="00796884">
      <w:pPr>
        <w:pStyle w:val="ListParagraph"/>
        <w:numPr>
          <w:ilvl w:val="0"/>
          <w:numId w:val="20"/>
        </w:numPr>
        <w:jc w:val="both"/>
        <w:rPr>
          <w:rFonts w:ascii="Arial" w:eastAsia="Times New Roman" w:hAnsi="Arial" w:cs="Arial"/>
          <w:snapToGrid w:val="0"/>
          <w:color w:val="000000"/>
        </w:rPr>
      </w:pPr>
      <w:r w:rsidRPr="00462F95">
        <w:rPr>
          <w:rFonts w:ascii="Arial" w:eastAsia="Times New Roman" w:hAnsi="Arial" w:cs="Arial"/>
          <w:snapToGrid w:val="0"/>
          <w:color w:val="000000"/>
        </w:rPr>
        <w:t xml:space="preserve">Of the </w:t>
      </w:r>
      <w:r w:rsidR="005834AB" w:rsidRPr="00462F95">
        <w:rPr>
          <w:rFonts w:ascii="Arial" w:eastAsia="Times New Roman" w:hAnsi="Arial" w:cs="Arial"/>
          <w:snapToGrid w:val="0"/>
          <w:color w:val="000000"/>
        </w:rPr>
        <w:t>Four Hundred and Twenty-Five (425)</w:t>
      </w:r>
      <w:r w:rsidRPr="00462F95">
        <w:rPr>
          <w:rFonts w:ascii="Arial" w:eastAsia="Times New Roman" w:hAnsi="Arial" w:cs="Arial"/>
          <w:snapToGrid w:val="0"/>
          <w:color w:val="000000"/>
        </w:rPr>
        <w:t xml:space="preserve"> </w:t>
      </w:r>
      <w:r w:rsidR="00F1743C" w:rsidRPr="00462F95">
        <w:rPr>
          <w:rFonts w:ascii="Arial" w:eastAsia="Times New Roman" w:hAnsi="Arial" w:cs="Arial"/>
          <w:snapToGrid w:val="0"/>
          <w:color w:val="000000"/>
        </w:rPr>
        <w:t>i</w:t>
      </w:r>
      <w:r w:rsidR="0061069D" w:rsidRPr="00462F95">
        <w:rPr>
          <w:rFonts w:ascii="Arial" w:eastAsia="Times New Roman" w:hAnsi="Arial" w:cs="Arial"/>
          <w:snapToGrid w:val="0"/>
          <w:color w:val="000000"/>
        </w:rPr>
        <w:t>rregular</w:t>
      </w:r>
      <w:r w:rsidRPr="00462F95">
        <w:rPr>
          <w:rFonts w:ascii="Arial" w:eastAsia="Times New Roman" w:hAnsi="Arial" w:cs="Arial"/>
          <w:snapToGrid w:val="0"/>
          <w:color w:val="000000"/>
        </w:rPr>
        <w:t xml:space="preserve"> expenditure </w:t>
      </w:r>
      <w:r w:rsidR="005834AB" w:rsidRPr="00462F95">
        <w:rPr>
          <w:rFonts w:ascii="Arial" w:eastAsia="Times New Roman" w:hAnsi="Arial" w:cs="Arial"/>
          <w:snapToGrid w:val="0"/>
          <w:color w:val="000000"/>
        </w:rPr>
        <w:t xml:space="preserve">cases </w:t>
      </w:r>
      <w:r w:rsidR="002B1EDA" w:rsidRPr="00462F95">
        <w:rPr>
          <w:rFonts w:ascii="Arial" w:eastAsia="Times New Roman" w:hAnsi="Arial" w:cs="Arial"/>
          <w:snapToGrid w:val="0"/>
          <w:color w:val="000000"/>
        </w:rPr>
        <w:t xml:space="preserve">in the table above </w:t>
      </w:r>
      <w:r w:rsidR="005834AB" w:rsidRPr="00462F95">
        <w:rPr>
          <w:rFonts w:ascii="Arial" w:eastAsia="Times New Roman" w:hAnsi="Arial" w:cs="Arial"/>
          <w:snapToGrid w:val="0"/>
          <w:color w:val="000000"/>
        </w:rPr>
        <w:t xml:space="preserve">under </w:t>
      </w:r>
      <w:r w:rsidRPr="00462F95">
        <w:rPr>
          <w:rFonts w:ascii="Arial" w:eastAsia="Times New Roman" w:hAnsi="Arial" w:cs="Arial"/>
          <w:snapToGrid w:val="0"/>
          <w:color w:val="000000"/>
        </w:rPr>
        <w:t xml:space="preserve">(b), </w:t>
      </w:r>
      <w:r w:rsidR="005834AB" w:rsidRPr="00462F95">
        <w:rPr>
          <w:rFonts w:ascii="Arial" w:eastAsia="Times New Roman" w:hAnsi="Arial" w:cs="Arial"/>
          <w:snapToGrid w:val="0"/>
          <w:color w:val="000000"/>
        </w:rPr>
        <w:t xml:space="preserve">SASSA has </w:t>
      </w:r>
      <w:r w:rsidRPr="00462F95">
        <w:rPr>
          <w:rFonts w:ascii="Arial" w:eastAsia="Times New Roman" w:hAnsi="Arial" w:cs="Arial"/>
          <w:snapToGrid w:val="0"/>
          <w:color w:val="000000"/>
        </w:rPr>
        <w:t>completed investigation</w:t>
      </w:r>
      <w:r w:rsidR="005834AB" w:rsidRPr="00462F95">
        <w:rPr>
          <w:rFonts w:ascii="Arial" w:eastAsia="Times New Roman" w:hAnsi="Arial" w:cs="Arial"/>
          <w:snapToGrid w:val="0"/>
          <w:color w:val="000000"/>
        </w:rPr>
        <w:t xml:space="preserve"> and consequence management of the Two Hundred and Twenty- Six (</w:t>
      </w:r>
      <w:r w:rsidR="00044E73" w:rsidRPr="00462F95">
        <w:rPr>
          <w:rFonts w:ascii="Arial" w:eastAsia="Times New Roman" w:hAnsi="Arial" w:cs="Arial"/>
          <w:snapToGrid w:val="0"/>
          <w:color w:val="000000"/>
        </w:rPr>
        <w:t>246</w:t>
      </w:r>
      <w:r w:rsidR="005834AB" w:rsidRPr="00462F95">
        <w:rPr>
          <w:rFonts w:ascii="Arial" w:eastAsia="Times New Roman" w:hAnsi="Arial" w:cs="Arial"/>
          <w:snapToGrid w:val="0"/>
          <w:color w:val="000000"/>
        </w:rPr>
        <w:t>)</w:t>
      </w:r>
      <w:r w:rsidR="009232E7" w:rsidRPr="00462F95">
        <w:rPr>
          <w:rFonts w:ascii="Arial" w:eastAsia="Times New Roman" w:hAnsi="Arial" w:cs="Arial"/>
          <w:snapToGrid w:val="0"/>
          <w:color w:val="000000"/>
        </w:rPr>
        <w:t xml:space="preserve"> cases </w:t>
      </w:r>
      <w:r w:rsidRPr="00462F95">
        <w:rPr>
          <w:rFonts w:ascii="Arial" w:eastAsia="Times New Roman" w:hAnsi="Arial" w:cs="Arial"/>
          <w:snapToGrid w:val="0"/>
          <w:color w:val="000000"/>
        </w:rPr>
        <w:t xml:space="preserve">which are currently </w:t>
      </w:r>
      <w:r w:rsidR="002B1EDA" w:rsidRPr="00462F95">
        <w:rPr>
          <w:rFonts w:ascii="Arial" w:eastAsia="Times New Roman" w:hAnsi="Arial" w:cs="Arial"/>
          <w:snapToGrid w:val="0"/>
          <w:color w:val="000000"/>
        </w:rPr>
        <w:t>with</w:t>
      </w:r>
      <w:r w:rsidRPr="00462F95">
        <w:rPr>
          <w:rFonts w:ascii="Arial" w:eastAsia="Times New Roman" w:hAnsi="Arial" w:cs="Arial"/>
          <w:snapToGrid w:val="0"/>
          <w:color w:val="000000"/>
        </w:rPr>
        <w:t xml:space="preserve"> National Treasury for consideration and approval of condonation</w:t>
      </w:r>
      <w:r w:rsidR="009232E7" w:rsidRPr="00462F95">
        <w:rPr>
          <w:rFonts w:ascii="Arial" w:eastAsia="Times New Roman" w:hAnsi="Arial" w:cs="Arial"/>
          <w:snapToGrid w:val="0"/>
          <w:color w:val="000000"/>
        </w:rPr>
        <w:t xml:space="preserve">. </w:t>
      </w:r>
    </w:p>
    <w:p w:rsidR="00462F95" w:rsidRDefault="00462F95" w:rsidP="00462F95">
      <w:pPr>
        <w:pStyle w:val="ListParagraph"/>
        <w:jc w:val="both"/>
        <w:rPr>
          <w:rFonts w:ascii="Arial" w:eastAsia="Times New Roman" w:hAnsi="Arial" w:cs="Arial"/>
          <w:snapToGrid w:val="0"/>
          <w:color w:val="000000"/>
        </w:rPr>
      </w:pPr>
    </w:p>
    <w:p w:rsidR="00462F95" w:rsidRDefault="00D56B1B" w:rsidP="00796884">
      <w:pPr>
        <w:pStyle w:val="ListParagraph"/>
        <w:numPr>
          <w:ilvl w:val="0"/>
          <w:numId w:val="20"/>
        </w:numPr>
        <w:jc w:val="both"/>
        <w:rPr>
          <w:rFonts w:ascii="Arial" w:eastAsia="Times New Roman" w:hAnsi="Arial" w:cs="Arial"/>
          <w:snapToGrid w:val="0"/>
          <w:color w:val="000000"/>
        </w:rPr>
      </w:pPr>
      <w:r w:rsidRPr="00462F95">
        <w:rPr>
          <w:rFonts w:ascii="Arial" w:eastAsia="Times New Roman" w:hAnsi="Arial" w:cs="Arial"/>
          <w:snapToGrid w:val="0"/>
          <w:color w:val="000000"/>
        </w:rPr>
        <w:t xml:space="preserve">Of the </w:t>
      </w:r>
      <w:r w:rsidR="005834AB" w:rsidRPr="00462F95">
        <w:rPr>
          <w:rFonts w:ascii="Arial" w:eastAsia="Times New Roman" w:hAnsi="Arial" w:cs="Arial"/>
          <w:snapToGrid w:val="0"/>
          <w:color w:val="000000"/>
        </w:rPr>
        <w:t>Fourteen (</w:t>
      </w:r>
      <w:r w:rsidR="00643979" w:rsidRPr="00462F95">
        <w:rPr>
          <w:rFonts w:ascii="Arial" w:eastAsia="Times New Roman" w:hAnsi="Arial" w:cs="Arial"/>
          <w:snapToGrid w:val="0"/>
          <w:color w:val="000000"/>
        </w:rPr>
        <w:t>14</w:t>
      </w:r>
      <w:r w:rsidR="005834AB" w:rsidRPr="00462F95">
        <w:rPr>
          <w:rFonts w:ascii="Arial" w:eastAsia="Times New Roman" w:hAnsi="Arial" w:cs="Arial"/>
          <w:snapToGrid w:val="0"/>
          <w:color w:val="000000"/>
        </w:rPr>
        <w:t>)</w:t>
      </w:r>
      <w:r w:rsidR="00643979" w:rsidRPr="00462F95">
        <w:rPr>
          <w:rFonts w:ascii="Arial" w:eastAsia="Times New Roman" w:hAnsi="Arial" w:cs="Arial"/>
          <w:snapToGrid w:val="0"/>
          <w:color w:val="000000"/>
        </w:rPr>
        <w:t xml:space="preserve"> </w:t>
      </w:r>
      <w:r w:rsidRPr="00462F95">
        <w:rPr>
          <w:rFonts w:ascii="Arial" w:eastAsia="Times New Roman" w:hAnsi="Arial" w:cs="Arial"/>
          <w:snapToGrid w:val="0"/>
          <w:color w:val="000000"/>
        </w:rPr>
        <w:t xml:space="preserve">fruitless and wasteful expenditure </w:t>
      </w:r>
      <w:r w:rsidR="002F36CA" w:rsidRPr="00462F95">
        <w:rPr>
          <w:rFonts w:ascii="Arial" w:eastAsia="Times New Roman" w:hAnsi="Arial" w:cs="Arial"/>
          <w:snapToGrid w:val="0"/>
          <w:color w:val="000000"/>
        </w:rPr>
        <w:t>cases</w:t>
      </w:r>
      <w:r w:rsidR="002F36CA" w:rsidRPr="00462F95">
        <w:t xml:space="preserve"> </w:t>
      </w:r>
      <w:r w:rsidR="002F36CA" w:rsidRPr="00462F95">
        <w:rPr>
          <w:rFonts w:ascii="Arial" w:eastAsia="Times New Roman" w:hAnsi="Arial" w:cs="Arial"/>
          <w:snapToGrid w:val="0"/>
          <w:color w:val="000000"/>
        </w:rPr>
        <w:t>in</w:t>
      </w:r>
      <w:r w:rsidR="002B1EDA" w:rsidRPr="00462F95">
        <w:rPr>
          <w:rFonts w:ascii="Arial" w:eastAsia="Times New Roman" w:hAnsi="Arial" w:cs="Arial"/>
          <w:snapToGrid w:val="0"/>
          <w:color w:val="000000"/>
        </w:rPr>
        <w:t xml:space="preserve"> the table above</w:t>
      </w:r>
      <w:r w:rsidRPr="00462F95">
        <w:rPr>
          <w:rFonts w:ascii="Arial" w:eastAsia="Times New Roman" w:hAnsi="Arial" w:cs="Arial"/>
          <w:snapToGrid w:val="0"/>
          <w:color w:val="000000"/>
        </w:rPr>
        <w:t xml:space="preserve"> (b), four (4) are going through civil or court process where SASSA is pursuing recovery against affected persons</w:t>
      </w:r>
    </w:p>
    <w:p w:rsidR="00462F95" w:rsidRPr="00462F95" w:rsidRDefault="00462F95" w:rsidP="00462F95">
      <w:pPr>
        <w:pStyle w:val="ListParagraph"/>
        <w:rPr>
          <w:rFonts w:ascii="Arial" w:eastAsia="Times New Roman" w:hAnsi="Arial" w:cs="Arial"/>
          <w:snapToGrid w:val="0"/>
          <w:color w:val="000000"/>
        </w:rPr>
      </w:pPr>
    </w:p>
    <w:p w:rsidR="00313D49" w:rsidRPr="00462F95" w:rsidRDefault="00313D49" w:rsidP="00796884">
      <w:pPr>
        <w:pStyle w:val="ListParagraph"/>
        <w:numPr>
          <w:ilvl w:val="0"/>
          <w:numId w:val="20"/>
        </w:numPr>
        <w:jc w:val="both"/>
        <w:rPr>
          <w:rFonts w:ascii="Arial" w:eastAsia="Times New Roman" w:hAnsi="Arial" w:cs="Arial"/>
          <w:snapToGrid w:val="0"/>
          <w:color w:val="000000"/>
        </w:rPr>
      </w:pPr>
      <w:r w:rsidRPr="00462F95">
        <w:rPr>
          <w:rFonts w:ascii="Arial" w:eastAsia="Times New Roman" w:hAnsi="Arial" w:cs="Arial"/>
          <w:snapToGrid w:val="0"/>
          <w:color w:val="000000"/>
        </w:rPr>
        <w:t>SASSA is focusing efforts in ensuring all the cases are finalised by the end of 2022/23.</w:t>
      </w:r>
    </w:p>
    <w:p w:rsidR="00413B74" w:rsidRPr="00462F95" w:rsidRDefault="00413B74" w:rsidP="00413B74">
      <w:pPr>
        <w:rPr>
          <w:rFonts w:ascii="Arial" w:hAnsi="Arial" w:cs="Arial"/>
          <w:b/>
          <w:bCs/>
        </w:rPr>
      </w:pPr>
      <w:r w:rsidRPr="00462F95">
        <w:rPr>
          <w:rFonts w:ascii="Arial" w:hAnsi="Arial" w:cs="Arial"/>
          <w:b/>
          <w:bCs/>
        </w:rPr>
        <w:t>National Development Agency (NDA)</w:t>
      </w:r>
    </w:p>
    <w:p w:rsidR="00413B74" w:rsidRPr="00462F95" w:rsidRDefault="00413B74" w:rsidP="00413B74">
      <w:pPr>
        <w:pStyle w:val="Numbernormal"/>
        <w:jc w:val="both"/>
        <w:rPr>
          <w:b/>
        </w:rPr>
      </w:pPr>
      <w:r w:rsidRPr="00462F95">
        <w:rPr>
          <w:b/>
        </w:rPr>
        <w:t>Background</w:t>
      </w:r>
    </w:p>
    <w:p w:rsidR="00413B74" w:rsidRPr="00462F95" w:rsidRDefault="00413B74" w:rsidP="00413B74">
      <w:pPr>
        <w:pStyle w:val="Numbernormal"/>
        <w:jc w:val="both"/>
      </w:pPr>
      <w:r w:rsidRPr="00462F95">
        <w:t xml:space="preserve">The </w:t>
      </w:r>
      <w:r w:rsidRPr="00462F95">
        <w:rPr>
          <w:rFonts w:eastAsia="Times New Roman"/>
          <w:snapToGrid w:val="0"/>
          <w:color w:val="000000"/>
          <w:lang w:val="en-US"/>
        </w:rPr>
        <w:t>National Treasury Irregular Expenditure Framework</w:t>
      </w:r>
      <w:r w:rsidRPr="00462F95">
        <w:t xml:space="preserve"> requires the investigation of expenditure incurred to determine whether any official is liable for losses. Disciplinary steps must be taken against officials who caused or permitted the irregular expenditure, and losses incurred as a result must be recovered from the person liable. </w:t>
      </w:r>
    </w:p>
    <w:p w:rsidR="00413B74" w:rsidRPr="00462F95" w:rsidRDefault="00413B74" w:rsidP="00413B74">
      <w:pPr>
        <w:pStyle w:val="Numbernormal"/>
        <w:jc w:val="both"/>
      </w:pPr>
    </w:p>
    <w:p w:rsidR="00413B74" w:rsidRPr="00462F95" w:rsidRDefault="00413B74" w:rsidP="00413B74">
      <w:pPr>
        <w:pStyle w:val="Numbernormal"/>
        <w:jc w:val="both"/>
      </w:pPr>
      <w:r w:rsidRPr="00462F95">
        <w:t xml:space="preserve">As at the 2020/2021 financial year, the NDA had a total of 195 cases made up of 166 Irregular Expenditure cases and 29 Fruitless and Wasteful Expenditure cases. </w:t>
      </w:r>
    </w:p>
    <w:p w:rsidR="00413B74" w:rsidRPr="00462F95" w:rsidRDefault="00413B74" w:rsidP="00413B74">
      <w:pPr>
        <w:pStyle w:val="Numbernormal"/>
        <w:numPr>
          <w:ilvl w:val="0"/>
          <w:numId w:val="17"/>
        </w:numPr>
        <w:jc w:val="both"/>
      </w:pPr>
      <w:r w:rsidRPr="00462F95">
        <w:t xml:space="preserve">A total number of 71 cases have been finalised. These cases are made up of 64 Irregular Expenditure cases and 7 Fruitless and Wasteful Expenditure cases. The finalisation of these cases resulted in the condonation of </w:t>
      </w:r>
      <w:r w:rsidRPr="00462F95">
        <w:rPr>
          <w:rFonts w:eastAsia="Times New Roman"/>
          <w:snapToGrid w:val="0"/>
          <w:color w:val="000000"/>
        </w:rPr>
        <w:t>Irregular Expenditure to the value of R96,115,315.51 for the 2015/2016 to 2019/2020 financial years. The officials responsible for Fruitless and Wasteful Expenditure have been issued with written warnings following disciplinary proceedings.</w:t>
      </w:r>
    </w:p>
    <w:p w:rsidR="00413B74" w:rsidRPr="00462F95" w:rsidRDefault="00413B74" w:rsidP="00413B74">
      <w:pPr>
        <w:pStyle w:val="Numbernormal"/>
        <w:numPr>
          <w:ilvl w:val="0"/>
          <w:numId w:val="17"/>
        </w:numPr>
        <w:jc w:val="both"/>
      </w:pPr>
      <w:r w:rsidRPr="00462F95">
        <w:t xml:space="preserve">A total number of 124 cases are outstanding. These cases are made up of 102 Irregular Expenditure cases </w:t>
      </w:r>
      <w:r w:rsidRPr="00462F95">
        <w:rPr>
          <w:rFonts w:eastAsia="Times New Roman"/>
          <w:snapToGrid w:val="0"/>
          <w:color w:val="000000"/>
          <w:lang w:val="en-US"/>
        </w:rPr>
        <w:t xml:space="preserve">amounting to R 78,752,277.99 </w:t>
      </w:r>
      <w:r w:rsidRPr="00462F95">
        <w:t xml:space="preserve">and 22 Fruitless and Wasteful Expenditure cases amounting to R168 239.84. </w:t>
      </w:r>
      <w:r w:rsidRPr="00462F95">
        <w:rPr>
          <w:rFonts w:eastAsia="Times New Roman"/>
          <w:snapToGrid w:val="0"/>
          <w:color w:val="000000"/>
          <w:lang w:val="en-US"/>
        </w:rPr>
        <w:t xml:space="preserve">These cases have since been referred to the Loss Control Committee for further investigation. The Loss Control Committee was established in line with the National Treasury Irregular Expenditure </w:t>
      </w:r>
      <w:r w:rsidR="002F36CA" w:rsidRPr="00462F95">
        <w:rPr>
          <w:rFonts w:eastAsia="Times New Roman"/>
          <w:snapToGrid w:val="0"/>
          <w:color w:val="000000"/>
          <w:lang w:val="en-US"/>
        </w:rPr>
        <w:t>Framework and</w:t>
      </w:r>
      <w:r w:rsidRPr="00462F95">
        <w:rPr>
          <w:rFonts w:eastAsia="Times New Roman"/>
          <w:snapToGrid w:val="0"/>
          <w:color w:val="000000"/>
          <w:lang w:val="en-US"/>
        </w:rPr>
        <w:t xml:space="preserve"> assumed duty on 01 July 2022.</w:t>
      </w:r>
    </w:p>
    <w:p w:rsidR="00413B74" w:rsidRPr="00462F95" w:rsidRDefault="00413B74" w:rsidP="00413B74">
      <w:pPr>
        <w:pStyle w:val="Numbernormal"/>
        <w:ind w:left="360"/>
        <w:jc w:val="both"/>
      </w:pPr>
      <w:r w:rsidRPr="00462F95">
        <w:t>Below is a table of the total number of cases finalised and outstanding as at 2020/21 financial year:</w:t>
      </w:r>
    </w:p>
    <w:tbl>
      <w:tblPr>
        <w:tblStyle w:val="TableGrid"/>
        <w:tblW w:w="9543" w:type="dxa"/>
        <w:tblLook w:val="04A0"/>
      </w:tblPr>
      <w:tblGrid>
        <w:gridCol w:w="2194"/>
        <w:gridCol w:w="3111"/>
        <w:gridCol w:w="2160"/>
        <w:gridCol w:w="2078"/>
      </w:tblGrid>
      <w:tr w:rsidR="00413B74" w:rsidRPr="00462F95" w:rsidTr="00152D4E">
        <w:tc>
          <w:tcPr>
            <w:tcW w:w="2194" w:type="dxa"/>
            <w:shd w:val="clear" w:color="auto" w:fill="EEECE1" w:themeFill="background2"/>
          </w:tcPr>
          <w:p w:rsidR="00413B74" w:rsidRPr="00462F95" w:rsidRDefault="00413B74" w:rsidP="00152D4E">
            <w:pPr>
              <w:rPr>
                <w:rFonts w:ascii="Arial" w:hAnsi="Arial" w:cs="Arial"/>
                <w:sz w:val="20"/>
                <w:szCs w:val="20"/>
              </w:rPr>
            </w:pPr>
            <w:r w:rsidRPr="00462F95">
              <w:rPr>
                <w:rFonts w:ascii="Arial" w:hAnsi="Arial" w:cs="Arial"/>
                <w:sz w:val="20"/>
                <w:szCs w:val="20"/>
              </w:rPr>
              <w:t>Category of cases</w:t>
            </w:r>
          </w:p>
        </w:tc>
        <w:tc>
          <w:tcPr>
            <w:tcW w:w="3111" w:type="dxa"/>
            <w:shd w:val="clear" w:color="auto" w:fill="EEECE1" w:themeFill="background2"/>
          </w:tcPr>
          <w:p w:rsidR="00413B74" w:rsidRPr="00462F95" w:rsidRDefault="00413B74" w:rsidP="00152D4E">
            <w:pPr>
              <w:rPr>
                <w:rFonts w:ascii="Arial" w:eastAsia="Times New Roman" w:hAnsi="Arial" w:cs="Arial"/>
                <w:b/>
                <w:snapToGrid w:val="0"/>
                <w:color w:val="000000"/>
                <w:sz w:val="20"/>
                <w:szCs w:val="20"/>
              </w:rPr>
            </w:pPr>
            <w:r w:rsidRPr="00462F95">
              <w:rPr>
                <w:rFonts w:ascii="Arial" w:hAnsi="Arial" w:cs="Arial"/>
                <w:sz w:val="20"/>
                <w:szCs w:val="20"/>
              </w:rPr>
              <w:t>Total number of the specified investigations for the year 2020/21</w:t>
            </w:r>
          </w:p>
        </w:tc>
        <w:tc>
          <w:tcPr>
            <w:tcW w:w="2160" w:type="dxa"/>
            <w:shd w:val="clear" w:color="auto" w:fill="EEECE1" w:themeFill="background2"/>
          </w:tcPr>
          <w:p w:rsidR="00413B74" w:rsidRPr="00462F95" w:rsidRDefault="00413B74" w:rsidP="00152D4E">
            <w:pP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(a)</w:t>
            </w:r>
            <w:r w:rsidRPr="00462F95">
              <w:rPr>
                <w:rFonts w:ascii="Arial" w:hAnsi="Arial" w:cs="Arial"/>
                <w:sz w:val="20"/>
                <w:szCs w:val="20"/>
              </w:rPr>
              <w:t xml:space="preserve"> Cases Finalised </w:t>
            </w:r>
          </w:p>
        </w:tc>
        <w:tc>
          <w:tcPr>
            <w:tcW w:w="2078" w:type="dxa"/>
            <w:shd w:val="clear" w:color="auto" w:fill="EEECE1" w:themeFill="background2"/>
          </w:tcPr>
          <w:p w:rsidR="00413B74" w:rsidRPr="00462F95" w:rsidRDefault="00413B74" w:rsidP="00152D4E">
            <w:pP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(b)</w:t>
            </w:r>
            <w:r w:rsidRPr="00462F95">
              <w:rPr>
                <w:rFonts w:ascii="Arial" w:hAnsi="Arial" w:cs="Arial"/>
                <w:sz w:val="20"/>
                <w:szCs w:val="20"/>
              </w:rPr>
              <w:t xml:space="preserve"> </w:t>
            </w:r>
            <w:r w:rsidR="002F36CA" w:rsidRPr="00462F95">
              <w:rPr>
                <w:rFonts w:ascii="Arial" w:hAnsi="Arial" w:cs="Arial"/>
                <w:sz w:val="20"/>
                <w:szCs w:val="20"/>
              </w:rPr>
              <w:t>Cases outstanding</w:t>
            </w:r>
          </w:p>
        </w:tc>
      </w:tr>
      <w:tr w:rsidR="00413B74" w:rsidRPr="00462F95" w:rsidTr="00152D4E">
        <w:tc>
          <w:tcPr>
            <w:tcW w:w="2194" w:type="dxa"/>
          </w:tcPr>
          <w:p w:rsidR="00413B74" w:rsidRPr="00462F95" w:rsidRDefault="00413B74" w:rsidP="00152D4E">
            <w:pPr>
              <w:rPr>
                <w:rFonts w:ascii="Arial" w:eastAsia="Times New Roman" w:hAnsi="Arial" w:cs="Arial"/>
                <w:snapToGrid w:val="0"/>
                <w:color w:val="000000"/>
                <w:sz w:val="20"/>
                <w:szCs w:val="20"/>
              </w:rPr>
            </w:pPr>
            <w:r w:rsidRPr="00462F95">
              <w:rPr>
                <w:rFonts w:ascii="Arial" w:eastAsia="Times New Roman" w:hAnsi="Arial" w:cs="Arial"/>
                <w:snapToGrid w:val="0"/>
                <w:color w:val="000000"/>
                <w:sz w:val="20"/>
                <w:szCs w:val="20"/>
              </w:rPr>
              <w:t>Irregular expenditure</w:t>
            </w:r>
          </w:p>
        </w:tc>
        <w:tc>
          <w:tcPr>
            <w:tcW w:w="3111" w:type="dxa"/>
          </w:tcPr>
          <w:p w:rsidR="00413B74" w:rsidRPr="00462F95" w:rsidRDefault="00413B74" w:rsidP="00152D4E">
            <w:pPr>
              <w:jc w:val="cente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166</w:t>
            </w:r>
          </w:p>
        </w:tc>
        <w:tc>
          <w:tcPr>
            <w:tcW w:w="2160" w:type="dxa"/>
          </w:tcPr>
          <w:p w:rsidR="00413B74" w:rsidRPr="00462F95" w:rsidRDefault="00413B74" w:rsidP="00152D4E">
            <w:pPr>
              <w:jc w:val="cente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64</w:t>
            </w:r>
          </w:p>
        </w:tc>
        <w:tc>
          <w:tcPr>
            <w:tcW w:w="2078" w:type="dxa"/>
          </w:tcPr>
          <w:p w:rsidR="00413B74" w:rsidRPr="00462F95" w:rsidRDefault="00413B74" w:rsidP="00152D4E">
            <w:pPr>
              <w:jc w:val="cente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102</w:t>
            </w:r>
          </w:p>
        </w:tc>
      </w:tr>
      <w:tr w:rsidR="00413B74" w:rsidRPr="00462F95" w:rsidTr="00152D4E">
        <w:tc>
          <w:tcPr>
            <w:tcW w:w="2194" w:type="dxa"/>
          </w:tcPr>
          <w:p w:rsidR="00413B74" w:rsidRPr="00462F95" w:rsidRDefault="00413B74" w:rsidP="00152D4E">
            <w:pPr>
              <w:rPr>
                <w:rFonts w:ascii="Arial" w:eastAsia="Times New Roman" w:hAnsi="Arial" w:cs="Arial"/>
                <w:snapToGrid w:val="0"/>
                <w:color w:val="000000"/>
                <w:sz w:val="20"/>
                <w:szCs w:val="20"/>
              </w:rPr>
            </w:pPr>
            <w:r w:rsidRPr="00462F95">
              <w:rPr>
                <w:rFonts w:ascii="Arial" w:eastAsia="Times New Roman" w:hAnsi="Arial" w:cs="Arial"/>
                <w:snapToGrid w:val="0"/>
                <w:color w:val="000000"/>
                <w:sz w:val="20"/>
                <w:szCs w:val="20"/>
              </w:rPr>
              <w:t>Fruitless and wasteful expenditure</w:t>
            </w:r>
          </w:p>
        </w:tc>
        <w:tc>
          <w:tcPr>
            <w:tcW w:w="3111" w:type="dxa"/>
          </w:tcPr>
          <w:p w:rsidR="00413B74" w:rsidRPr="00462F95" w:rsidRDefault="00413B74" w:rsidP="00152D4E">
            <w:pPr>
              <w:jc w:val="cente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29</w:t>
            </w:r>
          </w:p>
        </w:tc>
        <w:tc>
          <w:tcPr>
            <w:tcW w:w="2160" w:type="dxa"/>
          </w:tcPr>
          <w:p w:rsidR="00413B74" w:rsidRPr="00462F95" w:rsidRDefault="00413B74" w:rsidP="00152D4E">
            <w:pPr>
              <w:jc w:val="cente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7</w:t>
            </w:r>
          </w:p>
        </w:tc>
        <w:tc>
          <w:tcPr>
            <w:tcW w:w="2078" w:type="dxa"/>
          </w:tcPr>
          <w:p w:rsidR="00413B74" w:rsidRPr="00462F95" w:rsidRDefault="00413B74" w:rsidP="00152D4E">
            <w:pPr>
              <w:jc w:val="cente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22</w:t>
            </w:r>
          </w:p>
        </w:tc>
      </w:tr>
      <w:tr w:rsidR="00413B74" w:rsidRPr="00462F95" w:rsidTr="00152D4E">
        <w:tc>
          <w:tcPr>
            <w:tcW w:w="2194" w:type="dxa"/>
          </w:tcPr>
          <w:p w:rsidR="00413B74" w:rsidRPr="00462F95" w:rsidRDefault="00413B74" w:rsidP="00152D4E">
            <w:pPr>
              <w:rPr>
                <w:rFonts w:ascii="Arial" w:eastAsia="Times New Roman" w:hAnsi="Arial" w:cs="Arial"/>
                <w:snapToGrid w:val="0"/>
                <w:color w:val="000000"/>
                <w:sz w:val="20"/>
                <w:szCs w:val="20"/>
              </w:rPr>
            </w:pPr>
            <w:r w:rsidRPr="00462F95">
              <w:rPr>
                <w:rFonts w:ascii="Arial" w:eastAsia="Times New Roman" w:hAnsi="Arial" w:cs="Arial"/>
                <w:snapToGrid w:val="0"/>
                <w:color w:val="000000"/>
                <w:sz w:val="20"/>
                <w:szCs w:val="20"/>
              </w:rPr>
              <w:t>Total</w:t>
            </w:r>
          </w:p>
        </w:tc>
        <w:tc>
          <w:tcPr>
            <w:tcW w:w="3111" w:type="dxa"/>
          </w:tcPr>
          <w:p w:rsidR="00413B74" w:rsidRPr="00462F95" w:rsidRDefault="00413B74" w:rsidP="00152D4E">
            <w:pPr>
              <w:jc w:val="cente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195</w:t>
            </w:r>
          </w:p>
        </w:tc>
        <w:tc>
          <w:tcPr>
            <w:tcW w:w="2160" w:type="dxa"/>
          </w:tcPr>
          <w:p w:rsidR="00413B74" w:rsidRPr="00462F95" w:rsidRDefault="00413B74" w:rsidP="00152D4E">
            <w:pPr>
              <w:jc w:val="cente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71</w:t>
            </w:r>
          </w:p>
        </w:tc>
        <w:tc>
          <w:tcPr>
            <w:tcW w:w="2078" w:type="dxa"/>
          </w:tcPr>
          <w:p w:rsidR="00413B74" w:rsidRPr="00462F95" w:rsidRDefault="00413B74" w:rsidP="00152D4E">
            <w:pPr>
              <w:jc w:val="center"/>
              <w:rPr>
                <w:rFonts w:ascii="Arial" w:eastAsia="Times New Roman" w:hAnsi="Arial" w:cs="Arial"/>
                <w:b/>
                <w:snapToGrid w:val="0"/>
                <w:color w:val="000000"/>
                <w:sz w:val="20"/>
                <w:szCs w:val="20"/>
              </w:rPr>
            </w:pPr>
            <w:r w:rsidRPr="00462F95">
              <w:rPr>
                <w:rFonts w:ascii="Arial" w:eastAsia="Times New Roman" w:hAnsi="Arial" w:cs="Arial"/>
                <w:b/>
                <w:snapToGrid w:val="0"/>
                <w:color w:val="000000"/>
                <w:sz w:val="20"/>
                <w:szCs w:val="20"/>
              </w:rPr>
              <w:t>124</w:t>
            </w:r>
          </w:p>
        </w:tc>
      </w:tr>
    </w:tbl>
    <w:p w:rsidR="00413B74" w:rsidRPr="00462F95" w:rsidRDefault="00413B74" w:rsidP="00796884">
      <w:pPr>
        <w:jc w:val="both"/>
        <w:rPr>
          <w:rFonts w:ascii="Arial" w:eastAsia="Times New Roman" w:hAnsi="Arial" w:cs="Arial"/>
          <w:snapToGrid w:val="0"/>
          <w:color w:val="000000"/>
        </w:rPr>
      </w:pPr>
    </w:p>
    <w:p w:rsidR="00F04ECE" w:rsidRPr="00462F95" w:rsidRDefault="00F04ECE" w:rsidP="00FB4659">
      <w:pPr>
        <w:spacing w:after="0" w:line="240" w:lineRule="auto"/>
        <w:jc w:val="both"/>
        <w:rPr>
          <w:rFonts w:ascii="Arial" w:eastAsia="Times New Roman" w:hAnsi="Arial" w:cs="Arial"/>
          <w:b/>
          <w:snapToGrid w:val="0"/>
          <w:color w:val="000000"/>
          <w:lang w:val="en-GB"/>
        </w:rPr>
      </w:pPr>
    </w:p>
    <w:sectPr w:rsidR="00F04ECE" w:rsidRPr="00462F95" w:rsidSect="009C57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423" w:rsidRDefault="00905423">
      <w:pPr>
        <w:spacing w:after="0" w:line="240" w:lineRule="auto"/>
      </w:pPr>
      <w:r>
        <w:separator/>
      </w:r>
    </w:p>
  </w:endnote>
  <w:endnote w:type="continuationSeparator" w:id="0">
    <w:p w:rsidR="00905423" w:rsidRDefault="00905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9C575B">
        <w:pPr>
          <w:pStyle w:val="Footer"/>
          <w:jc w:val="right"/>
        </w:pPr>
        <w:r>
          <w:fldChar w:fldCharType="begin"/>
        </w:r>
        <w:r w:rsidR="00A436AB">
          <w:instrText xml:space="preserve"> PAGE   \* MERGEFORMAT </w:instrText>
        </w:r>
        <w:r>
          <w:fldChar w:fldCharType="separate"/>
        </w:r>
        <w:r w:rsidR="00905423">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423" w:rsidRDefault="00905423">
      <w:pPr>
        <w:spacing w:after="0" w:line="240" w:lineRule="auto"/>
      </w:pPr>
      <w:r>
        <w:separator/>
      </w:r>
    </w:p>
  </w:footnote>
  <w:footnote w:type="continuationSeparator" w:id="0">
    <w:p w:rsidR="00905423" w:rsidRDefault="00905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E15FA"/>
    <w:multiLevelType w:val="hybridMultilevel"/>
    <w:tmpl w:val="ABAA36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5BB25AA"/>
    <w:multiLevelType w:val="hybridMultilevel"/>
    <w:tmpl w:val="65BC44F8"/>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2359B3"/>
    <w:multiLevelType w:val="hybridMultilevel"/>
    <w:tmpl w:val="E4B6D408"/>
    <w:lvl w:ilvl="0" w:tplc="D16A6054">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C3736F3"/>
    <w:multiLevelType w:val="hybridMultilevel"/>
    <w:tmpl w:val="D47C50B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9"/>
  </w:num>
  <w:num w:numId="4">
    <w:abstractNumId w:val="1"/>
  </w:num>
  <w:num w:numId="5">
    <w:abstractNumId w:val="13"/>
  </w:num>
  <w:num w:numId="6">
    <w:abstractNumId w:val="4"/>
  </w:num>
  <w:num w:numId="7">
    <w:abstractNumId w:val="10"/>
  </w:num>
  <w:num w:numId="8">
    <w:abstractNumId w:val="6"/>
  </w:num>
  <w:num w:numId="9">
    <w:abstractNumId w:val="9"/>
  </w:num>
  <w:num w:numId="10">
    <w:abstractNumId w:val="5"/>
  </w:num>
  <w:num w:numId="11">
    <w:abstractNumId w:val="7"/>
  </w:num>
  <w:num w:numId="12">
    <w:abstractNumId w:val="18"/>
  </w:num>
  <w:num w:numId="13">
    <w:abstractNumId w:val="11"/>
  </w:num>
  <w:num w:numId="14">
    <w:abstractNumId w:val="8"/>
  </w:num>
  <w:num w:numId="15">
    <w:abstractNumId w:val="17"/>
  </w:num>
  <w:num w:numId="16">
    <w:abstractNumId w:val="14"/>
  </w:num>
  <w:num w:numId="17">
    <w:abstractNumId w:val="16"/>
  </w:num>
  <w:num w:numId="18">
    <w:abstractNumId w:val="15"/>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37E64"/>
    <w:rsid w:val="00041AA3"/>
    <w:rsid w:val="00041FD4"/>
    <w:rsid w:val="00042BE0"/>
    <w:rsid w:val="00044E73"/>
    <w:rsid w:val="00045724"/>
    <w:rsid w:val="0004596A"/>
    <w:rsid w:val="00051EC2"/>
    <w:rsid w:val="000606D9"/>
    <w:rsid w:val="00064295"/>
    <w:rsid w:val="00066271"/>
    <w:rsid w:val="000707D0"/>
    <w:rsid w:val="0007116F"/>
    <w:rsid w:val="00083B8D"/>
    <w:rsid w:val="00091658"/>
    <w:rsid w:val="00094C3C"/>
    <w:rsid w:val="0009793F"/>
    <w:rsid w:val="000A5CE5"/>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54CD"/>
    <w:rsid w:val="0011699F"/>
    <w:rsid w:val="00123D9A"/>
    <w:rsid w:val="0012418C"/>
    <w:rsid w:val="00131148"/>
    <w:rsid w:val="00132534"/>
    <w:rsid w:val="00136AE7"/>
    <w:rsid w:val="00144A54"/>
    <w:rsid w:val="00157C96"/>
    <w:rsid w:val="001713D1"/>
    <w:rsid w:val="00173BDA"/>
    <w:rsid w:val="001745C4"/>
    <w:rsid w:val="00174A02"/>
    <w:rsid w:val="001759C4"/>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0B1E"/>
    <w:rsid w:val="001D3C87"/>
    <w:rsid w:val="001D45D2"/>
    <w:rsid w:val="001D7D1B"/>
    <w:rsid w:val="001E22C5"/>
    <w:rsid w:val="001E322B"/>
    <w:rsid w:val="001F1C3B"/>
    <w:rsid w:val="00205109"/>
    <w:rsid w:val="002052D4"/>
    <w:rsid w:val="00207160"/>
    <w:rsid w:val="00214E66"/>
    <w:rsid w:val="00224843"/>
    <w:rsid w:val="00232658"/>
    <w:rsid w:val="002346B4"/>
    <w:rsid w:val="00241AE9"/>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1EDA"/>
    <w:rsid w:val="002B3395"/>
    <w:rsid w:val="002B5DEF"/>
    <w:rsid w:val="002B6874"/>
    <w:rsid w:val="002B7F4E"/>
    <w:rsid w:val="002C04CE"/>
    <w:rsid w:val="002D0B89"/>
    <w:rsid w:val="002D4C7A"/>
    <w:rsid w:val="002D57A0"/>
    <w:rsid w:val="002E7AA7"/>
    <w:rsid w:val="002F0131"/>
    <w:rsid w:val="002F04B7"/>
    <w:rsid w:val="002F17AE"/>
    <w:rsid w:val="002F36CA"/>
    <w:rsid w:val="003055D8"/>
    <w:rsid w:val="00306CD5"/>
    <w:rsid w:val="00310F71"/>
    <w:rsid w:val="00313D49"/>
    <w:rsid w:val="00317C62"/>
    <w:rsid w:val="00322453"/>
    <w:rsid w:val="00327A61"/>
    <w:rsid w:val="00340511"/>
    <w:rsid w:val="003424B7"/>
    <w:rsid w:val="00343DF7"/>
    <w:rsid w:val="00351E70"/>
    <w:rsid w:val="00353B4B"/>
    <w:rsid w:val="00353ECE"/>
    <w:rsid w:val="00354E98"/>
    <w:rsid w:val="00357606"/>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3B74"/>
    <w:rsid w:val="004152F6"/>
    <w:rsid w:val="00420BB8"/>
    <w:rsid w:val="00422B00"/>
    <w:rsid w:val="00425532"/>
    <w:rsid w:val="00431DEE"/>
    <w:rsid w:val="004329D6"/>
    <w:rsid w:val="0043382B"/>
    <w:rsid w:val="00434100"/>
    <w:rsid w:val="00435600"/>
    <w:rsid w:val="00436F9C"/>
    <w:rsid w:val="004405FF"/>
    <w:rsid w:val="00441244"/>
    <w:rsid w:val="0044169D"/>
    <w:rsid w:val="00446448"/>
    <w:rsid w:val="00447342"/>
    <w:rsid w:val="00450701"/>
    <w:rsid w:val="00454D2A"/>
    <w:rsid w:val="00462F95"/>
    <w:rsid w:val="0046524D"/>
    <w:rsid w:val="00467A2D"/>
    <w:rsid w:val="004758C6"/>
    <w:rsid w:val="00477E8D"/>
    <w:rsid w:val="0048059F"/>
    <w:rsid w:val="00482785"/>
    <w:rsid w:val="004837E7"/>
    <w:rsid w:val="00483E25"/>
    <w:rsid w:val="00484173"/>
    <w:rsid w:val="004916AB"/>
    <w:rsid w:val="0049183A"/>
    <w:rsid w:val="004952C8"/>
    <w:rsid w:val="004A756C"/>
    <w:rsid w:val="004B0E92"/>
    <w:rsid w:val="004B2779"/>
    <w:rsid w:val="004B3426"/>
    <w:rsid w:val="004B55FA"/>
    <w:rsid w:val="004C75CF"/>
    <w:rsid w:val="004D27C4"/>
    <w:rsid w:val="004D2F24"/>
    <w:rsid w:val="004D56FC"/>
    <w:rsid w:val="004E0A72"/>
    <w:rsid w:val="004E33EB"/>
    <w:rsid w:val="004E7C2C"/>
    <w:rsid w:val="004F01B1"/>
    <w:rsid w:val="004F5481"/>
    <w:rsid w:val="004F58F7"/>
    <w:rsid w:val="00501A17"/>
    <w:rsid w:val="00506466"/>
    <w:rsid w:val="005122BD"/>
    <w:rsid w:val="00515132"/>
    <w:rsid w:val="00524E8C"/>
    <w:rsid w:val="0053151F"/>
    <w:rsid w:val="00531BEB"/>
    <w:rsid w:val="00537B1C"/>
    <w:rsid w:val="0054758F"/>
    <w:rsid w:val="00551EEA"/>
    <w:rsid w:val="00556689"/>
    <w:rsid w:val="00566171"/>
    <w:rsid w:val="00567EA8"/>
    <w:rsid w:val="00577FEC"/>
    <w:rsid w:val="005825E4"/>
    <w:rsid w:val="005834AB"/>
    <w:rsid w:val="00584954"/>
    <w:rsid w:val="00586CCC"/>
    <w:rsid w:val="00592B9B"/>
    <w:rsid w:val="005962DE"/>
    <w:rsid w:val="005A0E21"/>
    <w:rsid w:val="005A184A"/>
    <w:rsid w:val="005A37EE"/>
    <w:rsid w:val="005A3AB9"/>
    <w:rsid w:val="005A6543"/>
    <w:rsid w:val="005B5BFF"/>
    <w:rsid w:val="005C0AB6"/>
    <w:rsid w:val="005D0D2C"/>
    <w:rsid w:val="005D23BD"/>
    <w:rsid w:val="005D3DDE"/>
    <w:rsid w:val="005D5EBD"/>
    <w:rsid w:val="005D7EF1"/>
    <w:rsid w:val="005E3C42"/>
    <w:rsid w:val="005E4916"/>
    <w:rsid w:val="005E60F0"/>
    <w:rsid w:val="005F0AC4"/>
    <w:rsid w:val="005F2C98"/>
    <w:rsid w:val="00602077"/>
    <w:rsid w:val="006043E8"/>
    <w:rsid w:val="006051BB"/>
    <w:rsid w:val="00605A46"/>
    <w:rsid w:val="0061069D"/>
    <w:rsid w:val="006139D8"/>
    <w:rsid w:val="00615E45"/>
    <w:rsid w:val="00620A2E"/>
    <w:rsid w:val="00620BB5"/>
    <w:rsid w:val="006221FB"/>
    <w:rsid w:val="00623997"/>
    <w:rsid w:val="00631AD1"/>
    <w:rsid w:val="00634F63"/>
    <w:rsid w:val="00643979"/>
    <w:rsid w:val="00645D55"/>
    <w:rsid w:val="0065044E"/>
    <w:rsid w:val="0065360F"/>
    <w:rsid w:val="00653B78"/>
    <w:rsid w:val="006542D2"/>
    <w:rsid w:val="00656F64"/>
    <w:rsid w:val="0066112D"/>
    <w:rsid w:val="00661786"/>
    <w:rsid w:val="00676187"/>
    <w:rsid w:val="0068260E"/>
    <w:rsid w:val="00682F8C"/>
    <w:rsid w:val="00685F7F"/>
    <w:rsid w:val="006867B0"/>
    <w:rsid w:val="0068713B"/>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6884"/>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3257"/>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8F5E32"/>
    <w:rsid w:val="00903C4B"/>
    <w:rsid w:val="00905423"/>
    <w:rsid w:val="0090785A"/>
    <w:rsid w:val="00907F57"/>
    <w:rsid w:val="00913103"/>
    <w:rsid w:val="0092191F"/>
    <w:rsid w:val="009232E7"/>
    <w:rsid w:val="00923C66"/>
    <w:rsid w:val="00925A2E"/>
    <w:rsid w:val="00926BB8"/>
    <w:rsid w:val="00930C97"/>
    <w:rsid w:val="009311E4"/>
    <w:rsid w:val="00943310"/>
    <w:rsid w:val="00947DCC"/>
    <w:rsid w:val="00950A52"/>
    <w:rsid w:val="0095259B"/>
    <w:rsid w:val="00954464"/>
    <w:rsid w:val="00954A50"/>
    <w:rsid w:val="0095691B"/>
    <w:rsid w:val="00962A9C"/>
    <w:rsid w:val="00967F8C"/>
    <w:rsid w:val="00967FF3"/>
    <w:rsid w:val="00973DE3"/>
    <w:rsid w:val="009760C8"/>
    <w:rsid w:val="00976B23"/>
    <w:rsid w:val="0098193E"/>
    <w:rsid w:val="00991148"/>
    <w:rsid w:val="00993894"/>
    <w:rsid w:val="00996871"/>
    <w:rsid w:val="0099694C"/>
    <w:rsid w:val="009A3623"/>
    <w:rsid w:val="009B0C0D"/>
    <w:rsid w:val="009B6FFC"/>
    <w:rsid w:val="009C4045"/>
    <w:rsid w:val="009C575B"/>
    <w:rsid w:val="009D12AD"/>
    <w:rsid w:val="009D31D0"/>
    <w:rsid w:val="009D6C6F"/>
    <w:rsid w:val="009E1947"/>
    <w:rsid w:val="009E2FDB"/>
    <w:rsid w:val="009E42A7"/>
    <w:rsid w:val="009E4955"/>
    <w:rsid w:val="009E7540"/>
    <w:rsid w:val="009F26B2"/>
    <w:rsid w:val="009F5651"/>
    <w:rsid w:val="00A00C17"/>
    <w:rsid w:val="00A03249"/>
    <w:rsid w:val="00A0436F"/>
    <w:rsid w:val="00A05B12"/>
    <w:rsid w:val="00A1031A"/>
    <w:rsid w:val="00A12E03"/>
    <w:rsid w:val="00A20D1C"/>
    <w:rsid w:val="00A21AE1"/>
    <w:rsid w:val="00A32DA2"/>
    <w:rsid w:val="00A34E32"/>
    <w:rsid w:val="00A400BA"/>
    <w:rsid w:val="00A436AB"/>
    <w:rsid w:val="00A436F0"/>
    <w:rsid w:val="00A6429F"/>
    <w:rsid w:val="00A64E8E"/>
    <w:rsid w:val="00A65C30"/>
    <w:rsid w:val="00A73D6D"/>
    <w:rsid w:val="00A7641F"/>
    <w:rsid w:val="00A7719B"/>
    <w:rsid w:val="00A8600B"/>
    <w:rsid w:val="00A870F2"/>
    <w:rsid w:val="00A8760F"/>
    <w:rsid w:val="00A930EB"/>
    <w:rsid w:val="00A9378F"/>
    <w:rsid w:val="00A93D60"/>
    <w:rsid w:val="00A9526F"/>
    <w:rsid w:val="00A97C86"/>
    <w:rsid w:val="00AA29C3"/>
    <w:rsid w:val="00AB0772"/>
    <w:rsid w:val="00AB10C6"/>
    <w:rsid w:val="00AB6425"/>
    <w:rsid w:val="00AB6B86"/>
    <w:rsid w:val="00AC2C0A"/>
    <w:rsid w:val="00AC6B28"/>
    <w:rsid w:val="00AD1A50"/>
    <w:rsid w:val="00AD58FA"/>
    <w:rsid w:val="00AD686B"/>
    <w:rsid w:val="00AE09B4"/>
    <w:rsid w:val="00AE14BC"/>
    <w:rsid w:val="00AE3CAA"/>
    <w:rsid w:val="00AF150C"/>
    <w:rsid w:val="00AF3D32"/>
    <w:rsid w:val="00AF7818"/>
    <w:rsid w:val="00B02F08"/>
    <w:rsid w:val="00B0411F"/>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2C6B"/>
    <w:rsid w:val="00BA2E39"/>
    <w:rsid w:val="00BB0803"/>
    <w:rsid w:val="00BB1B93"/>
    <w:rsid w:val="00BB3A79"/>
    <w:rsid w:val="00BB7FA9"/>
    <w:rsid w:val="00BD07CD"/>
    <w:rsid w:val="00BD19CE"/>
    <w:rsid w:val="00BD1C78"/>
    <w:rsid w:val="00BD231A"/>
    <w:rsid w:val="00BD3371"/>
    <w:rsid w:val="00BD358D"/>
    <w:rsid w:val="00BD3C62"/>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12B3"/>
    <w:rsid w:val="00CA3022"/>
    <w:rsid w:val="00CA47D7"/>
    <w:rsid w:val="00CB27F9"/>
    <w:rsid w:val="00CB46EF"/>
    <w:rsid w:val="00CB758D"/>
    <w:rsid w:val="00CC037C"/>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56B1B"/>
    <w:rsid w:val="00D61A84"/>
    <w:rsid w:val="00D67D54"/>
    <w:rsid w:val="00D703A5"/>
    <w:rsid w:val="00D7047C"/>
    <w:rsid w:val="00D71E36"/>
    <w:rsid w:val="00D75B39"/>
    <w:rsid w:val="00D76543"/>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2420F"/>
    <w:rsid w:val="00E27E50"/>
    <w:rsid w:val="00E30D1D"/>
    <w:rsid w:val="00E36AB5"/>
    <w:rsid w:val="00E408E7"/>
    <w:rsid w:val="00E436D1"/>
    <w:rsid w:val="00E46923"/>
    <w:rsid w:val="00E525D3"/>
    <w:rsid w:val="00E527D0"/>
    <w:rsid w:val="00E546E7"/>
    <w:rsid w:val="00E556BF"/>
    <w:rsid w:val="00E57C01"/>
    <w:rsid w:val="00E60E70"/>
    <w:rsid w:val="00E671B7"/>
    <w:rsid w:val="00E73628"/>
    <w:rsid w:val="00E74AD9"/>
    <w:rsid w:val="00E80FFD"/>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2136"/>
    <w:rsid w:val="00F04ECE"/>
    <w:rsid w:val="00F05313"/>
    <w:rsid w:val="00F067DA"/>
    <w:rsid w:val="00F15D74"/>
    <w:rsid w:val="00F1743C"/>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A5947"/>
    <w:rsid w:val="00FB4659"/>
    <w:rsid w:val="00FB557D"/>
    <w:rsid w:val="00FB5F56"/>
    <w:rsid w:val="00FB67D5"/>
    <w:rsid w:val="00FC2C79"/>
    <w:rsid w:val="00FC65E6"/>
    <w:rsid w:val="00FC68FF"/>
    <w:rsid w:val="00FC6DD0"/>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1">
    <w:name w:val="Unresolved Mention1"/>
    <w:basedOn w:val="DefaultParagraphFont"/>
    <w:uiPriority w:val="99"/>
    <w:semiHidden/>
    <w:unhideWhenUsed/>
    <w:rsid w:val="00467A2D"/>
    <w:rPr>
      <w:color w:val="605E5C"/>
      <w:shd w:val="clear" w:color="auto" w:fill="E1DFDD"/>
    </w:rPr>
  </w:style>
  <w:style w:type="paragraph" w:customStyle="1" w:styleId="Numbernormal">
    <w:name w:val="Number normal"/>
    <w:basedOn w:val="Normal"/>
    <w:link w:val="NumbernormalChar"/>
    <w:qFormat/>
    <w:rsid w:val="00413B74"/>
    <w:pPr>
      <w:shd w:val="clear" w:color="auto" w:fill="FFFFFF"/>
      <w:spacing w:before="120" w:after="120"/>
    </w:pPr>
    <w:rPr>
      <w:rFonts w:ascii="Arial" w:eastAsia="Calibri" w:hAnsi="Arial" w:cs="Arial"/>
    </w:rPr>
  </w:style>
  <w:style w:type="character" w:customStyle="1" w:styleId="NumbernormalChar">
    <w:name w:val="Number normal Char"/>
    <w:basedOn w:val="DefaultParagraphFont"/>
    <w:link w:val="Numbernormal"/>
    <w:rsid w:val="00413B74"/>
    <w:rPr>
      <w:rFonts w:ascii="Arial" w:eastAsia="Calibri" w:hAnsi="Arial" w:cs="Arial"/>
      <w:shd w:val="clear" w:color="auto" w:fill="FFFFFF"/>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775A-28EA-4F90-BADF-728E9C6E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2022-08-08T08:16:00Z</dcterms:created>
  <dcterms:modified xsi:type="dcterms:W3CDTF">2022-08-08T08:16:00Z</dcterms:modified>
</cp:coreProperties>
</file>