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340204"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8"/>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2E7253" w:rsidRDefault="002E7253" w:rsidP="00E86F9A">
      <w:pPr>
        <w:spacing w:after="200" w:line="276" w:lineRule="auto"/>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E86F9A" w:rsidP="00E86F9A">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QUESTION </w:t>
      </w:r>
      <w:r w:rsidR="002E7253" w:rsidRPr="002E7253">
        <w:rPr>
          <w:rFonts w:ascii="Arial" w:eastAsia="Calibri" w:hAnsi="Arial" w:cs="Arial"/>
          <w:b/>
          <w:bCs/>
          <w:sz w:val="22"/>
          <w:szCs w:val="22"/>
          <w:lang w:val="en-GB"/>
        </w:rPr>
        <w:t>FOR WRITTEN REPLY</w:t>
      </w:r>
    </w:p>
    <w:p w:rsidR="002E7253" w:rsidRPr="002E7253" w:rsidRDefault="00E86F9A" w:rsidP="00E86F9A">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 xml:space="preserve">QUESTION </w:t>
      </w:r>
      <w:r>
        <w:rPr>
          <w:rFonts w:ascii="Arial" w:eastAsia="Calibri" w:hAnsi="Arial" w:cs="Arial"/>
          <w:b/>
          <w:bCs/>
          <w:sz w:val="22"/>
          <w:szCs w:val="22"/>
          <w:lang w:val="en-GB"/>
        </w:rPr>
        <w:t xml:space="preserve">NO: </w:t>
      </w:r>
      <w:r w:rsidR="004926BD">
        <w:rPr>
          <w:rFonts w:ascii="Arial" w:eastAsia="Calibri" w:hAnsi="Arial" w:cs="Arial"/>
          <w:b/>
          <w:bCs/>
          <w:sz w:val="22"/>
          <w:szCs w:val="22"/>
          <w:lang w:val="en-GB"/>
        </w:rPr>
        <w:t>2</w:t>
      </w:r>
      <w:r w:rsidR="003B0260">
        <w:rPr>
          <w:rFonts w:ascii="Arial" w:eastAsia="Calibri" w:hAnsi="Arial" w:cs="Arial"/>
          <w:b/>
          <w:bCs/>
          <w:sz w:val="22"/>
          <w:szCs w:val="22"/>
          <w:lang w:val="en-GB"/>
        </w:rPr>
        <w:t>3</w:t>
      </w:r>
      <w:r w:rsidR="000B5E45">
        <w:rPr>
          <w:rFonts w:ascii="Arial" w:eastAsia="Calibri" w:hAnsi="Arial" w:cs="Arial"/>
          <w:b/>
          <w:bCs/>
          <w:sz w:val="22"/>
          <w:szCs w:val="22"/>
          <w:lang w:val="en-GB"/>
        </w:rPr>
        <w:t>4</w:t>
      </w:r>
      <w:r w:rsidR="00080B73">
        <w:rPr>
          <w:rFonts w:ascii="Arial" w:eastAsia="Calibri" w:hAnsi="Arial" w:cs="Arial"/>
          <w:b/>
          <w:bCs/>
          <w:sz w:val="22"/>
          <w:szCs w:val="22"/>
          <w:lang w:val="en-GB"/>
        </w:rPr>
        <w:t>4</w:t>
      </w:r>
    </w:p>
    <w:p w:rsidR="002E7253" w:rsidRPr="00E86F9A" w:rsidRDefault="002E7253" w:rsidP="00E86F9A">
      <w:pPr>
        <w:spacing w:after="200" w:line="276" w:lineRule="auto"/>
        <w:rPr>
          <w:rFonts w:ascii="Arial" w:eastAsia="Calibri" w:hAnsi="Arial" w:cs="Arial"/>
          <w:b/>
          <w:bCs/>
          <w:sz w:val="22"/>
          <w:szCs w:val="22"/>
          <w:lang w:val="en-GB"/>
        </w:rPr>
      </w:pPr>
      <w:r w:rsidRPr="00E86F9A">
        <w:rPr>
          <w:rFonts w:ascii="Arial" w:eastAsia="Calibri" w:hAnsi="Arial" w:cs="Arial"/>
          <w:b/>
          <w:bCs/>
          <w:sz w:val="22"/>
          <w:szCs w:val="22"/>
          <w:lang w:val="en-GB"/>
        </w:rPr>
        <w:t xml:space="preserve">DATE OF QUESTION PAPER: </w:t>
      </w:r>
      <w:r w:rsidR="005601A1" w:rsidRPr="00E86F9A">
        <w:rPr>
          <w:rFonts w:ascii="Arial" w:eastAsia="Calibri" w:hAnsi="Arial" w:cs="Arial"/>
          <w:b/>
          <w:bCs/>
          <w:sz w:val="22"/>
          <w:szCs w:val="22"/>
          <w:lang w:val="en-GB"/>
        </w:rPr>
        <w:t>2</w:t>
      </w:r>
      <w:r w:rsidR="00B021CE" w:rsidRPr="00E86F9A">
        <w:rPr>
          <w:rFonts w:ascii="Arial" w:eastAsia="Calibri" w:hAnsi="Arial" w:cs="Arial"/>
          <w:b/>
          <w:bCs/>
          <w:sz w:val="22"/>
          <w:szCs w:val="22"/>
          <w:lang w:val="en-GB"/>
        </w:rPr>
        <w:t>8</w:t>
      </w:r>
      <w:r w:rsidR="00E86F9A" w:rsidRPr="00E86F9A">
        <w:rPr>
          <w:rFonts w:ascii="Arial" w:eastAsia="Calibri" w:hAnsi="Arial" w:cs="Arial"/>
          <w:b/>
          <w:bCs/>
          <w:sz w:val="22"/>
          <w:szCs w:val="22"/>
          <w:lang w:val="en-GB"/>
        </w:rPr>
        <w:t xml:space="preserve"> OCTOBER </w:t>
      </w:r>
      <w:r w:rsidRPr="00E86F9A">
        <w:rPr>
          <w:rFonts w:ascii="Arial" w:eastAsia="Calibri" w:hAnsi="Arial" w:cs="Arial"/>
          <w:b/>
          <w:bCs/>
          <w:sz w:val="22"/>
          <w:szCs w:val="22"/>
          <w:lang w:val="en-GB"/>
        </w:rPr>
        <w:t>2016</w:t>
      </w:r>
    </w:p>
    <w:p w:rsidR="00D463C8" w:rsidRPr="00E86F9A" w:rsidRDefault="00791471" w:rsidP="00E86F9A">
      <w:pPr>
        <w:spacing w:before="100" w:beforeAutospacing="1" w:after="100" w:afterAutospacing="1" w:line="276" w:lineRule="auto"/>
        <w:outlineLvl w:val="0"/>
        <w:rPr>
          <w:rFonts w:ascii="Arial" w:eastAsia="Calibri" w:hAnsi="Arial" w:cs="Arial"/>
          <w:b/>
          <w:bCs/>
          <w:sz w:val="22"/>
          <w:szCs w:val="22"/>
          <w:lang w:val="en-GB"/>
        </w:rPr>
      </w:pPr>
      <w:r w:rsidRPr="00E86F9A">
        <w:rPr>
          <w:rFonts w:ascii="Arial" w:eastAsia="Calibri" w:hAnsi="Arial" w:cs="Arial"/>
          <w:b/>
          <w:bCs/>
          <w:sz w:val="22"/>
          <w:szCs w:val="22"/>
          <w:lang w:val="en-GB"/>
        </w:rPr>
        <w:t xml:space="preserve">DATE OF SUBMISSION: </w:t>
      </w:r>
      <w:r w:rsidR="00B021CE" w:rsidRPr="00E86F9A">
        <w:rPr>
          <w:rFonts w:ascii="Arial" w:eastAsia="Calibri" w:hAnsi="Arial" w:cs="Arial"/>
          <w:b/>
          <w:bCs/>
          <w:sz w:val="22"/>
          <w:szCs w:val="22"/>
          <w:lang w:val="en-GB"/>
        </w:rPr>
        <w:t>11</w:t>
      </w:r>
      <w:r w:rsidR="00281574" w:rsidRPr="00E86F9A">
        <w:rPr>
          <w:rFonts w:ascii="Arial" w:eastAsia="Calibri" w:hAnsi="Arial" w:cs="Arial"/>
          <w:b/>
          <w:bCs/>
          <w:sz w:val="22"/>
          <w:szCs w:val="22"/>
          <w:lang w:val="en-GB"/>
        </w:rPr>
        <w:t xml:space="preserve"> </w:t>
      </w:r>
      <w:r w:rsidR="005601A1" w:rsidRPr="00E86F9A">
        <w:rPr>
          <w:rFonts w:ascii="Arial" w:eastAsia="Calibri" w:hAnsi="Arial" w:cs="Arial"/>
          <w:b/>
          <w:bCs/>
          <w:sz w:val="22"/>
          <w:szCs w:val="22"/>
          <w:lang w:val="en-GB"/>
        </w:rPr>
        <w:t>NOVEM</w:t>
      </w:r>
      <w:r w:rsidRPr="00E86F9A">
        <w:rPr>
          <w:rFonts w:ascii="Arial" w:eastAsia="Calibri" w:hAnsi="Arial" w:cs="Arial"/>
          <w:b/>
          <w:bCs/>
          <w:sz w:val="22"/>
          <w:szCs w:val="22"/>
          <w:lang w:val="en-GB"/>
        </w:rPr>
        <w:t>BER</w:t>
      </w:r>
      <w:r w:rsidR="009F2D5C" w:rsidRPr="00E86F9A">
        <w:rPr>
          <w:rFonts w:ascii="Arial" w:eastAsia="Calibri" w:hAnsi="Arial" w:cs="Arial"/>
          <w:b/>
          <w:bCs/>
          <w:sz w:val="22"/>
          <w:szCs w:val="22"/>
          <w:lang w:val="en-GB"/>
        </w:rPr>
        <w:t xml:space="preserve"> </w:t>
      </w:r>
      <w:r w:rsidR="00D463C8" w:rsidRPr="00E86F9A">
        <w:rPr>
          <w:rFonts w:ascii="Arial" w:eastAsia="Calibri" w:hAnsi="Arial" w:cs="Arial"/>
          <w:b/>
          <w:bCs/>
          <w:sz w:val="22"/>
          <w:szCs w:val="22"/>
          <w:lang w:val="en-GB"/>
        </w:rPr>
        <w:t>2016</w:t>
      </w:r>
    </w:p>
    <w:p w:rsidR="00F400F2" w:rsidRPr="00F400F2" w:rsidRDefault="00F400F2" w:rsidP="00F400F2">
      <w:pPr>
        <w:spacing w:before="120" w:after="120" w:line="360" w:lineRule="auto"/>
        <w:jc w:val="both"/>
        <w:rPr>
          <w:rFonts w:ascii="Arial" w:hAnsi="Arial" w:cs="Arial"/>
          <w:b/>
          <w:bCs/>
          <w:sz w:val="22"/>
          <w:szCs w:val="22"/>
          <w:lang w:val="en-ZA"/>
        </w:rPr>
      </w:pPr>
      <w:r w:rsidRPr="00F400F2">
        <w:rPr>
          <w:rFonts w:ascii="Arial" w:hAnsi="Arial" w:cs="Arial"/>
          <w:b/>
          <w:bCs/>
          <w:sz w:val="22"/>
          <w:szCs w:val="22"/>
          <w:lang w:val="en-ZA"/>
        </w:rPr>
        <w:t>Ms N I Tarabella Marchesi (DA) to ask the Minister of Justice and Correctional Services:</w:t>
      </w:r>
    </w:p>
    <w:p w:rsidR="00080B73" w:rsidRDefault="00080B73" w:rsidP="00080B73">
      <w:pPr>
        <w:spacing w:before="120" w:after="120" w:line="360" w:lineRule="auto"/>
        <w:jc w:val="both"/>
        <w:rPr>
          <w:rFonts w:ascii="Arial" w:hAnsi="Arial" w:cs="Arial"/>
          <w:sz w:val="22"/>
          <w:szCs w:val="22"/>
          <w:lang w:val="en-ZA"/>
        </w:rPr>
      </w:pPr>
      <w:r w:rsidRPr="00080B73">
        <w:rPr>
          <w:rFonts w:ascii="Arial" w:hAnsi="Arial" w:cs="Arial"/>
          <w:sz w:val="22"/>
          <w:szCs w:val="22"/>
          <w:lang w:val="en-ZA"/>
        </w:rPr>
        <w:t>(a</w:t>
      </w:r>
      <w:r>
        <w:rPr>
          <w:rFonts w:ascii="Arial" w:hAnsi="Arial" w:cs="Arial"/>
          <w:sz w:val="22"/>
          <w:szCs w:val="22"/>
          <w:lang w:val="en-ZA"/>
        </w:rPr>
        <w:t xml:space="preserve">) </w:t>
      </w:r>
      <w:r w:rsidRPr="00080B73">
        <w:rPr>
          <w:rFonts w:ascii="Arial" w:hAnsi="Arial" w:cs="Arial"/>
          <w:sz w:val="22"/>
          <w:szCs w:val="22"/>
          <w:lang w:val="en-ZA"/>
        </w:rPr>
        <w:t>What detailed measures have been put in place to address the 18,7% increase in the backlog of the number of cases at the National Prosecuting Authority in the 2015-16 financial year and (b) what is being done to address the specified backlog in the (i) lower and (ii) high courts?</w:t>
      </w:r>
    </w:p>
    <w:p w:rsidR="00080B73" w:rsidRDefault="00080B73" w:rsidP="00080B73">
      <w:pPr>
        <w:spacing w:before="120" w:after="120" w:line="360" w:lineRule="auto"/>
        <w:ind w:left="360"/>
        <w:jc w:val="right"/>
        <w:rPr>
          <w:rFonts w:ascii="Arial" w:hAnsi="Arial" w:cs="Arial"/>
          <w:b/>
          <w:sz w:val="22"/>
          <w:szCs w:val="22"/>
          <w:lang w:val="en-ZA"/>
        </w:rPr>
      </w:pPr>
      <w:r w:rsidRPr="00080B73">
        <w:rPr>
          <w:rFonts w:ascii="Arial" w:hAnsi="Arial" w:cs="Arial"/>
          <w:b/>
          <w:sz w:val="22"/>
          <w:szCs w:val="22"/>
          <w:lang w:val="en-ZA"/>
        </w:rPr>
        <w:t>NW2679E</w:t>
      </w:r>
    </w:p>
    <w:p w:rsidR="00F918C4" w:rsidRPr="00F918C4" w:rsidRDefault="00F918C4" w:rsidP="0036785A">
      <w:pPr>
        <w:pStyle w:val="Heading4"/>
        <w:rPr>
          <w:rFonts w:ascii="Arial" w:eastAsia="Times New Roman" w:hAnsi="Arial" w:cs="Arial"/>
          <w:b/>
          <w:bCs/>
          <w:i w:val="0"/>
          <w:iCs w:val="0"/>
          <w:color w:val="auto"/>
        </w:rPr>
      </w:pPr>
      <w:bookmarkStart w:id="0" w:name="_Toc450632304"/>
      <w:r w:rsidRPr="00F918C4">
        <w:rPr>
          <w:rFonts w:ascii="Arial" w:eastAsia="Times New Roman" w:hAnsi="Arial" w:cs="Arial"/>
          <w:b/>
          <w:bCs/>
          <w:i w:val="0"/>
          <w:iCs w:val="0"/>
          <w:color w:val="auto"/>
        </w:rPr>
        <w:t>REPLY</w:t>
      </w:r>
    </w:p>
    <w:p w:rsidR="00F918C4" w:rsidRDefault="00F918C4" w:rsidP="0036785A">
      <w:pPr>
        <w:pStyle w:val="Heading4"/>
        <w:rPr>
          <w:rFonts w:ascii="Arial" w:eastAsia="Times New Roman" w:hAnsi="Arial" w:cs="Arial"/>
          <w:b/>
          <w:bCs/>
          <w:lang w:val="en-GB"/>
        </w:rPr>
      </w:pPr>
    </w:p>
    <w:p w:rsidR="0036785A" w:rsidRDefault="0036785A" w:rsidP="0036785A">
      <w:pPr>
        <w:pStyle w:val="Heading4"/>
        <w:rPr>
          <w:rFonts w:ascii="Arial" w:eastAsia="Times New Roman" w:hAnsi="Arial" w:cs="Arial"/>
          <w:b/>
          <w:bCs/>
          <w:lang w:val="en-GB"/>
        </w:rPr>
      </w:pPr>
      <w:r>
        <w:rPr>
          <w:rFonts w:ascii="Arial" w:eastAsia="Times New Roman" w:hAnsi="Arial" w:cs="Arial"/>
          <w:b/>
          <w:bCs/>
          <w:lang w:val="en-GB"/>
        </w:rPr>
        <w:t>Number of case backlogs</w:t>
      </w:r>
      <w:bookmarkEnd w:id="0"/>
    </w:p>
    <w:p w:rsidR="0036785A" w:rsidRPr="0036785A" w:rsidRDefault="0036785A" w:rsidP="0036785A">
      <w:pPr>
        <w:spacing w:line="360" w:lineRule="auto"/>
        <w:jc w:val="both"/>
        <w:rPr>
          <w:rFonts w:ascii="Arial" w:eastAsia="Calibri" w:hAnsi="Arial" w:cs="Arial"/>
        </w:rPr>
      </w:pPr>
      <w:r>
        <w:rPr>
          <w:rFonts w:ascii="Arial" w:hAnsi="Arial" w:cs="Arial"/>
        </w:rPr>
        <w:t xml:space="preserve">The target on the number of backlog cases in the Lower courts falls within the ambit of DOJ&amp;CD annual plan whilst the target on the backlog cases of the high courts were assigned to the OCJ. Since prosecutors have an important role to play in the speedy finalisation of cases, the number of backlog cases is still monitored and measured within the lower level annual plans. </w:t>
      </w:r>
    </w:p>
    <w:p w:rsidR="00F918C4" w:rsidRDefault="0036785A" w:rsidP="0036785A">
      <w:pPr>
        <w:spacing w:line="360" w:lineRule="auto"/>
        <w:jc w:val="both"/>
        <w:rPr>
          <w:rFonts w:ascii="Arial" w:hAnsi="Arial" w:cs="Arial"/>
        </w:rPr>
      </w:pPr>
      <w:r>
        <w:rPr>
          <w:rFonts w:ascii="Arial" w:hAnsi="Arial" w:cs="Arial"/>
        </w:rPr>
        <w:t xml:space="preserve">The high courts managed a reduction of 12% but an increase is noted in both lower court forums. </w:t>
      </w:r>
    </w:p>
    <w:p w:rsidR="00F918C4" w:rsidRDefault="00F918C4" w:rsidP="0036785A">
      <w:pPr>
        <w:spacing w:line="360" w:lineRule="auto"/>
        <w:jc w:val="both"/>
        <w:rPr>
          <w:rFonts w:ascii="Arial" w:hAnsi="Arial" w:cs="Arial"/>
        </w:rPr>
      </w:pPr>
    </w:p>
    <w:p w:rsidR="00F918C4" w:rsidRDefault="00F918C4" w:rsidP="0036785A">
      <w:pPr>
        <w:spacing w:line="360" w:lineRule="auto"/>
        <w:jc w:val="both"/>
        <w:rPr>
          <w:rFonts w:ascii="Arial" w:hAnsi="Arial" w:cs="Arial"/>
        </w:rPr>
      </w:pPr>
    </w:p>
    <w:p w:rsidR="00E86F9A" w:rsidRDefault="00E86F9A" w:rsidP="0036785A">
      <w:pPr>
        <w:spacing w:line="360" w:lineRule="auto"/>
        <w:jc w:val="both"/>
        <w:rPr>
          <w:rFonts w:ascii="Arial" w:hAnsi="Arial" w:cs="Arial"/>
        </w:rPr>
      </w:pPr>
    </w:p>
    <w:p w:rsidR="00E86F9A" w:rsidRDefault="00E86F9A" w:rsidP="0036785A">
      <w:pPr>
        <w:spacing w:line="360" w:lineRule="auto"/>
        <w:jc w:val="both"/>
        <w:rPr>
          <w:rFonts w:ascii="Arial" w:hAnsi="Arial" w:cs="Arial"/>
        </w:rPr>
      </w:pPr>
    </w:p>
    <w:p w:rsidR="00E86F9A" w:rsidRDefault="00E86F9A" w:rsidP="0036785A">
      <w:pPr>
        <w:spacing w:line="360" w:lineRule="auto"/>
        <w:jc w:val="both"/>
        <w:rPr>
          <w:rFonts w:ascii="Arial" w:hAnsi="Arial" w:cs="Arial"/>
        </w:rPr>
      </w:pPr>
    </w:p>
    <w:p w:rsidR="0036785A" w:rsidRDefault="0036785A" w:rsidP="0036785A">
      <w:pPr>
        <w:spacing w:line="360" w:lineRule="auto"/>
        <w:jc w:val="both"/>
        <w:rPr>
          <w:rFonts w:ascii="Arial" w:hAnsi="Arial" w:cs="Arial"/>
        </w:rPr>
      </w:pPr>
      <w:r>
        <w:rPr>
          <w:rFonts w:ascii="Arial" w:hAnsi="Arial" w:cs="Arial"/>
        </w:rPr>
        <w:lastRenderedPageBreak/>
        <w:t>The overall progress is indicated below:</w:t>
      </w:r>
    </w:p>
    <w:p w:rsidR="0036785A" w:rsidRDefault="0036785A" w:rsidP="0036785A">
      <w:pPr>
        <w:pStyle w:val="Caption"/>
        <w:rPr>
          <w:lang w:val="en-GB"/>
        </w:rPr>
      </w:pPr>
      <w:bookmarkStart w:id="1" w:name="_Toc362263408"/>
      <w:bookmarkStart w:id="2" w:name="_Toc449354444"/>
      <w:bookmarkEnd w:id="1"/>
      <w:r>
        <w:rPr>
          <w:lang w:val="en-GB"/>
        </w:rPr>
        <w:t>Table21: Progress on case backlogs</w:t>
      </w:r>
      <w:bookmarkEnd w:id="2"/>
    </w:p>
    <w:tbl>
      <w:tblPr>
        <w:tblW w:w="12930" w:type="dxa"/>
        <w:tblCellMar>
          <w:left w:w="0" w:type="dxa"/>
          <w:right w:w="0" w:type="dxa"/>
        </w:tblCellMar>
        <w:tblLook w:val="04A0"/>
      </w:tblPr>
      <w:tblGrid>
        <w:gridCol w:w="2155"/>
        <w:gridCol w:w="2156"/>
        <w:gridCol w:w="2155"/>
        <w:gridCol w:w="2154"/>
        <w:gridCol w:w="2155"/>
        <w:gridCol w:w="2155"/>
      </w:tblGrid>
      <w:tr w:rsidR="0036785A" w:rsidTr="0036785A">
        <w:trPr>
          <w:trHeight w:val="397"/>
        </w:trPr>
        <w:tc>
          <w:tcPr>
            <w:tcW w:w="1724"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20"/>
                <w:szCs w:val="20"/>
              </w:rPr>
            </w:pPr>
            <w:r>
              <w:rPr>
                <w:rFonts w:ascii="Arial" w:hAnsi="Arial" w:cs="Arial"/>
                <w:b/>
                <w:bCs/>
                <w:color w:val="000000"/>
                <w:sz w:val="20"/>
                <w:szCs w:val="20"/>
              </w:rPr>
              <w:t>FORUM</w:t>
            </w:r>
          </w:p>
        </w:tc>
        <w:tc>
          <w:tcPr>
            <w:tcW w:w="1725"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20"/>
                <w:szCs w:val="20"/>
              </w:rPr>
            </w:pPr>
            <w:r>
              <w:rPr>
                <w:rFonts w:ascii="Arial" w:hAnsi="Arial" w:cs="Arial"/>
                <w:b/>
                <w:bCs/>
                <w:color w:val="000000"/>
                <w:sz w:val="20"/>
                <w:szCs w:val="20"/>
              </w:rPr>
              <w:t>2014/15</w:t>
            </w:r>
          </w:p>
        </w:tc>
        <w:tc>
          <w:tcPr>
            <w:tcW w:w="1725"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20"/>
                <w:szCs w:val="20"/>
              </w:rPr>
            </w:pPr>
            <w:r>
              <w:rPr>
                <w:rFonts w:ascii="Arial" w:hAnsi="Arial" w:cs="Arial"/>
                <w:b/>
                <w:bCs/>
                <w:color w:val="000000"/>
                <w:sz w:val="20"/>
                <w:szCs w:val="20"/>
              </w:rPr>
              <w:t>% of National</w:t>
            </w:r>
          </w:p>
        </w:tc>
        <w:tc>
          <w:tcPr>
            <w:tcW w:w="1724"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20"/>
                <w:szCs w:val="20"/>
              </w:rPr>
            </w:pPr>
            <w:r>
              <w:rPr>
                <w:rFonts w:ascii="Arial" w:hAnsi="Arial" w:cs="Arial"/>
                <w:b/>
                <w:bCs/>
                <w:color w:val="000000"/>
                <w:sz w:val="20"/>
                <w:szCs w:val="20"/>
              </w:rPr>
              <w:t>2015/16</w:t>
            </w:r>
          </w:p>
        </w:tc>
        <w:tc>
          <w:tcPr>
            <w:tcW w:w="1725"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20"/>
                <w:szCs w:val="20"/>
              </w:rPr>
            </w:pPr>
            <w:r>
              <w:rPr>
                <w:rFonts w:ascii="Arial" w:hAnsi="Arial" w:cs="Arial"/>
                <w:b/>
                <w:bCs/>
                <w:color w:val="000000"/>
                <w:sz w:val="20"/>
                <w:szCs w:val="20"/>
              </w:rPr>
              <w:t>% of National</w:t>
            </w:r>
          </w:p>
        </w:tc>
        <w:tc>
          <w:tcPr>
            <w:tcW w:w="1725"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20"/>
                <w:szCs w:val="20"/>
              </w:rPr>
            </w:pPr>
            <w:r>
              <w:rPr>
                <w:rFonts w:ascii="Arial" w:hAnsi="Arial" w:cs="Arial"/>
                <w:b/>
                <w:bCs/>
                <w:color w:val="000000"/>
                <w:sz w:val="20"/>
                <w:szCs w:val="20"/>
              </w:rPr>
              <w:t>Progress</w:t>
            </w:r>
          </w:p>
        </w:tc>
      </w:tr>
      <w:tr w:rsidR="0036785A" w:rsidTr="0036785A">
        <w:trPr>
          <w:trHeight w:val="397"/>
        </w:trPr>
        <w:tc>
          <w:tcPr>
            <w:tcW w:w="1724" w:type="dxa"/>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20"/>
                <w:szCs w:val="20"/>
              </w:rPr>
            </w:pPr>
            <w:r>
              <w:rPr>
                <w:rFonts w:ascii="Arial" w:hAnsi="Arial" w:cs="Arial"/>
                <w:b/>
                <w:bCs/>
                <w:color w:val="000000"/>
                <w:sz w:val="20"/>
                <w:szCs w:val="20"/>
              </w:rPr>
              <w:t>HIGH COURT</w:t>
            </w:r>
          </w:p>
        </w:tc>
        <w:tc>
          <w:tcPr>
            <w:tcW w:w="1725" w:type="dxa"/>
            <w:shd w:val="clear" w:color="auto" w:fill="F2F2F2"/>
            <w:noWrap/>
            <w:tcMar>
              <w:top w:w="0" w:type="dxa"/>
              <w:left w:w="108" w:type="dxa"/>
              <w:bottom w:w="0" w:type="dxa"/>
              <w:right w:w="108" w:type="dxa"/>
            </w:tcMar>
            <w:hideMark/>
          </w:tcPr>
          <w:p w:rsidR="0036785A" w:rsidRDefault="0036785A">
            <w:pPr>
              <w:jc w:val="center"/>
              <w:rPr>
                <w:rFonts w:ascii="Arial" w:hAnsi="Arial" w:cs="Arial"/>
                <w:color w:val="000000"/>
                <w:sz w:val="20"/>
                <w:szCs w:val="20"/>
              </w:rPr>
            </w:pPr>
            <w:r>
              <w:rPr>
                <w:rFonts w:ascii="Arial" w:hAnsi="Arial" w:cs="Arial"/>
                <w:color w:val="000000"/>
                <w:sz w:val="20"/>
                <w:szCs w:val="20"/>
              </w:rPr>
              <w:t>216</w:t>
            </w:r>
          </w:p>
        </w:tc>
        <w:tc>
          <w:tcPr>
            <w:tcW w:w="1725" w:type="dxa"/>
            <w:shd w:val="clear" w:color="auto" w:fill="F2F2F2"/>
            <w:noWrap/>
            <w:tcMar>
              <w:top w:w="0" w:type="dxa"/>
              <w:left w:w="108" w:type="dxa"/>
              <w:bottom w:w="0" w:type="dxa"/>
              <w:right w:w="108" w:type="dxa"/>
            </w:tcMar>
            <w:hideMark/>
          </w:tcPr>
          <w:p w:rsidR="0036785A" w:rsidRDefault="0036785A">
            <w:pPr>
              <w:jc w:val="center"/>
              <w:rPr>
                <w:rFonts w:ascii="Arial" w:hAnsi="Arial" w:cs="Arial"/>
                <w:color w:val="000000"/>
                <w:sz w:val="20"/>
                <w:szCs w:val="20"/>
              </w:rPr>
            </w:pPr>
            <w:r>
              <w:rPr>
                <w:rFonts w:ascii="Arial" w:hAnsi="Arial" w:cs="Arial"/>
                <w:color w:val="000000"/>
                <w:sz w:val="20"/>
                <w:szCs w:val="20"/>
              </w:rPr>
              <w:t>0,8%</w:t>
            </w:r>
          </w:p>
        </w:tc>
        <w:tc>
          <w:tcPr>
            <w:tcW w:w="1724" w:type="dxa"/>
            <w:shd w:val="clear" w:color="auto" w:fill="F2F2F2"/>
            <w:noWrap/>
            <w:tcMar>
              <w:top w:w="0" w:type="dxa"/>
              <w:left w:w="108" w:type="dxa"/>
              <w:bottom w:w="0" w:type="dxa"/>
              <w:right w:w="108" w:type="dxa"/>
            </w:tcMar>
            <w:hideMark/>
          </w:tcPr>
          <w:p w:rsidR="0036785A" w:rsidRDefault="0036785A">
            <w:pPr>
              <w:jc w:val="center"/>
              <w:rPr>
                <w:rFonts w:ascii="Arial" w:hAnsi="Arial" w:cs="Arial"/>
                <w:color w:val="000000"/>
                <w:sz w:val="20"/>
                <w:szCs w:val="20"/>
              </w:rPr>
            </w:pPr>
            <w:r>
              <w:rPr>
                <w:rFonts w:ascii="Arial" w:hAnsi="Arial" w:cs="Arial"/>
                <w:color w:val="000000"/>
                <w:sz w:val="20"/>
                <w:szCs w:val="20"/>
              </w:rPr>
              <w:t>190</w:t>
            </w:r>
          </w:p>
        </w:tc>
        <w:tc>
          <w:tcPr>
            <w:tcW w:w="1725" w:type="dxa"/>
            <w:shd w:val="clear" w:color="auto" w:fill="F2F2F2"/>
            <w:noWrap/>
            <w:tcMar>
              <w:top w:w="0" w:type="dxa"/>
              <w:left w:w="108" w:type="dxa"/>
              <w:bottom w:w="0" w:type="dxa"/>
              <w:right w:w="108" w:type="dxa"/>
            </w:tcMar>
            <w:hideMark/>
          </w:tcPr>
          <w:p w:rsidR="0036785A" w:rsidRDefault="0036785A">
            <w:pPr>
              <w:jc w:val="center"/>
              <w:rPr>
                <w:rFonts w:ascii="Arial" w:hAnsi="Arial" w:cs="Arial"/>
                <w:color w:val="000000"/>
                <w:sz w:val="20"/>
                <w:szCs w:val="20"/>
              </w:rPr>
            </w:pPr>
            <w:r>
              <w:rPr>
                <w:rFonts w:ascii="Arial" w:hAnsi="Arial" w:cs="Arial"/>
                <w:color w:val="000000"/>
                <w:sz w:val="20"/>
                <w:szCs w:val="20"/>
              </w:rPr>
              <w:t>0,7%</w:t>
            </w:r>
          </w:p>
        </w:tc>
        <w:tc>
          <w:tcPr>
            <w:tcW w:w="1725" w:type="dxa"/>
            <w:shd w:val="clear" w:color="auto" w:fill="F2F2F2"/>
            <w:noWrap/>
            <w:tcMar>
              <w:top w:w="0" w:type="dxa"/>
              <w:left w:w="108" w:type="dxa"/>
              <w:bottom w:w="0" w:type="dxa"/>
              <w:right w:w="108" w:type="dxa"/>
            </w:tcMar>
            <w:hideMark/>
          </w:tcPr>
          <w:p w:rsidR="0036785A" w:rsidRDefault="0036785A">
            <w:pPr>
              <w:jc w:val="center"/>
              <w:rPr>
                <w:rFonts w:ascii="Arial" w:hAnsi="Arial" w:cs="Arial"/>
                <w:color w:val="000000"/>
                <w:sz w:val="20"/>
                <w:szCs w:val="20"/>
              </w:rPr>
            </w:pPr>
            <w:r>
              <w:rPr>
                <w:rFonts w:ascii="Arial" w:hAnsi="Arial" w:cs="Arial"/>
                <w:color w:val="000000"/>
                <w:sz w:val="20"/>
                <w:szCs w:val="20"/>
              </w:rPr>
              <w:t>-12,0%</w:t>
            </w:r>
          </w:p>
        </w:tc>
      </w:tr>
      <w:tr w:rsidR="0036785A" w:rsidTr="0036785A">
        <w:trPr>
          <w:trHeight w:val="397"/>
        </w:trPr>
        <w:tc>
          <w:tcPr>
            <w:tcW w:w="1724" w:type="dxa"/>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20"/>
                <w:szCs w:val="20"/>
              </w:rPr>
            </w:pPr>
            <w:r>
              <w:rPr>
                <w:rFonts w:ascii="Arial" w:hAnsi="Arial" w:cs="Arial"/>
                <w:b/>
                <w:bCs/>
                <w:color w:val="000000"/>
                <w:sz w:val="20"/>
                <w:szCs w:val="20"/>
              </w:rPr>
              <w:t>REGIONAL COURT</w:t>
            </w:r>
          </w:p>
        </w:tc>
        <w:tc>
          <w:tcPr>
            <w:tcW w:w="1725" w:type="dxa"/>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14 106</w:t>
            </w:r>
          </w:p>
        </w:tc>
        <w:tc>
          <w:tcPr>
            <w:tcW w:w="1725" w:type="dxa"/>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52,5%</w:t>
            </w:r>
          </w:p>
        </w:tc>
        <w:tc>
          <w:tcPr>
            <w:tcW w:w="1724" w:type="dxa"/>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14 485</w:t>
            </w:r>
          </w:p>
        </w:tc>
        <w:tc>
          <w:tcPr>
            <w:tcW w:w="1725" w:type="dxa"/>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48,9%</w:t>
            </w:r>
          </w:p>
        </w:tc>
        <w:tc>
          <w:tcPr>
            <w:tcW w:w="1725" w:type="dxa"/>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2,7%</w:t>
            </w:r>
          </w:p>
        </w:tc>
      </w:tr>
      <w:tr w:rsidR="0036785A" w:rsidTr="0036785A">
        <w:trPr>
          <w:trHeight w:val="397"/>
        </w:trPr>
        <w:tc>
          <w:tcPr>
            <w:tcW w:w="1724" w:type="dxa"/>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20"/>
                <w:szCs w:val="20"/>
              </w:rPr>
            </w:pPr>
            <w:r>
              <w:rPr>
                <w:rFonts w:ascii="Arial" w:hAnsi="Arial" w:cs="Arial"/>
                <w:b/>
                <w:bCs/>
                <w:color w:val="000000"/>
                <w:sz w:val="20"/>
                <w:szCs w:val="20"/>
              </w:rPr>
              <w:t>DISTRICT COURT</w:t>
            </w:r>
          </w:p>
        </w:tc>
        <w:tc>
          <w:tcPr>
            <w:tcW w:w="1725" w:type="dxa"/>
            <w:shd w:val="clear" w:color="auto" w:fill="F2F2F2"/>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12 572</w:t>
            </w:r>
          </w:p>
        </w:tc>
        <w:tc>
          <w:tcPr>
            <w:tcW w:w="1725" w:type="dxa"/>
            <w:shd w:val="clear" w:color="auto" w:fill="F2F2F2"/>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46,7%</w:t>
            </w:r>
          </w:p>
        </w:tc>
        <w:tc>
          <w:tcPr>
            <w:tcW w:w="1724" w:type="dxa"/>
            <w:shd w:val="clear" w:color="auto" w:fill="F2F2F2"/>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14 924</w:t>
            </w:r>
          </w:p>
        </w:tc>
        <w:tc>
          <w:tcPr>
            <w:tcW w:w="1725" w:type="dxa"/>
            <w:shd w:val="clear" w:color="auto" w:fill="F2F2F2"/>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50,4%</w:t>
            </w:r>
          </w:p>
        </w:tc>
        <w:tc>
          <w:tcPr>
            <w:tcW w:w="1725" w:type="dxa"/>
            <w:shd w:val="clear" w:color="auto" w:fill="F2F2F2"/>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highlight w:val="yellow"/>
              </w:rPr>
              <w:t>18,7%</w:t>
            </w:r>
          </w:p>
        </w:tc>
      </w:tr>
      <w:tr w:rsidR="0036785A" w:rsidTr="0036785A">
        <w:trPr>
          <w:trHeight w:val="397"/>
        </w:trPr>
        <w:tc>
          <w:tcPr>
            <w:tcW w:w="1724" w:type="dxa"/>
            <w:tcBorders>
              <w:top w:val="nil"/>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20"/>
                <w:szCs w:val="20"/>
              </w:rPr>
            </w:pPr>
            <w:r>
              <w:rPr>
                <w:rFonts w:ascii="Arial" w:hAnsi="Arial" w:cs="Arial"/>
                <w:b/>
                <w:bCs/>
                <w:color w:val="000000"/>
                <w:sz w:val="20"/>
                <w:szCs w:val="20"/>
              </w:rPr>
              <w:t>ALL</w:t>
            </w:r>
          </w:p>
        </w:tc>
        <w:tc>
          <w:tcPr>
            <w:tcW w:w="1725"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26 894</w:t>
            </w:r>
          </w:p>
        </w:tc>
        <w:tc>
          <w:tcPr>
            <w:tcW w:w="1725"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100,0%</w:t>
            </w:r>
          </w:p>
        </w:tc>
        <w:tc>
          <w:tcPr>
            <w:tcW w:w="1724"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29 599</w:t>
            </w:r>
          </w:p>
        </w:tc>
        <w:tc>
          <w:tcPr>
            <w:tcW w:w="1725"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100,0%</w:t>
            </w:r>
          </w:p>
        </w:tc>
        <w:tc>
          <w:tcPr>
            <w:tcW w:w="1725"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ind w:hanging="23"/>
              <w:jc w:val="center"/>
              <w:rPr>
                <w:rFonts w:ascii="Arial" w:hAnsi="Arial" w:cs="Arial"/>
                <w:color w:val="000000"/>
                <w:sz w:val="20"/>
                <w:szCs w:val="20"/>
              </w:rPr>
            </w:pPr>
            <w:r>
              <w:rPr>
                <w:rFonts w:ascii="Arial" w:hAnsi="Arial" w:cs="Arial"/>
                <w:color w:val="000000"/>
                <w:sz w:val="20"/>
                <w:szCs w:val="20"/>
              </w:rPr>
              <w:t>10,1%</w:t>
            </w:r>
          </w:p>
        </w:tc>
      </w:tr>
    </w:tbl>
    <w:p w:rsidR="0036785A" w:rsidRPr="0036785A" w:rsidRDefault="0036785A" w:rsidP="0036785A">
      <w:pPr>
        <w:jc w:val="both"/>
        <w:rPr>
          <w:rFonts w:ascii="Arial" w:eastAsia="Calibri" w:hAnsi="Arial" w:cs="Arial"/>
          <w:sz w:val="20"/>
          <w:szCs w:val="20"/>
        </w:rPr>
      </w:pPr>
    </w:p>
    <w:p w:rsidR="0036785A" w:rsidRDefault="0036785A" w:rsidP="0036785A">
      <w:pPr>
        <w:spacing w:line="360" w:lineRule="auto"/>
        <w:jc w:val="both"/>
        <w:rPr>
          <w:rFonts w:ascii="Arial" w:hAnsi="Arial" w:cs="Arial"/>
          <w:sz w:val="22"/>
          <w:szCs w:val="22"/>
        </w:rPr>
      </w:pPr>
      <w:r>
        <w:rPr>
          <w:rFonts w:ascii="Arial" w:hAnsi="Arial" w:cs="Arial"/>
        </w:rPr>
        <w:t xml:space="preserve">A corresponding increase of 7.9% is noted in the number of outstanding cases carried forward to the next financial year. However, notwithstanding the reduction in backlog cases the number of outstanding cases increased in the high courts. An increase of 11.6% is also noted in the district courts. The regional courts indicated a reduction in outstanding roll. </w:t>
      </w:r>
    </w:p>
    <w:p w:rsidR="0036785A" w:rsidRDefault="0036785A" w:rsidP="0036785A">
      <w:pPr>
        <w:pStyle w:val="Caption"/>
        <w:rPr>
          <w:lang w:val="en-GB"/>
        </w:rPr>
      </w:pPr>
      <w:bookmarkStart w:id="3" w:name="_Toc449354445"/>
      <w:bookmarkStart w:id="4" w:name="_Toc450635338"/>
      <w:bookmarkEnd w:id="3"/>
      <w:r>
        <w:rPr>
          <w:lang w:val="en-GB"/>
        </w:rPr>
        <w:t xml:space="preserve">Table </w:t>
      </w:r>
      <w:bookmarkEnd w:id="4"/>
      <w:r>
        <w:rPr>
          <w:lang w:val="en-GB"/>
        </w:rPr>
        <w:t>19: Progress on outstanding cases</w:t>
      </w:r>
    </w:p>
    <w:tbl>
      <w:tblPr>
        <w:tblW w:w="12930" w:type="dxa"/>
        <w:tblCellMar>
          <w:left w:w="0" w:type="dxa"/>
          <w:right w:w="0" w:type="dxa"/>
        </w:tblCellMar>
        <w:tblLook w:val="04A0"/>
      </w:tblPr>
      <w:tblGrid>
        <w:gridCol w:w="2155"/>
        <w:gridCol w:w="2156"/>
        <w:gridCol w:w="2155"/>
        <w:gridCol w:w="2154"/>
        <w:gridCol w:w="2155"/>
        <w:gridCol w:w="2155"/>
      </w:tblGrid>
      <w:tr w:rsidR="0036785A" w:rsidTr="0036785A">
        <w:trPr>
          <w:trHeight w:val="397"/>
        </w:trPr>
        <w:tc>
          <w:tcPr>
            <w:tcW w:w="1724"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18"/>
                <w:szCs w:val="18"/>
              </w:rPr>
            </w:pPr>
            <w:r>
              <w:rPr>
                <w:rFonts w:ascii="Arial" w:hAnsi="Arial" w:cs="Arial"/>
                <w:b/>
                <w:bCs/>
                <w:color w:val="000000"/>
                <w:sz w:val="18"/>
                <w:szCs w:val="18"/>
              </w:rPr>
              <w:t>FORUM</w:t>
            </w:r>
          </w:p>
        </w:tc>
        <w:tc>
          <w:tcPr>
            <w:tcW w:w="1725"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18"/>
                <w:szCs w:val="18"/>
              </w:rPr>
            </w:pPr>
            <w:r>
              <w:rPr>
                <w:rFonts w:ascii="Arial" w:hAnsi="Arial" w:cs="Arial"/>
                <w:b/>
                <w:bCs/>
                <w:color w:val="000000"/>
                <w:sz w:val="18"/>
                <w:szCs w:val="18"/>
              </w:rPr>
              <w:t>2014/15</w:t>
            </w:r>
          </w:p>
        </w:tc>
        <w:tc>
          <w:tcPr>
            <w:tcW w:w="1725"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18"/>
                <w:szCs w:val="18"/>
              </w:rPr>
            </w:pPr>
            <w:r>
              <w:rPr>
                <w:rFonts w:ascii="Arial" w:hAnsi="Arial" w:cs="Arial"/>
                <w:b/>
                <w:bCs/>
                <w:color w:val="000000"/>
                <w:sz w:val="18"/>
                <w:szCs w:val="18"/>
              </w:rPr>
              <w:t>% of National</w:t>
            </w:r>
          </w:p>
        </w:tc>
        <w:tc>
          <w:tcPr>
            <w:tcW w:w="1724"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18"/>
                <w:szCs w:val="18"/>
              </w:rPr>
            </w:pPr>
            <w:r>
              <w:rPr>
                <w:rFonts w:ascii="Arial" w:hAnsi="Arial" w:cs="Arial"/>
                <w:b/>
                <w:bCs/>
                <w:color w:val="000000"/>
                <w:sz w:val="18"/>
                <w:szCs w:val="18"/>
              </w:rPr>
              <w:t>2015/16</w:t>
            </w:r>
          </w:p>
        </w:tc>
        <w:tc>
          <w:tcPr>
            <w:tcW w:w="1725"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18"/>
                <w:szCs w:val="18"/>
              </w:rPr>
            </w:pPr>
            <w:r>
              <w:rPr>
                <w:rFonts w:ascii="Arial" w:hAnsi="Arial" w:cs="Arial"/>
                <w:b/>
                <w:bCs/>
                <w:color w:val="000000"/>
                <w:sz w:val="18"/>
                <w:szCs w:val="18"/>
              </w:rPr>
              <w:t>% of National</w:t>
            </w:r>
          </w:p>
        </w:tc>
        <w:tc>
          <w:tcPr>
            <w:tcW w:w="1725"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jc w:val="center"/>
              <w:rPr>
                <w:rFonts w:ascii="Arial" w:hAnsi="Arial" w:cs="Arial"/>
                <w:b/>
                <w:bCs/>
                <w:color w:val="000000"/>
                <w:sz w:val="18"/>
                <w:szCs w:val="18"/>
              </w:rPr>
            </w:pPr>
            <w:r>
              <w:rPr>
                <w:rFonts w:ascii="Arial" w:hAnsi="Arial" w:cs="Arial"/>
                <w:b/>
                <w:bCs/>
                <w:color w:val="000000"/>
                <w:sz w:val="18"/>
                <w:szCs w:val="18"/>
              </w:rPr>
              <w:t>Progress</w:t>
            </w:r>
          </w:p>
        </w:tc>
      </w:tr>
      <w:tr w:rsidR="0036785A" w:rsidTr="0036785A">
        <w:trPr>
          <w:trHeight w:val="397"/>
        </w:trPr>
        <w:tc>
          <w:tcPr>
            <w:tcW w:w="1724" w:type="dxa"/>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18"/>
                <w:szCs w:val="18"/>
              </w:rPr>
            </w:pPr>
            <w:r>
              <w:rPr>
                <w:rFonts w:ascii="Arial" w:hAnsi="Arial" w:cs="Arial"/>
                <w:b/>
                <w:bCs/>
                <w:color w:val="000000"/>
                <w:sz w:val="18"/>
                <w:szCs w:val="18"/>
              </w:rPr>
              <w:t>HIGH COURT</w:t>
            </w:r>
          </w:p>
        </w:tc>
        <w:tc>
          <w:tcPr>
            <w:tcW w:w="1725"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   817</w:t>
            </w:r>
          </w:p>
        </w:tc>
        <w:tc>
          <w:tcPr>
            <w:tcW w:w="1725"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0,5%</w:t>
            </w:r>
          </w:p>
        </w:tc>
        <w:tc>
          <w:tcPr>
            <w:tcW w:w="1724"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892</w:t>
            </w:r>
          </w:p>
        </w:tc>
        <w:tc>
          <w:tcPr>
            <w:tcW w:w="1725"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0,5%</w:t>
            </w:r>
          </w:p>
        </w:tc>
        <w:tc>
          <w:tcPr>
            <w:tcW w:w="1725"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9,2%</w:t>
            </w:r>
          </w:p>
        </w:tc>
      </w:tr>
      <w:tr w:rsidR="0036785A" w:rsidTr="0036785A">
        <w:trPr>
          <w:trHeight w:val="397"/>
        </w:trPr>
        <w:tc>
          <w:tcPr>
            <w:tcW w:w="1724" w:type="dxa"/>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18"/>
                <w:szCs w:val="18"/>
              </w:rPr>
            </w:pPr>
            <w:r>
              <w:rPr>
                <w:rFonts w:ascii="Arial" w:hAnsi="Arial" w:cs="Arial"/>
                <w:b/>
                <w:bCs/>
                <w:color w:val="000000"/>
                <w:sz w:val="18"/>
                <w:szCs w:val="18"/>
              </w:rPr>
              <w:t>REGIONAL COURT</w:t>
            </w:r>
          </w:p>
        </w:tc>
        <w:tc>
          <w:tcPr>
            <w:tcW w:w="1725" w:type="dxa"/>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41 895</w:t>
            </w:r>
          </w:p>
        </w:tc>
        <w:tc>
          <w:tcPr>
            <w:tcW w:w="1725" w:type="dxa"/>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24,4%</w:t>
            </w:r>
          </w:p>
        </w:tc>
        <w:tc>
          <w:tcPr>
            <w:tcW w:w="1724" w:type="dxa"/>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40 291</w:t>
            </w:r>
          </w:p>
        </w:tc>
        <w:tc>
          <w:tcPr>
            <w:tcW w:w="1725" w:type="dxa"/>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21,8%</w:t>
            </w:r>
          </w:p>
        </w:tc>
        <w:tc>
          <w:tcPr>
            <w:tcW w:w="1725" w:type="dxa"/>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-3,8%</w:t>
            </w:r>
          </w:p>
        </w:tc>
      </w:tr>
      <w:tr w:rsidR="0036785A" w:rsidTr="0036785A">
        <w:trPr>
          <w:trHeight w:val="397"/>
        </w:trPr>
        <w:tc>
          <w:tcPr>
            <w:tcW w:w="1724" w:type="dxa"/>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18"/>
                <w:szCs w:val="18"/>
              </w:rPr>
            </w:pPr>
            <w:r>
              <w:rPr>
                <w:rFonts w:ascii="Arial" w:hAnsi="Arial" w:cs="Arial"/>
                <w:b/>
                <w:bCs/>
                <w:color w:val="000000"/>
                <w:sz w:val="18"/>
                <w:szCs w:val="18"/>
              </w:rPr>
              <w:t>DISTRICT COURT</w:t>
            </w:r>
          </w:p>
        </w:tc>
        <w:tc>
          <w:tcPr>
            <w:tcW w:w="1725"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128 996</w:t>
            </w:r>
          </w:p>
        </w:tc>
        <w:tc>
          <w:tcPr>
            <w:tcW w:w="1725"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75,1%</w:t>
            </w:r>
          </w:p>
        </w:tc>
        <w:tc>
          <w:tcPr>
            <w:tcW w:w="1724"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144 019</w:t>
            </w:r>
          </w:p>
        </w:tc>
        <w:tc>
          <w:tcPr>
            <w:tcW w:w="1725"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77,8%</w:t>
            </w:r>
          </w:p>
        </w:tc>
        <w:tc>
          <w:tcPr>
            <w:tcW w:w="1725" w:type="dxa"/>
            <w:shd w:val="clear" w:color="auto" w:fill="F2F2F2"/>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11,6%</w:t>
            </w:r>
          </w:p>
        </w:tc>
      </w:tr>
      <w:tr w:rsidR="0036785A" w:rsidTr="0036785A">
        <w:trPr>
          <w:trHeight w:val="397"/>
        </w:trPr>
        <w:tc>
          <w:tcPr>
            <w:tcW w:w="1724" w:type="dxa"/>
            <w:tcBorders>
              <w:top w:val="nil"/>
              <w:left w:val="nil"/>
              <w:bottom w:val="single" w:sz="8" w:space="0" w:color="000000"/>
              <w:right w:val="nil"/>
            </w:tcBorders>
            <w:shd w:val="clear" w:color="auto" w:fill="7F7F7F"/>
            <w:noWrap/>
            <w:tcMar>
              <w:top w:w="0" w:type="dxa"/>
              <w:left w:w="108" w:type="dxa"/>
              <w:bottom w:w="0" w:type="dxa"/>
              <w:right w:w="108" w:type="dxa"/>
            </w:tcMar>
            <w:hideMark/>
          </w:tcPr>
          <w:p w:rsidR="0036785A" w:rsidRDefault="0036785A">
            <w:pPr>
              <w:rPr>
                <w:rFonts w:ascii="Arial" w:hAnsi="Arial" w:cs="Arial"/>
                <w:b/>
                <w:bCs/>
                <w:color w:val="000000"/>
                <w:sz w:val="18"/>
                <w:szCs w:val="18"/>
              </w:rPr>
            </w:pPr>
            <w:r>
              <w:rPr>
                <w:rFonts w:ascii="Arial" w:hAnsi="Arial" w:cs="Arial"/>
                <w:b/>
                <w:bCs/>
                <w:color w:val="000000"/>
                <w:sz w:val="18"/>
                <w:szCs w:val="18"/>
              </w:rPr>
              <w:t>ALL</w:t>
            </w:r>
          </w:p>
        </w:tc>
        <w:tc>
          <w:tcPr>
            <w:tcW w:w="1725"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171 708</w:t>
            </w:r>
          </w:p>
        </w:tc>
        <w:tc>
          <w:tcPr>
            <w:tcW w:w="1725"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100,0%</w:t>
            </w:r>
          </w:p>
        </w:tc>
        <w:tc>
          <w:tcPr>
            <w:tcW w:w="1724"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185 202</w:t>
            </w:r>
          </w:p>
        </w:tc>
        <w:tc>
          <w:tcPr>
            <w:tcW w:w="1725"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100,0%</w:t>
            </w:r>
          </w:p>
        </w:tc>
        <w:tc>
          <w:tcPr>
            <w:tcW w:w="1725"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36785A" w:rsidRDefault="0036785A">
            <w:pPr>
              <w:spacing w:after="100" w:afterAutospacing="1"/>
              <w:jc w:val="center"/>
              <w:rPr>
                <w:rFonts w:ascii="Arial" w:hAnsi="Arial" w:cs="Arial"/>
                <w:color w:val="000000"/>
                <w:sz w:val="20"/>
                <w:szCs w:val="20"/>
              </w:rPr>
            </w:pPr>
            <w:r>
              <w:rPr>
                <w:rFonts w:ascii="Arial" w:hAnsi="Arial" w:cs="Arial"/>
                <w:color w:val="000000"/>
                <w:sz w:val="20"/>
                <w:szCs w:val="20"/>
              </w:rPr>
              <w:t>7,9%</w:t>
            </w:r>
          </w:p>
        </w:tc>
      </w:tr>
    </w:tbl>
    <w:p w:rsidR="0036785A" w:rsidRDefault="0036785A" w:rsidP="0036785A">
      <w:pPr>
        <w:pStyle w:val="Heading6"/>
        <w:rPr>
          <w:rFonts w:ascii="Arial" w:eastAsia="Times New Roman" w:hAnsi="Arial" w:cs="Arial"/>
          <w:lang w:val="en-GB"/>
        </w:rPr>
      </w:pPr>
    </w:p>
    <w:p w:rsidR="0036785A" w:rsidRDefault="0036785A" w:rsidP="0036785A">
      <w:pPr>
        <w:pStyle w:val="Heading6"/>
        <w:rPr>
          <w:rFonts w:ascii="Arial" w:eastAsia="Times New Roman" w:hAnsi="Arial" w:cs="Arial"/>
          <w:b/>
          <w:bCs/>
          <w:lang w:val="en-GB"/>
        </w:rPr>
      </w:pPr>
      <w:r>
        <w:rPr>
          <w:rFonts w:ascii="Arial" w:eastAsia="Times New Roman" w:hAnsi="Arial" w:cs="Arial"/>
          <w:b/>
          <w:bCs/>
          <w:lang w:val="en-GB"/>
        </w:rPr>
        <w:t>Case backlogs and backlog project</w:t>
      </w:r>
    </w:p>
    <w:p w:rsidR="0036785A" w:rsidRPr="0036785A" w:rsidRDefault="0036785A" w:rsidP="0036785A">
      <w:pPr>
        <w:spacing w:before="240" w:line="360" w:lineRule="auto"/>
        <w:jc w:val="both"/>
        <w:rPr>
          <w:rFonts w:ascii="Arial" w:eastAsia="Calibri" w:hAnsi="Arial" w:cs="Arial"/>
        </w:rPr>
      </w:pPr>
      <w:r>
        <w:rPr>
          <w:rFonts w:ascii="Arial" w:hAnsi="Arial" w:cs="Arial"/>
        </w:rPr>
        <w:t>The Justice, Crime Prevention and Security Cluster (JCPS) departments have introduced various interventions to deal with the case backlogs. In this regard a specific Case Backlog Reduction Project was implemented in November 2006 with the regional courts as the main focus area. Backlog cases are viewed as all those cases longer than 6 months on the district court roll, 9 months on the regional court roll and 12 months on the High Court roll. The Case Backlog Reduction Project assists regional and district court centres in identified priority areas country-wide that require focused attention. The project’s aim is to ensure that the inflow of new cases is balanced by the number of matters concluded and that matters are finalised more speedily.</w:t>
      </w:r>
    </w:p>
    <w:p w:rsidR="0036785A" w:rsidRDefault="0036785A" w:rsidP="0036785A">
      <w:pPr>
        <w:spacing w:before="240" w:line="360" w:lineRule="auto"/>
        <w:jc w:val="both"/>
        <w:rPr>
          <w:rFonts w:ascii="Arial" w:hAnsi="Arial" w:cs="Arial"/>
        </w:rPr>
      </w:pPr>
    </w:p>
    <w:p w:rsidR="0036785A" w:rsidRDefault="0036785A" w:rsidP="0036785A">
      <w:pPr>
        <w:spacing w:line="360" w:lineRule="auto"/>
        <w:jc w:val="both"/>
        <w:rPr>
          <w:rFonts w:ascii="Arial" w:hAnsi="Arial" w:cs="Arial"/>
        </w:rPr>
      </w:pPr>
      <w:r>
        <w:rPr>
          <w:rFonts w:ascii="Arial" w:hAnsi="Arial" w:cs="Arial"/>
        </w:rPr>
        <w:lastRenderedPageBreak/>
        <w:t xml:space="preserve">This intervention led to the establishment of more than 50 additional regional backlog courts, through the appointment of additional regional court magistrates, clerks, prosecutors, interpreters and legal aid lawyers on contract. The number has fluctuated since then as courts were closed or shifted to other areas once the backlog was dealt with. After an investigation into the performance of the district courts, several high priority district backlog courts were also established since April 2010 and these courts have made a tremendous contribution to the overall success of the project. </w:t>
      </w:r>
    </w:p>
    <w:p w:rsidR="0036785A" w:rsidRDefault="0036785A" w:rsidP="0036785A">
      <w:pPr>
        <w:spacing w:line="360" w:lineRule="auto"/>
        <w:jc w:val="both"/>
        <w:rPr>
          <w:rFonts w:ascii="Arial" w:hAnsi="Arial" w:cs="Arial"/>
        </w:rPr>
      </w:pPr>
      <w:r>
        <w:rPr>
          <w:rFonts w:ascii="Arial" w:hAnsi="Arial" w:cs="Arial"/>
        </w:rPr>
        <w:t xml:space="preserve">The Department of Justice and Constitutional Development has consequently converted some backlog courts to permanent courts. The remaining courts will continue until they are converted, closed or shifted to another area. </w:t>
      </w:r>
    </w:p>
    <w:p w:rsidR="0036785A" w:rsidRDefault="0036785A" w:rsidP="0036785A">
      <w:pPr>
        <w:spacing w:line="360" w:lineRule="auto"/>
        <w:rPr>
          <w:rFonts w:ascii="Arial" w:hAnsi="Arial" w:cs="Arial"/>
        </w:rPr>
      </w:pPr>
    </w:p>
    <w:p w:rsidR="0036785A" w:rsidRDefault="0036785A" w:rsidP="0036785A">
      <w:pPr>
        <w:spacing w:line="360" w:lineRule="auto"/>
        <w:jc w:val="both"/>
        <w:rPr>
          <w:rFonts w:ascii="Arial" w:hAnsi="Arial" w:cs="Arial"/>
        </w:rPr>
      </w:pPr>
      <w:r>
        <w:rPr>
          <w:rFonts w:ascii="Arial" w:hAnsi="Arial" w:cs="Arial"/>
        </w:rPr>
        <w:t xml:space="preserve">During 2015/16, there were 27 approved regional and 25 district backlog courts. The district backlog courts excelled during 2015/16 by finalising a total of 14 711 cases comprising 10 525 verdict cases with a conviction rate of 95.3% and </w:t>
      </w:r>
      <w:r>
        <w:rPr>
          <w:rFonts w:ascii="Arial" w:hAnsi="Arial" w:cs="Arial"/>
          <w:lang w:eastAsia="en-ZA"/>
        </w:rPr>
        <w:t xml:space="preserve">4 186 </w:t>
      </w:r>
      <w:r>
        <w:rPr>
          <w:rFonts w:ascii="Arial" w:hAnsi="Arial" w:cs="Arial"/>
        </w:rPr>
        <w:t xml:space="preserve">ADRM cases. This represents a finalisation rate of 3.8 cases per court, per day. The regional backlog courts finalised a total of 2 421 cases comprising 2 363 verdict cases with a conviction rate of 75.2% and </w:t>
      </w:r>
      <w:r>
        <w:rPr>
          <w:rFonts w:ascii="Arial" w:hAnsi="Arial" w:cs="Arial"/>
          <w:lang w:eastAsia="en-ZA"/>
        </w:rPr>
        <w:t xml:space="preserve">58 </w:t>
      </w:r>
      <w:r>
        <w:rPr>
          <w:rFonts w:ascii="Arial" w:hAnsi="Arial" w:cs="Arial"/>
        </w:rPr>
        <w:t>ADRM cases. This represents a finalisation rate of 0.6 cases per court, per day.</w:t>
      </w:r>
    </w:p>
    <w:p w:rsidR="0036785A" w:rsidRDefault="0036785A" w:rsidP="0036785A">
      <w:pPr>
        <w:spacing w:line="360" w:lineRule="auto"/>
        <w:jc w:val="both"/>
        <w:rPr>
          <w:rFonts w:ascii="Arial" w:hAnsi="Arial" w:cs="Arial"/>
        </w:rPr>
      </w:pPr>
    </w:p>
    <w:p w:rsidR="0036785A" w:rsidRDefault="0036785A" w:rsidP="0036785A">
      <w:pPr>
        <w:spacing w:line="360" w:lineRule="auto"/>
        <w:jc w:val="both"/>
        <w:rPr>
          <w:rFonts w:ascii="Arial" w:hAnsi="Arial" w:cs="Arial"/>
        </w:rPr>
      </w:pPr>
      <w:r>
        <w:rPr>
          <w:rFonts w:ascii="Arial" w:hAnsi="Arial" w:cs="Arial"/>
        </w:rPr>
        <w:t>The increase number of trials finalised in the high court had a positive impact on the reduction of percentage backlog cases, from 26.4% during 2014/15 to 21.3% in 2015/16.</w:t>
      </w:r>
    </w:p>
    <w:p w:rsidR="0036785A" w:rsidRDefault="0036785A" w:rsidP="0036785A">
      <w:pPr>
        <w:rPr>
          <w:rFonts w:ascii="Calibri" w:hAnsi="Calibri"/>
          <w:sz w:val="22"/>
          <w:szCs w:val="22"/>
          <w:lang w:val="en-GB"/>
        </w:rPr>
      </w:pPr>
    </w:p>
    <w:p w:rsidR="00983C6B" w:rsidRDefault="00983C6B" w:rsidP="006D7E71">
      <w:pPr>
        <w:spacing w:before="120" w:after="120" w:line="360" w:lineRule="auto"/>
        <w:rPr>
          <w:rFonts w:ascii="Arial" w:hAnsi="Arial" w:cs="Arial"/>
          <w:b/>
        </w:rPr>
      </w:pPr>
    </w:p>
    <w:p w:rsidR="00983C6B" w:rsidRPr="00FE64CB" w:rsidRDefault="00983C6B" w:rsidP="00983C6B">
      <w:pPr>
        <w:rPr>
          <w:rFonts w:ascii="Arial" w:hAnsi="Arial" w:cs="Arial"/>
          <w:b/>
        </w:rPr>
      </w:pPr>
    </w:p>
    <w:sectPr w:rsidR="00983C6B" w:rsidRPr="00FE64CB" w:rsidSect="00A6432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92" w:rsidRDefault="00E31B92" w:rsidP="00913892">
      <w:r>
        <w:separator/>
      </w:r>
    </w:p>
  </w:endnote>
  <w:endnote w:type="continuationSeparator" w:id="0">
    <w:p w:rsidR="00E31B92" w:rsidRDefault="00E31B9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340204" w:rsidRPr="00340204">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92" w:rsidRDefault="00E31B92" w:rsidP="00913892">
      <w:r>
        <w:separator/>
      </w:r>
    </w:p>
  </w:footnote>
  <w:footnote w:type="continuationSeparator" w:id="0">
    <w:p w:rsidR="00E31B92" w:rsidRDefault="00E31B9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0"/>
  </w:num>
  <w:num w:numId="5">
    <w:abstractNumId w:val="25"/>
  </w:num>
  <w:num w:numId="6">
    <w:abstractNumId w:val="3"/>
  </w:num>
  <w:num w:numId="7">
    <w:abstractNumId w:val="30"/>
  </w:num>
  <w:num w:numId="8">
    <w:abstractNumId w:val="10"/>
  </w:num>
  <w:num w:numId="9">
    <w:abstractNumId w:val="15"/>
  </w:num>
  <w:num w:numId="10">
    <w:abstractNumId w:val="26"/>
  </w:num>
  <w:num w:numId="11">
    <w:abstractNumId w:val="2"/>
  </w:num>
  <w:num w:numId="12">
    <w:abstractNumId w:val="18"/>
  </w:num>
  <w:num w:numId="13">
    <w:abstractNumId w:val="13"/>
  </w:num>
  <w:num w:numId="14">
    <w:abstractNumId w:val="16"/>
  </w:num>
  <w:num w:numId="15">
    <w:abstractNumId w:val="9"/>
  </w:num>
  <w:num w:numId="16">
    <w:abstractNumId w:val="14"/>
  </w:num>
  <w:num w:numId="17">
    <w:abstractNumId w:val="28"/>
  </w:num>
  <w:num w:numId="18">
    <w:abstractNumId w:val="19"/>
  </w:num>
  <w:num w:numId="19">
    <w:abstractNumId w:val="17"/>
  </w:num>
  <w:num w:numId="20">
    <w:abstractNumId w:val="27"/>
  </w:num>
  <w:num w:numId="21">
    <w:abstractNumId w:val="22"/>
  </w:num>
  <w:num w:numId="22">
    <w:abstractNumId w:val="23"/>
  </w:num>
  <w:num w:numId="23">
    <w:abstractNumId w:val="8"/>
  </w:num>
  <w:num w:numId="24">
    <w:abstractNumId w:val="24"/>
  </w:num>
  <w:num w:numId="25">
    <w:abstractNumId w:val="5"/>
  </w:num>
  <w:num w:numId="26">
    <w:abstractNumId w:val="7"/>
  </w:num>
  <w:num w:numId="27">
    <w:abstractNumId w:val="21"/>
  </w:num>
  <w:num w:numId="28">
    <w:abstractNumId w:val="29"/>
  </w:num>
  <w:num w:numId="29">
    <w:abstractNumId w:val="6"/>
  </w:num>
  <w:num w:numId="30">
    <w:abstractNumId w:val="11"/>
  </w:num>
  <w:num w:numId="3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80B73"/>
    <w:rsid w:val="000A3DA5"/>
    <w:rsid w:val="000B5E45"/>
    <w:rsid w:val="000C01D4"/>
    <w:rsid w:val="000D4F5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269FD"/>
    <w:rsid w:val="00262ACE"/>
    <w:rsid w:val="00281574"/>
    <w:rsid w:val="00285452"/>
    <w:rsid w:val="002857B6"/>
    <w:rsid w:val="00286311"/>
    <w:rsid w:val="002A0DB1"/>
    <w:rsid w:val="002B2B31"/>
    <w:rsid w:val="002B6D18"/>
    <w:rsid w:val="002C719B"/>
    <w:rsid w:val="002D5BF7"/>
    <w:rsid w:val="002D7BBD"/>
    <w:rsid w:val="002E7253"/>
    <w:rsid w:val="0031652F"/>
    <w:rsid w:val="00322BA4"/>
    <w:rsid w:val="00340204"/>
    <w:rsid w:val="00346942"/>
    <w:rsid w:val="0036785A"/>
    <w:rsid w:val="0037187E"/>
    <w:rsid w:val="003767D7"/>
    <w:rsid w:val="00380DA8"/>
    <w:rsid w:val="00381B64"/>
    <w:rsid w:val="00386CA6"/>
    <w:rsid w:val="003A64C5"/>
    <w:rsid w:val="003B0260"/>
    <w:rsid w:val="003C43F4"/>
    <w:rsid w:val="003C4D22"/>
    <w:rsid w:val="003C5B62"/>
    <w:rsid w:val="003D526D"/>
    <w:rsid w:val="003D780B"/>
    <w:rsid w:val="003E0CEE"/>
    <w:rsid w:val="003F5064"/>
    <w:rsid w:val="003F6245"/>
    <w:rsid w:val="004031F8"/>
    <w:rsid w:val="00404433"/>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F6FEC"/>
    <w:rsid w:val="00515B6A"/>
    <w:rsid w:val="005160F8"/>
    <w:rsid w:val="0054211D"/>
    <w:rsid w:val="005601A1"/>
    <w:rsid w:val="00572F09"/>
    <w:rsid w:val="005772C1"/>
    <w:rsid w:val="005835BC"/>
    <w:rsid w:val="005856A7"/>
    <w:rsid w:val="00585897"/>
    <w:rsid w:val="005B6209"/>
    <w:rsid w:val="005C5B0C"/>
    <w:rsid w:val="005E365A"/>
    <w:rsid w:val="005E6608"/>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C1863"/>
    <w:rsid w:val="007E7201"/>
    <w:rsid w:val="007F2B0B"/>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8762D"/>
    <w:rsid w:val="009A755B"/>
    <w:rsid w:val="009B0CAB"/>
    <w:rsid w:val="009C2262"/>
    <w:rsid w:val="009D4F78"/>
    <w:rsid w:val="009E0268"/>
    <w:rsid w:val="009E1C96"/>
    <w:rsid w:val="009F17AE"/>
    <w:rsid w:val="009F1B70"/>
    <w:rsid w:val="009F2D5C"/>
    <w:rsid w:val="009F2F2E"/>
    <w:rsid w:val="00A42301"/>
    <w:rsid w:val="00A4711C"/>
    <w:rsid w:val="00A64328"/>
    <w:rsid w:val="00A6432A"/>
    <w:rsid w:val="00A66729"/>
    <w:rsid w:val="00A7136B"/>
    <w:rsid w:val="00A7404E"/>
    <w:rsid w:val="00AA2AB0"/>
    <w:rsid w:val="00AA39AC"/>
    <w:rsid w:val="00AD7B7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E53FE"/>
    <w:rsid w:val="00BF0672"/>
    <w:rsid w:val="00BF0809"/>
    <w:rsid w:val="00BF738D"/>
    <w:rsid w:val="00C15423"/>
    <w:rsid w:val="00C31057"/>
    <w:rsid w:val="00C331B7"/>
    <w:rsid w:val="00C360AA"/>
    <w:rsid w:val="00C3772F"/>
    <w:rsid w:val="00C41A50"/>
    <w:rsid w:val="00C75ACC"/>
    <w:rsid w:val="00C770B6"/>
    <w:rsid w:val="00C81ABF"/>
    <w:rsid w:val="00C8589D"/>
    <w:rsid w:val="00C877EE"/>
    <w:rsid w:val="00C904B6"/>
    <w:rsid w:val="00C90886"/>
    <w:rsid w:val="00C95F59"/>
    <w:rsid w:val="00CB2778"/>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0ADD"/>
    <w:rsid w:val="00DA495F"/>
    <w:rsid w:val="00DB11B2"/>
    <w:rsid w:val="00DC255C"/>
    <w:rsid w:val="00DC592F"/>
    <w:rsid w:val="00DC7CDA"/>
    <w:rsid w:val="00DE1284"/>
    <w:rsid w:val="00DF2638"/>
    <w:rsid w:val="00E1080E"/>
    <w:rsid w:val="00E17F42"/>
    <w:rsid w:val="00E215B1"/>
    <w:rsid w:val="00E31B92"/>
    <w:rsid w:val="00E44AFC"/>
    <w:rsid w:val="00E55AFD"/>
    <w:rsid w:val="00E86F9A"/>
    <w:rsid w:val="00EA4D5C"/>
    <w:rsid w:val="00EA53D2"/>
    <w:rsid w:val="00EA7A64"/>
    <w:rsid w:val="00EB54FA"/>
    <w:rsid w:val="00EB5C9A"/>
    <w:rsid w:val="00EC5379"/>
    <w:rsid w:val="00ED072E"/>
    <w:rsid w:val="00ED2E9A"/>
    <w:rsid w:val="00ED5CF6"/>
    <w:rsid w:val="00EE1177"/>
    <w:rsid w:val="00EF081C"/>
    <w:rsid w:val="00EF32C9"/>
    <w:rsid w:val="00F20EAD"/>
    <w:rsid w:val="00F220CD"/>
    <w:rsid w:val="00F26B86"/>
    <w:rsid w:val="00F31805"/>
    <w:rsid w:val="00F36003"/>
    <w:rsid w:val="00F400F2"/>
    <w:rsid w:val="00F475A6"/>
    <w:rsid w:val="00F55893"/>
    <w:rsid w:val="00F63F57"/>
    <w:rsid w:val="00F646C9"/>
    <w:rsid w:val="00F739F4"/>
    <w:rsid w:val="00F845F2"/>
    <w:rsid w:val="00F86709"/>
    <w:rsid w:val="00F918C4"/>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4">
    <w:name w:val="heading 4"/>
    <w:basedOn w:val="Normal"/>
    <w:link w:val="Heading4Char"/>
    <w:uiPriority w:val="9"/>
    <w:semiHidden/>
    <w:unhideWhenUsed/>
    <w:qFormat/>
    <w:locked/>
    <w:rsid w:val="0036785A"/>
    <w:pPr>
      <w:keepNext/>
      <w:spacing w:before="40" w:line="252" w:lineRule="auto"/>
      <w:outlineLvl w:val="3"/>
    </w:pPr>
    <w:rPr>
      <w:rFonts w:ascii="Calibri Light" w:eastAsia="Calibri" w:hAnsi="Calibri Light"/>
      <w:i/>
      <w:iCs/>
      <w:color w:val="404040"/>
      <w:sz w:val="22"/>
      <w:szCs w:val="22"/>
      <w:lang w:val="en-ZA"/>
    </w:rPr>
  </w:style>
  <w:style w:type="paragraph" w:styleId="Heading6">
    <w:name w:val="heading 6"/>
    <w:basedOn w:val="Normal"/>
    <w:link w:val="Heading6Char"/>
    <w:uiPriority w:val="9"/>
    <w:semiHidden/>
    <w:unhideWhenUsed/>
    <w:qFormat/>
    <w:locked/>
    <w:rsid w:val="0036785A"/>
    <w:pPr>
      <w:keepNext/>
      <w:spacing w:before="40" w:line="252" w:lineRule="auto"/>
      <w:outlineLvl w:val="5"/>
    </w:pPr>
    <w:rPr>
      <w:rFonts w:ascii="Calibri Light" w:eastAsia="Calibri" w:hAnsi="Calibri Light"/>
      <w:sz w:val="22"/>
      <w:szCs w:val="22"/>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customStyle="1" w:styleId="Heading4Char">
    <w:name w:val="Heading 4 Char"/>
    <w:link w:val="Heading4"/>
    <w:uiPriority w:val="9"/>
    <w:semiHidden/>
    <w:rsid w:val="0036785A"/>
    <w:rPr>
      <w:rFonts w:ascii="Calibri Light" w:hAnsi="Calibri Light"/>
      <w:i/>
      <w:iCs/>
      <w:color w:val="404040"/>
      <w:sz w:val="22"/>
      <w:szCs w:val="22"/>
      <w:lang w:eastAsia="en-US"/>
    </w:rPr>
  </w:style>
  <w:style w:type="character" w:customStyle="1" w:styleId="Heading6Char">
    <w:name w:val="Heading 6 Char"/>
    <w:link w:val="Heading6"/>
    <w:uiPriority w:val="9"/>
    <w:semiHidden/>
    <w:rsid w:val="0036785A"/>
    <w:rPr>
      <w:rFonts w:ascii="Calibri Light" w:hAnsi="Calibri Light"/>
      <w:sz w:val="22"/>
      <w:szCs w:val="22"/>
      <w:lang w:eastAsia="en-US"/>
    </w:rPr>
  </w:style>
  <w:style w:type="paragraph" w:styleId="Caption">
    <w:name w:val="caption"/>
    <w:basedOn w:val="Normal"/>
    <w:uiPriority w:val="35"/>
    <w:semiHidden/>
    <w:unhideWhenUsed/>
    <w:qFormat/>
    <w:locked/>
    <w:rsid w:val="0036785A"/>
    <w:pPr>
      <w:spacing w:after="200"/>
    </w:pPr>
    <w:rPr>
      <w:rFonts w:ascii="Calibri" w:eastAsia="Calibri" w:hAnsi="Calibri"/>
      <w:i/>
      <w:iCs/>
      <w:color w:val="44546A"/>
      <w:sz w:val="18"/>
      <w:szCs w:val="18"/>
      <w:lang w:val="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998313227">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2C2380-3863-4DE3-B215-DA90CEE3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2016-12-06T12:32:00Z</dcterms:created>
  <dcterms:modified xsi:type="dcterms:W3CDTF">2016-12-06T12:32:00Z</dcterms:modified>
</cp:coreProperties>
</file>