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A431CD" w:rsidP="00FE2E75">
      <w:pPr>
        <w:spacing w:line="360" w:lineRule="auto"/>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FE2E75" w:rsidRDefault="00FE2E75" w:rsidP="00FE2E75">
      <w:pPr>
        <w:spacing w:after="200" w:line="276" w:lineRule="auto"/>
        <w:rPr>
          <w:rFonts w:ascii="Arial" w:eastAsia="Calibri" w:hAnsi="Arial" w:cs="Arial"/>
          <w:b/>
          <w:bCs/>
          <w:lang w:val="en-ZA"/>
        </w:rPr>
      </w:pPr>
    </w:p>
    <w:p w:rsidR="002E7253" w:rsidRPr="00CE3521" w:rsidRDefault="002E7253" w:rsidP="00FE2E75">
      <w:pPr>
        <w:spacing w:after="200" w:line="276" w:lineRule="auto"/>
        <w:rPr>
          <w:rFonts w:ascii="Arial" w:eastAsia="Calibri" w:hAnsi="Arial" w:cs="Arial"/>
          <w:b/>
          <w:bCs/>
          <w:lang w:val="en-GB"/>
        </w:rPr>
      </w:pPr>
      <w:r w:rsidRPr="00CE3521">
        <w:rPr>
          <w:rFonts w:ascii="Arial" w:eastAsia="Calibri" w:hAnsi="Arial" w:cs="Arial"/>
          <w:b/>
          <w:bCs/>
          <w:lang w:val="en-ZA"/>
        </w:rPr>
        <w:t>NATIONAL ASSEMBLY</w:t>
      </w:r>
    </w:p>
    <w:p w:rsidR="002E7253" w:rsidRPr="00CE3521" w:rsidRDefault="00FE2E75" w:rsidP="00FE2E7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CE3521">
        <w:rPr>
          <w:rFonts w:ascii="Arial" w:eastAsia="Calibri" w:hAnsi="Arial" w:cs="Arial"/>
          <w:b/>
          <w:bCs/>
          <w:lang w:val="en-GB"/>
        </w:rPr>
        <w:t>FOR WRITTEN REPLY</w:t>
      </w:r>
    </w:p>
    <w:p w:rsidR="002E7253" w:rsidRPr="00CE3521" w:rsidRDefault="00FE2E75" w:rsidP="00FE2E7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CE3521">
        <w:rPr>
          <w:rFonts w:ascii="Arial" w:eastAsia="Calibri" w:hAnsi="Arial" w:cs="Arial"/>
          <w:b/>
          <w:bCs/>
          <w:lang w:val="en-GB"/>
        </w:rPr>
        <w:t xml:space="preserve">QUESTION </w:t>
      </w:r>
      <w:r>
        <w:rPr>
          <w:rFonts w:ascii="Arial" w:eastAsia="Calibri" w:hAnsi="Arial" w:cs="Arial"/>
          <w:b/>
          <w:bCs/>
          <w:lang w:val="en-GB"/>
        </w:rPr>
        <w:t xml:space="preserve">NO: </w:t>
      </w:r>
      <w:r w:rsidR="004926BD" w:rsidRPr="00CE3521">
        <w:rPr>
          <w:rFonts w:ascii="Arial" w:eastAsia="Calibri" w:hAnsi="Arial" w:cs="Arial"/>
          <w:b/>
          <w:bCs/>
          <w:lang w:val="en-GB"/>
        </w:rPr>
        <w:t>2</w:t>
      </w:r>
      <w:r w:rsidR="003B0260" w:rsidRPr="00CE3521">
        <w:rPr>
          <w:rFonts w:ascii="Arial" w:eastAsia="Calibri" w:hAnsi="Arial" w:cs="Arial"/>
          <w:b/>
          <w:bCs/>
          <w:lang w:val="en-GB"/>
        </w:rPr>
        <w:t>3</w:t>
      </w:r>
      <w:r w:rsidR="000B5E45" w:rsidRPr="00CE3521">
        <w:rPr>
          <w:rFonts w:ascii="Arial" w:eastAsia="Calibri" w:hAnsi="Arial" w:cs="Arial"/>
          <w:b/>
          <w:bCs/>
          <w:lang w:val="en-GB"/>
        </w:rPr>
        <w:t>4</w:t>
      </w:r>
      <w:r w:rsidR="00F400F2" w:rsidRPr="00CE3521">
        <w:rPr>
          <w:rFonts w:ascii="Arial" w:eastAsia="Calibri" w:hAnsi="Arial" w:cs="Arial"/>
          <w:b/>
          <w:bCs/>
          <w:lang w:val="en-GB"/>
        </w:rPr>
        <w:t>3</w:t>
      </w:r>
    </w:p>
    <w:p w:rsidR="002E7253" w:rsidRPr="00FE2E75" w:rsidRDefault="002E7253" w:rsidP="00FE2E75">
      <w:pPr>
        <w:spacing w:after="200" w:line="276" w:lineRule="auto"/>
        <w:rPr>
          <w:rFonts w:ascii="Arial" w:eastAsia="Calibri" w:hAnsi="Arial" w:cs="Arial"/>
          <w:b/>
          <w:bCs/>
          <w:lang w:val="en-GB"/>
        </w:rPr>
      </w:pPr>
      <w:r w:rsidRPr="00FE2E75">
        <w:rPr>
          <w:rFonts w:ascii="Arial" w:eastAsia="Calibri" w:hAnsi="Arial" w:cs="Arial"/>
          <w:b/>
          <w:bCs/>
          <w:lang w:val="en-GB"/>
        </w:rPr>
        <w:t xml:space="preserve">DATE OF QUESTION: </w:t>
      </w:r>
      <w:r w:rsidR="005601A1" w:rsidRPr="00FE2E75">
        <w:rPr>
          <w:rFonts w:ascii="Arial" w:eastAsia="Calibri" w:hAnsi="Arial" w:cs="Arial"/>
          <w:b/>
          <w:bCs/>
          <w:lang w:val="en-GB"/>
        </w:rPr>
        <w:t>2</w:t>
      </w:r>
      <w:r w:rsidR="00B021CE" w:rsidRPr="00FE2E75">
        <w:rPr>
          <w:rFonts w:ascii="Arial" w:eastAsia="Calibri" w:hAnsi="Arial" w:cs="Arial"/>
          <w:b/>
          <w:bCs/>
          <w:lang w:val="en-GB"/>
        </w:rPr>
        <w:t>8</w:t>
      </w:r>
      <w:r w:rsidR="00FE2E75" w:rsidRPr="00FE2E75">
        <w:rPr>
          <w:rFonts w:ascii="Arial" w:eastAsia="Calibri" w:hAnsi="Arial" w:cs="Arial"/>
          <w:b/>
          <w:bCs/>
          <w:lang w:val="en-GB"/>
        </w:rPr>
        <w:t xml:space="preserve"> OCTOBER </w:t>
      </w:r>
      <w:r w:rsidRPr="00FE2E75">
        <w:rPr>
          <w:rFonts w:ascii="Arial" w:eastAsia="Calibri" w:hAnsi="Arial" w:cs="Arial"/>
          <w:b/>
          <w:bCs/>
          <w:lang w:val="en-GB"/>
        </w:rPr>
        <w:t>2016</w:t>
      </w:r>
    </w:p>
    <w:p w:rsidR="00D463C8" w:rsidRPr="00FE2E75" w:rsidRDefault="00791471" w:rsidP="00FE2E75">
      <w:pPr>
        <w:spacing w:before="100" w:beforeAutospacing="1" w:after="100" w:afterAutospacing="1" w:line="276" w:lineRule="auto"/>
        <w:outlineLvl w:val="0"/>
        <w:rPr>
          <w:rFonts w:ascii="Arial" w:eastAsia="Calibri" w:hAnsi="Arial" w:cs="Arial"/>
          <w:b/>
          <w:bCs/>
          <w:lang w:val="en-GB"/>
        </w:rPr>
      </w:pPr>
      <w:r w:rsidRPr="00FE2E75">
        <w:rPr>
          <w:rFonts w:ascii="Arial" w:eastAsia="Calibri" w:hAnsi="Arial" w:cs="Arial"/>
          <w:b/>
          <w:bCs/>
          <w:lang w:val="en-GB"/>
        </w:rPr>
        <w:t xml:space="preserve">DATE OF SUBMISSION: </w:t>
      </w:r>
      <w:r w:rsidR="00B021CE" w:rsidRPr="00FE2E75">
        <w:rPr>
          <w:rFonts w:ascii="Arial" w:eastAsia="Calibri" w:hAnsi="Arial" w:cs="Arial"/>
          <w:b/>
          <w:bCs/>
          <w:lang w:val="en-GB"/>
        </w:rPr>
        <w:t>11</w:t>
      </w:r>
      <w:r w:rsidR="00281574" w:rsidRPr="00FE2E75">
        <w:rPr>
          <w:rFonts w:ascii="Arial" w:eastAsia="Calibri" w:hAnsi="Arial" w:cs="Arial"/>
          <w:b/>
          <w:bCs/>
          <w:lang w:val="en-GB"/>
        </w:rPr>
        <w:t xml:space="preserve"> </w:t>
      </w:r>
      <w:r w:rsidR="005601A1" w:rsidRPr="00FE2E75">
        <w:rPr>
          <w:rFonts w:ascii="Arial" w:eastAsia="Calibri" w:hAnsi="Arial" w:cs="Arial"/>
          <w:b/>
          <w:bCs/>
          <w:lang w:val="en-GB"/>
        </w:rPr>
        <w:t>NOVEM</w:t>
      </w:r>
      <w:r w:rsidRPr="00FE2E75">
        <w:rPr>
          <w:rFonts w:ascii="Arial" w:eastAsia="Calibri" w:hAnsi="Arial" w:cs="Arial"/>
          <w:b/>
          <w:bCs/>
          <w:lang w:val="en-GB"/>
        </w:rPr>
        <w:t>BER</w:t>
      </w:r>
      <w:r w:rsidR="009F2D5C" w:rsidRPr="00FE2E75">
        <w:rPr>
          <w:rFonts w:ascii="Arial" w:eastAsia="Calibri" w:hAnsi="Arial" w:cs="Arial"/>
          <w:b/>
          <w:bCs/>
          <w:lang w:val="en-GB"/>
        </w:rPr>
        <w:t xml:space="preserve"> </w:t>
      </w:r>
      <w:r w:rsidR="00D463C8" w:rsidRPr="00FE2E75">
        <w:rPr>
          <w:rFonts w:ascii="Arial" w:eastAsia="Calibri" w:hAnsi="Arial" w:cs="Arial"/>
          <w:b/>
          <w:bCs/>
          <w:lang w:val="en-GB"/>
        </w:rPr>
        <w:t>2016</w:t>
      </w:r>
    </w:p>
    <w:p w:rsidR="00F400F2" w:rsidRPr="00CE3521" w:rsidRDefault="00F400F2" w:rsidP="00F400F2">
      <w:pPr>
        <w:spacing w:before="120" w:after="120" w:line="360" w:lineRule="auto"/>
        <w:jc w:val="both"/>
        <w:rPr>
          <w:rFonts w:ascii="Arial" w:hAnsi="Arial" w:cs="Arial"/>
          <w:b/>
          <w:bCs/>
          <w:lang w:val="en-ZA"/>
        </w:rPr>
      </w:pPr>
      <w:r w:rsidRPr="00CE3521">
        <w:rPr>
          <w:rFonts w:ascii="Arial" w:hAnsi="Arial" w:cs="Arial"/>
          <w:b/>
          <w:bCs/>
          <w:lang w:val="en-ZA"/>
        </w:rPr>
        <w:t>Ms N I Tarabella Marchesi (DA) to ask the Minister of Justice and Correctional Services:</w:t>
      </w:r>
    </w:p>
    <w:p w:rsidR="00F400F2" w:rsidRPr="00CE3521" w:rsidRDefault="00F400F2" w:rsidP="00F400F2">
      <w:pPr>
        <w:spacing w:before="120" w:after="120" w:line="360" w:lineRule="auto"/>
        <w:jc w:val="both"/>
        <w:rPr>
          <w:rFonts w:ascii="Arial" w:hAnsi="Arial" w:cs="Arial"/>
          <w:lang w:val="en-ZA"/>
        </w:rPr>
      </w:pPr>
      <w:r w:rsidRPr="00CE3521">
        <w:rPr>
          <w:rFonts w:ascii="Arial" w:hAnsi="Arial" w:cs="Arial"/>
          <w:lang w:val="en-ZA"/>
        </w:rPr>
        <w:t>Whether any measures have been put in place to address the decline of 11,4% of National Prosecuting Authority cases finalised with court verdicts from 2010 to date; if not, why not; if so, what are the relevant details?</w:t>
      </w:r>
      <w:r w:rsidRPr="00CE3521">
        <w:rPr>
          <w:rFonts w:ascii="Arial" w:hAnsi="Arial" w:cs="Arial"/>
          <w:lang w:val="en-ZA"/>
        </w:rPr>
        <w:tab/>
      </w:r>
    </w:p>
    <w:p w:rsidR="00F400F2" w:rsidRPr="00CE3521" w:rsidRDefault="00F400F2" w:rsidP="00F400F2">
      <w:pPr>
        <w:spacing w:before="120" w:after="120" w:line="360" w:lineRule="auto"/>
        <w:ind w:left="360"/>
        <w:jc w:val="right"/>
        <w:rPr>
          <w:rFonts w:ascii="Arial" w:hAnsi="Arial" w:cs="Arial"/>
          <w:b/>
          <w:lang w:val="en-ZA"/>
        </w:rPr>
      </w:pPr>
      <w:r w:rsidRPr="00CE3521">
        <w:rPr>
          <w:rFonts w:ascii="Arial" w:hAnsi="Arial" w:cs="Arial"/>
          <w:b/>
          <w:lang w:val="en-ZA"/>
        </w:rPr>
        <w:t>NW2678E</w:t>
      </w:r>
    </w:p>
    <w:p w:rsidR="00961583" w:rsidRPr="00CE3521" w:rsidRDefault="00961583" w:rsidP="00F400F2">
      <w:pPr>
        <w:spacing w:before="120" w:after="120" w:line="360" w:lineRule="auto"/>
        <w:ind w:left="360"/>
        <w:jc w:val="right"/>
        <w:rPr>
          <w:rFonts w:ascii="Arial" w:hAnsi="Arial" w:cs="Arial"/>
          <w:b/>
          <w:lang w:val="en-ZA"/>
        </w:rPr>
      </w:pPr>
    </w:p>
    <w:p w:rsidR="003A1F95" w:rsidRPr="00CE3521" w:rsidRDefault="003A1F95" w:rsidP="00F400F2">
      <w:pPr>
        <w:spacing w:before="120" w:after="120" w:line="360" w:lineRule="auto"/>
        <w:ind w:left="360"/>
        <w:jc w:val="right"/>
        <w:rPr>
          <w:rFonts w:ascii="Arial" w:hAnsi="Arial" w:cs="Arial"/>
          <w:b/>
          <w:lang w:val="en-ZA"/>
        </w:rPr>
      </w:pPr>
    </w:p>
    <w:p w:rsidR="003A1F95" w:rsidRPr="00CE3521" w:rsidRDefault="003A1F95" w:rsidP="00F400F2">
      <w:pPr>
        <w:spacing w:before="120" w:after="120" w:line="360" w:lineRule="auto"/>
        <w:ind w:left="360"/>
        <w:jc w:val="right"/>
        <w:rPr>
          <w:rFonts w:ascii="Arial" w:hAnsi="Arial" w:cs="Arial"/>
          <w:b/>
          <w:lang w:val="en-ZA"/>
        </w:rPr>
      </w:pPr>
    </w:p>
    <w:p w:rsidR="005B08BB" w:rsidRPr="00CE3521" w:rsidRDefault="00CE3521" w:rsidP="00961583">
      <w:pPr>
        <w:spacing w:before="240" w:line="360" w:lineRule="auto"/>
        <w:jc w:val="both"/>
        <w:rPr>
          <w:rFonts w:ascii="Arial" w:hAnsi="Arial" w:cs="Arial"/>
          <w:b/>
        </w:rPr>
      </w:pPr>
      <w:r>
        <w:rPr>
          <w:rFonts w:ascii="Arial" w:hAnsi="Arial" w:cs="Arial"/>
          <w:b/>
        </w:rPr>
        <w:br w:type="page"/>
      </w:r>
      <w:r w:rsidR="005B08BB" w:rsidRPr="00CE3521">
        <w:rPr>
          <w:rFonts w:ascii="Arial" w:hAnsi="Arial" w:cs="Arial"/>
          <w:b/>
        </w:rPr>
        <w:lastRenderedPageBreak/>
        <w:t>REPLY</w:t>
      </w:r>
      <w:r w:rsidR="00762C18" w:rsidRPr="00CE3521">
        <w:rPr>
          <w:rFonts w:ascii="Arial" w:hAnsi="Arial" w:cs="Arial"/>
          <w:b/>
        </w:rPr>
        <w:t>:</w:t>
      </w:r>
    </w:p>
    <w:p w:rsidR="00961583" w:rsidRPr="00CE3521" w:rsidRDefault="00762C18" w:rsidP="00961583">
      <w:pPr>
        <w:spacing w:before="240" w:line="360" w:lineRule="auto"/>
        <w:jc w:val="both"/>
        <w:rPr>
          <w:rFonts w:ascii="Arial" w:hAnsi="Arial" w:cs="Arial"/>
          <w:lang w:val="en-GB"/>
        </w:rPr>
      </w:pPr>
      <w:r w:rsidRPr="00CE3521">
        <w:rPr>
          <w:rFonts w:ascii="Arial" w:hAnsi="Arial" w:cs="Arial"/>
        </w:rPr>
        <w:t xml:space="preserve">I have been informed that in the NPA’s </w:t>
      </w:r>
      <w:r w:rsidR="00961583" w:rsidRPr="00CE3521">
        <w:rPr>
          <w:rFonts w:ascii="Arial" w:hAnsi="Arial" w:cs="Arial"/>
        </w:rPr>
        <w:t>annual report</w:t>
      </w:r>
      <w:r w:rsidRPr="00CE3521">
        <w:rPr>
          <w:rFonts w:ascii="Arial" w:hAnsi="Arial" w:cs="Arial"/>
        </w:rPr>
        <w:t xml:space="preserve">, </w:t>
      </w:r>
      <w:r w:rsidR="00961583" w:rsidRPr="00CE3521">
        <w:rPr>
          <w:rFonts w:ascii="Arial" w:hAnsi="Arial" w:cs="Arial"/>
          <w:lang w:val="en-GB"/>
        </w:rPr>
        <w:t>the year-on-year decline in the achievements of this indicator</w:t>
      </w:r>
      <w:r w:rsidRPr="00CE3521">
        <w:rPr>
          <w:rFonts w:ascii="Arial" w:hAnsi="Arial" w:cs="Arial"/>
          <w:lang w:val="en-GB"/>
        </w:rPr>
        <w:t>, was indicated</w:t>
      </w:r>
      <w:r w:rsidR="00961583" w:rsidRPr="00CE3521">
        <w:rPr>
          <w:rFonts w:ascii="Arial" w:hAnsi="Arial" w:cs="Arial"/>
          <w:lang w:val="en-GB"/>
        </w:rPr>
        <w:t xml:space="preserve">. A comparative analysis with the achievements during previous years indicates a gradual decline of 11.4% from 2009/10 in the number of cases finalised with a verdict. The decline may be correlated with a similar decline of 17.2% in the influx of new cases and a 12.8% reduction in court hours. </w:t>
      </w:r>
    </w:p>
    <w:p w:rsidR="00961583" w:rsidRPr="00CE3521" w:rsidRDefault="00961583" w:rsidP="00961583">
      <w:pPr>
        <w:spacing w:line="360" w:lineRule="auto"/>
        <w:jc w:val="both"/>
        <w:rPr>
          <w:rFonts w:ascii="Arial" w:hAnsi="Arial" w:cs="Arial"/>
          <w:lang w:val="en-GB"/>
        </w:rPr>
      </w:pPr>
      <w:r w:rsidRPr="00CE3521">
        <w:rPr>
          <w:rFonts w:ascii="Arial" w:hAnsi="Arial" w:cs="Arial"/>
          <w:lang w:val="en-GB"/>
        </w:rPr>
        <w:t xml:space="preserve">The courts finalised 310 850 verdict cases with a conviction rate of 93% (289 245 convictions). Compared to the previous year, 8 299 (2.6%) fewer cases were finalised with a verdict. The high conviction rate illustrates the focus on high quality prosecutions, notwithstanding the reduction in cases finalised. The progress per forum during 2015/16 </w:t>
      </w:r>
      <w:r w:rsidR="00CE3521">
        <w:rPr>
          <w:rFonts w:ascii="Arial" w:hAnsi="Arial" w:cs="Arial"/>
          <w:lang w:val="en-GB"/>
        </w:rPr>
        <w:t>is indicated in the table below:</w:t>
      </w:r>
      <w:r w:rsidRPr="00CE3521">
        <w:rPr>
          <w:rFonts w:ascii="Arial" w:hAnsi="Arial" w:cs="Arial"/>
          <w:lang w:val="en-GB"/>
        </w:rPr>
        <w:t xml:space="preserve"> </w:t>
      </w:r>
    </w:p>
    <w:p w:rsidR="00CE3521" w:rsidRDefault="00CE3521" w:rsidP="00961583">
      <w:pPr>
        <w:pStyle w:val="Caption"/>
        <w:rPr>
          <w:rFonts w:ascii="Arial" w:hAnsi="Arial" w:cs="Arial"/>
          <w:sz w:val="24"/>
          <w:szCs w:val="24"/>
          <w:lang w:val="en-GB"/>
        </w:rPr>
      </w:pPr>
      <w:bookmarkStart w:id="0" w:name="_Toc449354435"/>
      <w:bookmarkStart w:id="1" w:name="_Toc450635327"/>
      <w:bookmarkEnd w:id="0"/>
    </w:p>
    <w:p w:rsidR="00961583" w:rsidRPr="00CE3521" w:rsidRDefault="00961583" w:rsidP="00961583">
      <w:pPr>
        <w:pStyle w:val="Caption"/>
        <w:rPr>
          <w:rFonts w:ascii="Arial" w:hAnsi="Arial" w:cs="Arial"/>
          <w:sz w:val="24"/>
          <w:szCs w:val="24"/>
          <w:lang w:val="en-GB"/>
        </w:rPr>
      </w:pPr>
      <w:r w:rsidRPr="00CE3521">
        <w:rPr>
          <w:rFonts w:ascii="Arial" w:hAnsi="Arial" w:cs="Arial"/>
          <w:sz w:val="24"/>
          <w:szCs w:val="24"/>
          <w:lang w:val="en-GB"/>
        </w:rPr>
        <w:t xml:space="preserve">Table </w:t>
      </w:r>
      <w:bookmarkEnd w:id="1"/>
      <w:r w:rsidRPr="00CE3521">
        <w:rPr>
          <w:rFonts w:ascii="Arial" w:hAnsi="Arial" w:cs="Arial"/>
          <w:sz w:val="24"/>
          <w:szCs w:val="24"/>
          <w:lang w:val="en-GB"/>
        </w:rPr>
        <w:t>6: Progress on cases finalised with a verdict</w:t>
      </w:r>
    </w:p>
    <w:tbl>
      <w:tblPr>
        <w:tblW w:w="0" w:type="auto"/>
        <w:tblCellMar>
          <w:left w:w="0" w:type="dxa"/>
          <w:right w:w="0" w:type="dxa"/>
        </w:tblCellMar>
        <w:tblLook w:val="04A0"/>
      </w:tblPr>
      <w:tblGrid>
        <w:gridCol w:w="1809"/>
        <w:gridCol w:w="1679"/>
        <w:gridCol w:w="1679"/>
        <w:gridCol w:w="1680"/>
        <w:gridCol w:w="1679"/>
        <w:gridCol w:w="1680"/>
      </w:tblGrid>
      <w:tr w:rsidR="00961583" w:rsidRPr="00CE3521" w:rsidTr="00961583">
        <w:trPr>
          <w:trHeight w:val="397"/>
        </w:trPr>
        <w:tc>
          <w:tcPr>
            <w:tcW w:w="1809" w:type="dxa"/>
            <w:tcBorders>
              <w:top w:val="single" w:sz="8" w:space="0" w:color="000000"/>
              <w:left w:val="nil"/>
              <w:bottom w:val="single" w:sz="8" w:space="0" w:color="000000"/>
              <w:right w:val="nil"/>
            </w:tcBorders>
            <w:noWrap/>
            <w:tcMar>
              <w:top w:w="0" w:type="dxa"/>
              <w:left w:w="108" w:type="dxa"/>
              <w:bottom w:w="0" w:type="dxa"/>
              <w:right w:w="108" w:type="dxa"/>
            </w:tcMar>
            <w:hideMark/>
          </w:tcPr>
          <w:p w:rsidR="00961583" w:rsidRPr="00CE3521" w:rsidRDefault="00961583">
            <w:pPr>
              <w:jc w:val="center"/>
              <w:rPr>
                <w:rFonts w:ascii="Arial" w:hAnsi="Arial" w:cs="Arial"/>
                <w:b/>
                <w:bCs/>
                <w:color w:val="000000"/>
                <w:lang w:val="en-ZA"/>
              </w:rPr>
            </w:pPr>
            <w:r w:rsidRPr="00CE3521">
              <w:rPr>
                <w:rFonts w:ascii="Arial" w:hAnsi="Arial" w:cs="Arial"/>
                <w:b/>
                <w:bCs/>
                <w:color w:val="000000"/>
              </w:rPr>
              <w:t>FORUM</w:t>
            </w:r>
          </w:p>
        </w:tc>
        <w:tc>
          <w:tcPr>
            <w:tcW w:w="1679" w:type="dxa"/>
            <w:tcBorders>
              <w:top w:val="single" w:sz="8" w:space="0" w:color="000000"/>
              <w:left w:val="nil"/>
              <w:bottom w:val="single" w:sz="8" w:space="0" w:color="000000"/>
              <w:right w:val="nil"/>
            </w:tcBorders>
            <w:noWrap/>
            <w:tcMar>
              <w:top w:w="0" w:type="dxa"/>
              <w:left w:w="108" w:type="dxa"/>
              <w:bottom w:w="0" w:type="dxa"/>
              <w:right w:w="108" w:type="dxa"/>
            </w:tcMar>
            <w:hideMark/>
          </w:tcPr>
          <w:p w:rsidR="00961583" w:rsidRPr="00CE3521" w:rsidRDefault="00961583">
            <w:pPr>
              <w:jc w:val="center"/>
              <w:rPr>
                <w:rFonts w:ascii="Arial" w:hAnsi="Arial" w:cs="Arial"/>
                <w:b/>
                <w:bCs/>
                <w:color w:val="000000"/>
              </w:rPr>
            </w:pPr>
            <w:r w:rsidRPr="00CE3521">
              <w:rPr>
                <w:rFonts w:ascii="Arial" w:hAnsi="Arial" w:cs="Arial"/>
                <w:b/>
                <w:bCs/>
                <w:color w:val="000000"/>
              </w:rPr>
              <w:t>2014/15</w:t>
            </w:r>
          </w:p>
        </w:tc>
        <w:tc>
          <w:tcPr>
            <w:tcW w:w="1679" w:type="dxa"/>
            <w:tcBorders>
              <w:top w:val="single" w:sz="8" w:space="0" w:color="000000"/>
              <w:left w:val="nil"/>
              <w:bottom w:val="single" w:sz="8" w:space="0" w:color="000000"/>
              <w:right w:val="nil"/>
            </w:tcBorders>
            <w:noWrap/>
            <w:tcMar>
              <w:top w:w="0" w:type="dxa"/>
              <w:left w:w="108" w:type="dxa"/>
              <w:bottom w:w="0" w:type="dxa"/>
              <w:right w:w="108" w:type="dxa"/>
            </w:tcMar>
            <w:hideMark/>
          </w:tcPr>
          <w:p w:rsidR="00961583" w:rsidRPr="00CE3521" w:rsidRDefault="00961583">
            <w:pPr>
              <w:jc w:val="center"/>
              <w:rPr>
                <w:rFonts w:ascii="Arial" w:hAnsi="Arial" w:cs="Arial"/>
                <w:b/>
                <w:bCs/>
                <w:color w:val="000000"/>
              </w:rPr>
            </w:pPr>
            <w:r w:rsidRPr="00CE3521">
              <w:rPr>
                <w:rFonts w:ascii="Arial" w:hAnsi="Arial" w:cs="Arial"/>
                <w:b/>
                <w:bCs/>
                <w:color w:val="000000"/>
              </w:rPr>
              <w:t>% of National</w:t>
            </w:r>
          </w:p>
        </w:tc>
        <w:tc>
          <w:tcPr>
            <w:tcW w:w="1680" w:type="dxa"/>
            <w:tcBorders>
              <w:top w:val="single" w:sz="8" w:space="0" w:color="000000"/>
              <w:left w:val="nil"/>
              <w:bottom w:val="single" w:sz="8" w:space="0" w:color="000000"/>
              <w:right w:val="nil"/>
            </w:tcBorders>
            <w:noWrap/>
            <w:tcMar>
              <w:top w:w="0" w:type="dxa"/>
              <w:left w:w="108" w:type="dxa"/>
              <w:bottom w:w="0" w:type="dxa"/>
              <w:right w:w="108" w:type="dxa"/>
            </w:tcMar>
            <w:hideMark/>
          </w:tcPr>
          <w:p w:rsidR="00961583" w:rsidRPr="00CE3521" w:rsidRDefault="00961583">
            <w:pPr>
              <w:jc w:val="center"/>
              <w:rPr>
                <w:rFonts w:ascii="Arial" w:hAnsi="Arial" w:cs="Arial"/>
                <w:b/>
                <w:bCs/>
                <w:color w:val="000000"/>
              </w:rPr>
            </w:pPr>
            <w:r w:rsidRPr="00CE3521">
              <w:rPr>
                <w:rFonts w:ascii="Arial" w:hAnsi="Arial" w:cs="Arial"/>
                <w:b/>
                <w:bCs/>
                <w:color w:val="000000"/>
              </w:rPr>
              <w:t>2015/16</w:t>
            </w:r>
          </w:p>
        </w:tc>
        <w:tc>
          <w:tcPr>
            <w:tcW w:w="1679" w:type="dxa"/>
            <w:tcBorders>
              <w:top w:val="single" w:sz="8" w:space="0" w:color="000000"/>
              <w:left w:val="nil"/>
              <w:bottom w:val="single" w:sz="8" w:space="0" w:color="000000"/>
              <w:right w:val="nil"/>
            </w:tcBorders>
            <w:noWrap/>
            <w:tcMar>
              <w:top w:w="0" w:type="dxa"/>
              <w:left w:w="108" w:type="dxa"/>
              <w:bottom w:w="0" w:type="dxa"/>
              <w:right w:w="108" w:type="dxa"/>
            </w:tcMar>
            <w:hideMark/>
          </w:tcPr>
          <w:p w:rsidR="00961583" w:rsidRPr="00CE3521" w:rsidRDefault="00961583">
            <w:pPr>
              <w:jc w:val="center"/>
              <w:rPr>
                <w:rFonts w:ascii="Arial" w:hAnsi="Arial" w:cs="Arial"/>
                <w:b/>
                <w:bCs/>
                <w:color w:val="000000"/>
              </w:rPr>
            </w:pPr>
            <w:r w:rsidRPr="00CE3521">
              <w:rPr>
                <w:rFonts w:ascii="Arial" w:hAnsi="Arial" w:cs="Arial"/>
                <w:b/>
                <w:bCs/>
                <w:color w:val="000000"/>
              </w:rPr>
              <w:t>% of National</w:t>
            </w:r>
          </w:p>
        </w:tc>
        <w:tc>
          <w:tcPr>
            <w:tcW w:w="1680" w:type="dxa"/>
            <w:tcBorders>
              <w:top w:val="single" w:sz="8" w:space="0" w:color="000000"/>
              <w:left w:val="nil"/>
              <w:bottom w:val="single" w:sz="8" w:space="0" w:color="000000"/>
              <w:right w:val="nil"/>
            </w:tcBorders>
            <w:noWrap/>
            <w:tcMar>
              <w:top w:w="0" w:type="dxa"/>
              <w:left w:w="108" w:type="dxa"/>
              <w:bottom w:w="0" w:type="dxa"/>
              <w:right w:w="108" w:type="dxa"/>
            </w:tcMar>
            <w:hideMark/>
          </w:tcPr>
          <w:p w:rsidR="00961583" w:rsidRPr="00CE3521" w:rsidRDefault="00961583">
            <w:pPr>
              <w:jc w:val="center"/>
              <w:rPr>
                <w:rFonts w:ascii="Arial" w:hAnsi="Arial" w:cs="Arial"/>
                <w:b/>
                <w:bCs/>
                <w:color w:val="000000"/>
              </w:rPr>
            </w:pPr>
            <w:r w:rsidRPr="00CE3521">
              <w:rPr>
                <w:rFonts w:ascii="Arial" w:hAnsi="Arial" w:cs="Arial"/>
                <w:b/>
                <w:bCs/>
                <w:color w:val="000000"/>
              </w:rPr>
              <w:t>Progress</w:t>
            </w:r>
          </w:p>
        </w:tc>
      </w:tr>
      <w:tr w:rsidR="00961583" w:rsidRPr="00CE3521" w:rsidTr="00961583">
        <w:trPr>
          <w:trHeight w:val="397"/>
        </w:trPr>
        <w:tc>
          <w:tcPr>
            <w:tcW w:w="1809" w:type="dxa"/>
            <w:shd w:val="clear" w:color="auto" w:fill="C0C0C0"/>
            <w:noWrap/>
            <w:tcMar>
              <w:top w:w="0" w:type="dxa"/>
              <w:left w:w="108" w:type="dxa"/>
              <w:bottom w:w="0" w:type="dxa"/>
              <w:right w:w="108" w:type="dxa"/>
            </w:tcMar>
            <w:hideMark/>
          </w:tcPr>
          <w:p w:rsidR="00961583" w:rsidRPr="00CE3521" w:rsidRDefault="00961583">
            <w:pPr>
              <w:rPr>
                <w:rFonts w:ascii="Arial" w:hAnsi="Arial" w:cs="Arial"/>
                <w:b/>
                <w:bCs/>
                <w:color w:val="000000"/>
              </w:rPr>
            </w:pPr>
            <w:r w:rsidRPr="00CE3521">
              <w:rPr>
                <w:rFonts w:ascii="Arial" w:hAnsi="Arial" w:cs="Arial"/>
                <w:b/>
                <w:bCs/>
                <w:color w:val="000000"/>
              </w:rPr>
              <w:t>HIGH COURT</w:t>
            </w:r>
          </w:p>
        </w:tc>
        <w:tc>
          <w:tcPr>
            <w:tcW w:w="1679"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978</w:t>
            </w:r>
          </w:p>
        </w:tc>
        <w:tc>
          <w:tcPr>
            <w:tcW w:w="1679"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0,3%</w:t>
            </w:r>
          </w:p>
        </w:tc>
        <w:tc>
          <w:tcPr>
            <w:tcW w:w="1680"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1012</w:t>
            </w:r>
          </w:p>
        </w:tc>
        <w:tc>
          <w:tcPr>
            <w:tcW w:w="1679"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0,3%</w:t>
            </w:r>
          </w:p>
        </w:tc>
        <w:tc>
          <w:tcPr>
            <w:tcW w:w="1680"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3,5%</w:t>
            </w:r>
          </w:p>
        </w:tc>
      </w:tr>
      <w:tr w:rsidR="00961583" w:rsidRPr="00CE3521" w:rsidTr="00961583">
        <w:trPr>
          <w:trHeight w:val="397"/>
        </w:trPr>
        <w:tc>
          <w:tcPr>
            <w:tcW w:w="1809" w:type="dxa"/>
            <w:noWrap/>
            <w:tcMar>
              <w:top w:w="0" w:type="dxa"/>
              <w:left w:w="108" w:type="dxa"/>
              <w:bottom w:w="0" w:type="dxa"/>
              <w:right w:w="108" w:type="dxa"/>
            </w:tcMar>
            <w:hideMark/>
          </w:tcPr>
          <w:p w:rsidR="00961583" w:rsidRPr="00CE3521" w:rsidRDefault="00961583">
            <w:pPr>
              <w:rPr>
                <w:rFonts w:ascii="Arial" w:hAnsi="Arial" w:cs="Arial"/>
                <w:b/>
                <w:bCs/>
                <w:color w:val="000000"/>
              </w:rPr>
            </w:pPr>
            <w:r w:rsidRPr="00CE3521">
              <w:rPr>
                <w:rFonts w:ascii="Arial" w:hAnsi="Arial" w:cs="Arial"/>
                <w:b/>
                <w:bCs/>
                <w:color w:val="000000"/>
              </w:rPr>
              <w:t>REGIONAL COURT</w:t>
            </w:r>
          </w:p>
        </w:tc>
        <w:tc>
          <w:tcPr>
            <w:tcW w:w="1679" w:type="dxa"/>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33 430</w:t>
            </w:r>
          </w:p>
        </w:tc>
        <w:tc>
          <w:tcPr>
            <w:tcW w:w="1679" w:type="dxa"/>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10,5%</w:t>
            </w:r>
          </w:p>
        </w:tc>
        <w:tc>
          <w:tcPr>
            <w:tcW w:w="1680" w:type="dxa"/>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31 832</w:t>
            </w:r>
          </w:p>
        </w:tc>
        <w:tc>
          <w:tcPr>
            <w:tcW w:w="1679" w:type="dxa"/>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10,2%</w:t>
            </w:r>
          </w:p>
        </w:tc>
        <w:tc>
          <w:tcPr>
            <w:tcW w:w="1680" w:type="dxa"/>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-4,8%</w:t>
            </w:r>
          </w:p>
        </w:tc>
      </w:tr>
      <w:tr w:rsidR="00961583" w:rsidRPr="00CE3521" w:rsidTr="00961583">
        <w:trPr>
          <w:trHeight w:val="397"/>
        </w:trPr>
        <w:tc>
          <w:tcPr>
            <w:tcW w:w="1809" w:type="dxa"/>
            <w:shd w:val="clear" w:color="auto" w:fill="C0C0C0"/>
            <w:noWrap/>
            <w:tcMar>
              <w:top w:w="0" w:type="dxa"/>
              <w:left w:w="108" w:type="dxa"/>
              <w:bottom w:w="0" w:type="dxa"/>
              <w:right w:w="108" w:type="dxa"/>
            </w:tcMar>
            <w:hideMark/>
          </w:tcPr>
          <w:p w:rsidR="00961583" w:rsidRPr="00CE3521" w:rsidRDefault="00961583">
            <w:pPr>
              <w:rPr>
                <w:rFonts w:ascii="Arial" w:hAnsi="Arial" w:cs="Arial"/>
                <w:b/>
                <w:bCs/>
                <w:color w:val="000000"/>
              </w:rPr>
            </w:pPr>
            <w:r w:rsidRPr="00CE3521">
              <w:rPr>
                <w:rFonts w:ascii="Arial" w:hAnsi="Arial" w:cs="Arial"/>
                <w:b/>
                <w:bCs/>
                <w:color w:val="000000"/>
              </w:rPr>
              <w:t>DISTRICT COURT</w:t>
            </w:r>
          </w:p>
        </w:tc>
        <w:tc>
          <w:tcPr>
            <w:tcW w:w="1679"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284 741</w:t>
            </w:r>
          </w:p>
        </w:tc>
        <w:tc>
          <w:tcPr>
            <w:tcW w:w="1679"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89,2%</w:t>
            </w:r>
          </w:p>
        </w:tc>
        <w:tc>
          <w:tcPr>
            <w:tcW w:w="1680"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278 006</w:t>
            </w:r>
          </w:p>
        </w:tc>
        <w:tc>
          <w:tcPr>
            <w:tcW w:w="1679"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89,4%</w:t>
            </w:r>
          </w:p>
        </w:tc>
        <w:tc>
          <w:tcPr>
            <w:tcW w:w="1680" w:type="dxa"/>
            <w:shd w:val="clear" w:color="auto" w:fill="C0C0C0"/>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-2,4%</w:t>
            </w:r>
          </w:p>
        </w:tc>
      </w:tr>
      <w:tr w:rsidR="00961583" w:rsidRPr="00CE3521" w:rsidTr="00961583">
        <w:trPr>
          <w:trHeight w:val="397"/>
        </w:trPr>
        <w:tc>
          <w:tcPr>
            <w:tcW w:w="1809" w:type="dxa"/>
            <w:tcBorders>
              <w:top w:val="nil"/>
              <w:left w:val="nil"/>
              <w:bottom w:val="single" w:sz="8" w:space="0" w:color="000000"/>
              <w:right w:val="nil"/>
            </w:tcBorders>
            <w:noWrap/>
            <w:tcMar>
              <w:top w:w="0" w:type="dxa"/>
              <w:left w:w="108" w:type="dxa"/>
              <w:bottom w:w="0" w:type="dxa"/>
              <w:right w:w="108" w:type="dxa"/>
            </w:tcMar>
            <w:hideMark/>
          </w:tcPr>
          <w:p w:rsidR="00961583" w:rsidRPr="00CE3521" w:rsidRDefault="00961583">
            <w:pPr>
              <w:rPr>
                <w:rFonts w:ascii="Arial" w:hAnsi="Arial" w:cs="Arial"/>
                <w:b/>
                <w:bCs/>
                <w:color w:val="000000"/>
              </w:rPr>
            </w:pPr>
            <w:r w:rsidRPr="00CE3521">
              <w:rPr>
                <w:rFonts w:ascii="Arial" w:hAnsi="Arial" w:cs="Arial"/>
                <w:b/>
                <w:bCs/>
                <w:color w:val="000000"/>
              </w:rPr>
              <w:t>ALL</w:t>
            </w:r>
          </w:p>
        </w:tc>
        <w:tc>
          <w:tcPr>
            <w:tcW w:w="1679" w:type="dxa"/>
            <w:tcBorders>
              <w:top w:val="nil"/>
              <w:left w:val="nil"/>
              <w:bottom w:val="single" w:sz="8" w:space="0" w:color="000000"/>
              <w:right w:val="nil"/>
            </w:tcBorders>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319 149</w:t>
            </w:r>
          </w:p>
        </w:tc>
        <w:tc>
          <w:tcPr>
            <w:tcW w:w="1679" w:type="dxa"/>
            <w:tcBorders>
              <w:top w:val="nil"/>
              <w:left w:val="nil"/>
              <w:bottom w:val="single" w:sz="8" w:space="0" w:color="000000"/>
              <w:right w:val="nil"/>
            </w:tcBorders>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100,0%</w:t>
            </w:r>
          </w:p>
        </w:tc>
        <w:tc>
          <w:tcPr>
            <w:tcW w:w="1680" w:type="dxa"/>
            <w:tcBorders>
              <w:top w:val="nil"/>
              <w:left w:val="nil"/>
              <w:bottom w:val="single" w:sz="8" w:space="0" w:color="000000"/>
              <w:right w:val="nil"/>
            </w:tcBorders>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310 850</w:t>
            </w:r>
          </w:p>
        </w:tc>
        <w:tc>
          <w:tcPr>
            <w:tcW w:w="1679" w:type="dxa"/>
            <w:tcBorders>
              <w:top w:val="nil"/>
              <w:left w:val="nil"/>
              <w:bottom w:val="single" w:sz="8" w:space="0" w:color="000000"/>
              <w:right w:val="nil"/>
            </w:tcBorders>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100,0%</w:t>
            </w:r>
          </w:p>
        </w:tc>
        <w:tc>
          <w:tcPr>
            <w:tcW w:w="1680" w:type="dxa"/>
            <w:tcBorders>
              <w:top w:val="nil"/>
              <w:left w:val="nil"/>
              <w:bottom w:val="single" w:sz="8" w:space="0" w:color="000000"/>
              <w:right w:val="nil"/>
            </w:tcBorders>
            <w:noWrap/>
            <w:tcMar>
              <w:top w:w="0" w:type="dxa"/>
              <w:left w:w="108" w:type="dxa"/>
              <w:bottom w:w="0" w:type="dxa"/>
              <w:right w:w="108" w:type="dxa"/>
            </w:tcMar>
            <w:hideMark/>
          </w:tcPr>
          <w:p w:rsidR="00961583" w:rsidRPr="00CE3521" w:rsidRDefault="00961583">
            <w:pPr>
              <w:spacing w:after="100" w:afterAutospacing="1"/>
              <w:ind w:firstLine="34"/>
              <w:jc w:val="center"/>
              <w:rPr>
                <w:rFonts w:ascii="Arial" w:hAnsi="Arial" w:cs="Arial"/>
                <w:color w:val="000000"/>
              </w:rPr>
            </w:pPr>
            <w:r w:rsidRPr="00CE3521">
              <w:rPr>
                <w:rFonts w:ascii="Arial" w:hAnsi="Arial" w:cs="Arial"/>
                <w:color w:val="000000"/>
              </w:rPr>
              <w:t>-2,6%</w:t>
            </w:r>
          </w:p>
        </w:tc>
      </w:tr>
    </w:tbl>
    <w:p w:rsidR="00961583" w:rsidRPr="00CE3521" w:rsidRDefault="00961583" w:rsidP="00961583">
      <w:pPr>
        <w:spacing w:before="240" w:line="360" w:lineRule="auto"/>
        <w:jc w:val="both"/>
        <w:rPr>
          <w:rFonts w:ascii="Arial" w:eastAsia="Calibri" w:hAnsi="Arial" w:cs="Arial"/>
          <w:lang w:val="en-GB"/>
        </w:rPr>
      </w:pPr>
      <w:r w:rsidRPr="00CE3521">
        <w:rPr>
          <w:rFonts w:ascii="Arial" w:hAnsi="Arial" w:cs="Arial"/>
          <w:lang w:val="en-GB"/>
        </w:rPr>
        <w:t xml:space="preserve">A decline in performance is noted in both lower court forums compared to the previous year. The regional courts finalised 1 598 (4.8%) fewer cases and the district courts 6 735 (2.4%). The high courts managed to finalise 34 more cases during this period, which represents an improvement of 3.5% compared to the corresponding period during the previous year. </w:t>
      </w:r>
    </w:p>
    <w:p w:rsidR="00961583" w:rsidRPr="00CE3521" w:rsidRDefault="00762C18" w:rsidP="00961583">
      <w:pPr>
        <w:spacing w:before="240" w:line="360" w:lineRule="auto"/>
        <w:jc w:val="both"/>
        <w:rPr>
          <w:rFonts w:ascii="Arial" w:hAnsi="Arial" w:cs="Arial"/>
          <w:lang w:val="en-GB"/>
        </w:rPr>
      </w:pPr>
      <w:r w:rsidRPr="00CE3521">
        <w:rPr>
          <w:rFonts w:ascii="Arial" w:hAnsi="Arial" w:cs="Arial"/>
          <w:lang w:val="en-GB"/>
        </w:rPr>
        <w:t>The NPA</w:t>
      </w:r>
      <w:r w:rsidR="00961583" w:rsidRPr="00CE3521">
        <w:rPr>
          <w:rFonts w:ascii="Arial" w:hAnsi="Arial" w:cs="Arial"/>
          <w:lang w:val="en-GB"/>
        </w:rPr>
        <w:t xml:space="preserve"> furthermore indicated that in order to save valuable court time and speed up the finalisation of cases without impeding on the quality of prosecutions, a total of 1 901 plea and sentence agreements were successfully concluded, comprising of 7 066 counts (see Appendix 1 at the end of the annual report for a full list). This represents an increase of 8.2% compared to 1 757 agreements concluded last year. Even though the number of agreements concluded does not appear to be significant if compared to the total number of finalised cases, the counts involved in these matters would have taken up valuable court time had trials been conducted. In 15 of the cases, the counts involved more than 100 counts per case.</w:t>
      </w:r>
    </w:p>
    <w:p w:rsidR="005B08BB" w:rsidRPr="00CE3521" w:rsidRDefault="005B08BB" w:rsidP="00961583">
      <w:pPr>
        <w:spacing w:before="240" w:line="360" w:lineRule="auto"/>
        <w:jc w:val="both"/>
        <w:rPr>
          <w:rFonts w:ascii="Arial" w:hAnsi="Arial" w:cs="Arial"/>
          <w:lang w:val="en-GB"/>
        </w:rPr>
      </w:pPr>
    </w:p>
    <w:p w:rsidR="00961583" w:rsidRPr="00CE3521" w:rsidRDefault="00961583" w:rsidP="00961583">
      <w:pPr>
        <w:spacing w:line="360" w:lineRule="auto"/>
        <w:jc w:val="both"/>
        <w:rPr>
          <w:rFonts w:ascii="Arial" w:hAnsi="Arial" w:cs="Arial"/>
          <w:lang w:val="en-GB"/>
        </w:rPr>
      </w:pPr>
      <w:r w:rsidRPr="00CE3521">
        <w:rPr>
          <w:rFonts w:ascii="Arial" w:hAnsi="Arial" w:cs="Arial"/>
          <w:lang w:val="en-GB"/>
        </w:rPr>
        <w:t>Enhanced screening processes may impact on the number of new cases as prosecutors ensure, as far as possible, to enrol only trial ready matters. In order to curb the notion that prosecutors are selective with cases dealt with, the number of withdrawals is also measured to ensure quality prosecutions and a just outcome in all cases. The comparison indicates a positive reduction of 17.7% in the number of cases withdrawn in all courts.</w:t>
      </w:r>
    </w:p>
    <w:p w:rsidR="003A1F95" w:rsidRPr="00CE3521" w:rsidRDefault="003A1F95" w:rsidP="00961583">
      <w:pPr>
        <w:spacing w:line="360" w:lineRule="auto"/>
        <w:jc w:val="both"/>
        <w:rPr>
          <w:rFonts w:ascii="Arial" w:hAnsi="Arial" w:cs="Arial"/>
          <w:lang w:val="en-GB"/>
        </w:rPr>
      </w:pPr>
    </w:p>
    <w:p w:rsidR="005B08BB" w:rsidRPr="00CE3521" w:rsidRDefault="00762C18" w:rsidP="00961583">
      <w:pPr>
        <w:spacing w:line="360" w:lineRule="auto"/>
        <w:jc w:val="both"/>
        <w:rPr>
          <w:rFonts w:ascii="Arial" w:hAnsi="Arial" w:cs="Arial"/>
          <w:lang w:eastAsia="en-ZA"/>
        </w:rPr>
      </w:pPr>
      <w:r w:rsidRPr="00CE3521">
        <w:rPr>
          <w:rFonts w:ascii="Arial" w:hAnsi="Arial" w:cs="Arial"/>
          <w:lang w:val="en-GB"/>
        </w:rPr>
        <w:t xml:space="preserve">The NPA has informed me </w:t>
      </w:r>
      <w:r w:rsidR="00961583" w:rsidRPr="00CE3521">
        <w:rPr>
          <w:rFonts w:ascii="Arial" w:hAnsi="Arial" w:cs="Arial"/>
          <w:lang w:val="en-GB"/>
        </w:rPr>
        <w:t xml:space="preserve">that </w:t>
      </w:r>
      <w:r w:rsidR="00961583" w:rsidRPr="00CE3521">
        <w:rPr>
          <w:rFonts w:ascii="Arial" w:hAnsi="Arial" w:cs="Arial"/>
          <w:lang w:eastAsia="en-ZA"/>
        </w:rPr>
        <w:t>the effective performance of the NPA is directly linked to the effective performance of the other role players within the criminal justice system. Ensuring that cases proceed when they are set down for trial remains a primary challenge that the system has not adequately addressed. The implementation of pre-trial hearings identified by the NPA, Legal Aid South Africa and the Office of the Chief Justice as one of the solutions to prevent remands of trial ready cases has been slow in gaining traction, particularly in the lower courts. This has been compounded by the placing of too few trial cases on the court rolls, resulting in wasted court hours.</w:t>
      </w:r>
    </w:p>
    <w:p w:rsidR="005B08BB" w:rsidRPr="00CE3521" w:rsidRDefault="005B08BB" w:rsidP="00961583">
      <w:pPr>
        <w:spacing w:line="360" w:lineRule="auto"/>
        <w:jc w:val="both"/>
        <w:rPr>
          <w:rFonts w:ascii="Arial" w:hAnsi="Arial" w:cs="Arial"/>
          <w:lang w:eastAsia="en-ZA"/>
        </w:rPr>
      </w:pPr>
    </w:p>
    <w:p w:rsidR="00961583" w:rsidRPr="00CE3521" w:rsidRDefault="00961583" w:rsidP="00961583">
      <w:pPr>
        <w:spacing w:line="360" w:lineRule="auto"/>
        <w:jc w:val="both"/>
        <w:rPr>
          <w:rFonts w:ascii="Arial" w:hAnsi="Arial" w:cs="Arial"/>
          <w:lang w:val="en-ZA" w:eastAsia="en-ZA"/>
        </w:rPr>
      </w:pPr>
      <w:r w:rsidRPr="00CE3521">
        <w:rPr>
          <w:rFonts w:ascii="Arial" w:hAnsi="Arial" w:cs="Arial"/>
          <w:lang w:eastAsia="en-ZA"/>
        </w:rPr>
        <w:t>The norms and standards issued by the Chief Justice have not yet led to increased court hours. Inadequacies of role-players in the system remain a concern as they impact on the finali</w:t>
      </w:r>
      <w:r w:rsidR="00762C18" w:rsidRPr="00CE3521">
        <w:rPr>
          <w:rFonts w:ascii="Arial" w:hAnsi="Arial" w:cs="Arial"/>
          <w:lang w:eastAsia="en-ZA"/>
        </w:rPr>
        <w:t>z</w:t>
      </w:r>
      <w:r w:rsidRPr="00CE3521">
        <w:rPr>
          <w:rFonts w:ascii="Arial" w:hAnsi="Arial" w:cs="Arial"/>
          <w:lang w:eastAsia="en-ZA"/>
        </w:rPr>
        <w:t>ation of case</w:t>
      </w:r>
      <w:r w:rsidR="005B08BB" w:rsidRPr="00CE3521">
        <w:rPr>
          <w:rFonts w:ascii="Arial" w:hAnsi="Arial" w:cs="Arial"/>
          <w:lang w:eastAsia="en-ZA"/>
        </w:rPr>
        <w:t>s</w:t>
      </w:r>
      <w:r w:rsidRPr="00CE3521">
        <w:rPr>
          <w:rFonts w:ascii="Arial" w:hAnsi="Arial" w:cs="Arial"/>
          <w:lang w:eastAsia="en-ZA"/>
        </w:rPr>
        <w:t>. However, these are monitored and reported at the P</w:t>
      </w:r>
      <w:r w:rsidR="00762C18" w:rsidRPr="00CE3521">
        <w:rPr>
          <w:rFonts w:ascii="Arial" w:hAnsi="Arial" w:cs="Arial"/>
          <w:lang w:eastAsia="en-ZA"/>
        </w:rPr>
        <w:t xml:space="preserve">rovincial </w:t>
      </w:r>
      <w:r w:rsidRPr="00CE3521">
        <w:rPr>
          <w:rFonts w:ascii="Arial" w:hAnsi="Arial" w:cs="Arial"/>
          <w:lang w:eastAsia="en-ZA"/>
        </w:rPr>
        <w:t>E</w:t>
      </w:r>
      <w:r w:rsidR="00762C18" w:rsidRPr="00CE3521">
        <w:rPr>
          <w:rFonts w:ascii="Arial" w:hAnsi="Arial" w:cs="Arial"/>
          <w:lang w:eastAsia="en-ZA"/>
        </w:rPr>
        <w:t xml:space="preserve">fficiency </w:t>
      </w:r>
      <w:r w:rsidRPr="00CE3521">
        <w:rPr>
          <w:rFonts w:ascii="Arial" w:hAnsi="Arial" w:cs="Arial"/>
          <w:lang w:eastAsia="en-ZA"/>
        </w:rPr>
        <w:t>E</w:t>
      </w:r>
      <w:r w:rsidR="00762C18" w:rsidRPr="00CE3521">
        <w:rPr>
          <w:rFonts w:ascii="Arial" w:hAnsi="Arial" w:cs="Arial"/>
          <w:lang w:eastAsia="en-ZA"/>
        </w:rPr>
        <w:t xml:space="preserve">nhancement </w:t>
      </w:r>
      <w:r w:rsidRPr="00CE3521">
        <w:rPr>
          <w:rFonts w:ascii="Arial" w:hAnsi="Arial" w:cs="Arial"/>
          <w:lang w:eastAsia="en-ZA"/>
        </w:rPr>
        <w:t>C</w:t>
      </w:r>
      <w:r w:rsidR="00762C18" w:rsidRPr="00CE3521">
        <w:rPr>
          <w:rFonts w:ascii="Arial" w:hAnsi="Arial" w:cs="Arial"/>
          <w:lang w:eastAsia="en-ZA"/>
        </w:rPr>
        <w:t>ommittee (PEEC)</w:t>
      </w:r>
      <w:r w:rsidRPr="00CE3521">
        <w:rPr>
          <w:rFonts w:ascii="Arial" w:hAnsi="Arial" w:cs="Arial"/>
          <w:lang w:eastAsia="en-ZA"/>
        </w:rPr>
        <w:t xml:space="preserve"> meetings</w:t>
      </w:r>
      <w:r w:rsidR="00762C18" w:rsidRPr="00CE3521">
        <w:rPr>
          <w:rFonts w:ascii="Arial" w:hAnsi="Arial" w:cs="Arial"/>
          <w:lang w:eastAsia="en-ZA"/>
        </w:rPr>
        <w:t>, chaired by the Judges President in each province</w:t>
      </w:r>
      <w:r w:rsidRPr="00CE3521">
        <w:rPr>
          <w:rFonts w:ascii="Arial" w:hAnsi="Arial" w:cs="Arial"/>
          <w:lang w:eastAsia="en-ZA"/>
        </w:rPr>
        <w:t xml:space="preserve">. </w:t>
      </w:r>
    </w:p>
    <w:p w:rsidR="00961583" w:rsidRPr="00CE3521" w:rsidRDefault="00961583" w:rsidP="00961583">
      <w:pPr>
        <w:spacing w:line="360" w:lineRule="auto"/>
        <w:jc w:val="both"/>
        <w:rPr>
          <w:rFonts w:ascii="Arial" w:hAnsi="Arial" w:cs="Arial"/>
          <w:lang w:val="en-GB"/>
        </w:rPr>
      </w:pPr>
    </w:p>
    <w:p w:rsidR="00961583" w:rsidRPr="00CE3521" w:rsidRDefault="00961583" w:rsidP="00961583">
      <w:pPr>
        <w:spacing w:before="240" w:line="360" w:lineRule="auto"/>
        <w:jc w:val="both"/>
        <w:rPr>
          <w:rFonts w:ascii="Arial" w:hAnsi="Arial" w:cs="Arial"/>
          <w:lang w:val="en-GB"/>
        </w:rPr>
      </w:pPr>
    </w:p>
    <w:p w:rsidR="00961583" w:rsidRPr="00CE3521" w:rsidRDefault="00961583" w:rsidP="00961583">
      <w:pPr>
        <w:rPr>
          <w:rFonts w:ascii="Arial" w:hAnsi="Arial" w:cs="Arial"/>
          <w:lang w:val="en-GB"/>
        </w:rPr>
      </w:pPr>
    </w:p>
    <w:p w:rsidR="00961583" w:rsidRPr="00CE3521" w:rsidRDefault="00961583" w:rsidP="00F400F2">
      <w:pPr>
        <w:spacing w:before="120" w:after="120" w:line="360" w:lineRule="auto"/>
        <w:ind w:left="360"/>
        <w:jc w:val="right"/>
        <w:rPr>
          <w:rFonts w:ascii="Arial" w:hAnsi="Arial" w:cs="Arial"/>
          <w:b/>
          <w:lang w:val="en-ZA"/>
        </w:rPr>
      </w:pPr>
    </w:p>
    <w:p w:rsidR="00983C6B" w:rsidRPr="00CE3521" w:rsidRDefault="00983C6B" w:rsidP="00CE3521">
      <w:pPr>
        <w:spacing w:before="120" w:after="120" w:line="360" w:lineRule="auto"/>
        <w:rPr>
          <w:rFonts w:ascii="Arial" w:hAnsi="Arial" w:cs="Arial"/>
          <w:b/>
        </w:rPr>
      </w:pPr>
    </w:p>
    <w:sectPr w:rsidR="00983C6B" w:rsidRPr="00CE3521" w:rsidSect="00CE3521">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A4" w:rsidRDefault="00DD3EA4" w:rsidP="00913892">
      <w:r>
        <w:separator/>
      </w:r>
    </w:p>
  </w:endnote>
  <w:endnote w:type="continuationSeparator" w:id="0">
    <w:p w:rsidR="00DD3EA4" w:rsidRDefault="00DD3EA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431CD" w:rsidRPr="00A431CD">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A4" w:rsidRDefault="00DD3EA4" w:rsidP="00913892">
      <w:r>
        <w:separator/>
      </w:r>
    </w:p>
  </w:footnote>
  <w:footnote w:type="continuationSeparator" w:id="0">
    <w:p w:rsidR="00DD3EA4" w:rsidRDefault="00DD3EA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4"/>
  </w:num>
  <w:num w:numId="6">
    <w:abstractNumId w:val="2"/>
  </w:num>
  <w:num w:numId="7">
    <w:abstractNumId w:val="29"/>
  </w:num>
  <w:num w:numId="8">
    <w:abstractNumId w:val="9"/>
  </w:num>
  <w:num w:numId="9">
    <w:abstractNumId w:val="14"/>
  </w:num>
  <w:num w:numId="10">
    <w:abstractNumId w:val="25"/>
  </w:num>
  <w:num w:numId="11">
    <w:abstractNumId w:val="1"/>
  </w:num>
  <w:num w:numId="12">
    <w:abstractNumId w:val="17"/>
  </w:num>
  <w:num w:numId="13">
    <w:abstractNumId w:val="12"/>
  </w:num>
  <w:num w:numId="14">
    <w:abstractNumId w:val="15"/>
  </w:num>
  <w:num w:numId="15">
    <w:abstractNumId w:val="8"/>
  </w:num>
  <w:num w:numId="16">
    <w:abstractNumId w:val="13"/>
  </w:num>
  <w:num w:numId="17">
    <w:abstractNumId w:val="27"/>
  </w:num>
  <w:num w:numId="18">
    <w:abstractNumId w:val="18"/>
  </w:num>
  <w:num w:numId="19">
    <w:abstractNumId w:val="16"/>
  </w:num>
  <w:num w:numId="20">
    <w:abstractNumId w:val="26"/>
  </w:num>
  <w:num w:numId="21">
    <w:abstractNumId w:val="21"/>
  </w:num>
  <w:num w:numId="22">
    <w:abstractNumId w:val="22"/>
  </w:num>
  <w:num w:numId="23">
    <w:abstractNumId w:val="7"/>
  </w:num>
  <w:num w:numId="24">
    <w:abstractNumId w:val="23"/>
  </w:num>
  <w:num w:numId="25">
    <w:abstractNumId w:val="4"/>
  </w:num>
  <w:num w:numId="26">
    <w:abstractNumId w:val="6"/>
  </w:num>
  <w:num w:numId="27">
    <w:abstractNumId w:val="20"/>
  </w:num>
  <w:num w:numId="28">
    <w:abstractNumId w:val="28"/>
  </w:num>
  <w:num w:numId="29">
    <w:abstractNumId w:val="5"/>
  </w:num>
  <w:num w:numId="30">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B5E45"/>
    <w:rsid w:val="000C01D4"/>
    <w:rsid w:val="000D4F57"/>
    <w:rsid w:val="000E7085"/>
    <w:rsid w:val="000E76BA"/>
    <w:rsid w:val="00105174"/>
    <w:rsid w:val="00110B8F"/>
    <w:rsid w:val="00120775"/>
    <w:rsid w:val="00134C16"/>
    <w:rsid w:val="001354F5"/>
    <w:rsid w:val="00136B2F"/>
    <w:rsid w:val="00144111"/>
    <w:rsid w:val="00156483"/>
    <w:rsid w:val="001702F2"/>
    <w:rsid w:val="001774BC"/>
    <w:rsid w:val="001848C4"/>
    <w:rsid w:val="00192D26"/>
    <w:rsid w:val="00194B05"/>
    <w:rsid w:val="001A6D2A"/>
    <w:rsid w:val="001B00F0"/>
    <w:rsid w:val="001E1BE7"/>
    <w:rsid w:val="001F445E"/>
    <w:rsid w:val="001F4FBE"/>
    <w:rsid w:val="00203F6A"/>
    <w:rsid w:val="00213182"/>
    <w:rsid w:val="0021549B"/>
    <w:rsid w:val="002269FD"/>
    <w:rsid w:val="00262ACE"/>
    <w:rsid w:val="00281574"/>
    <w:rsid w:val="002857B6"/>
    <w:rsid w:val="00286311"/>
    <w:rsid w:val="002A0DB1"/>
    <w:rsid w:val="002B2B31"/>
    <w:rsid w:val="002B6D18"/>
    <w:rsid w:val="002C1F18"/>
    <w:rsid w:val="002C719B"/>
    <w:rsid w:val="002D5BF7"/>
    <w:rsid w:val="002D7BBD"/>
    <w:rsid w:val="002E7253"/>
    <w:rsid w:val="0031652F"/>
    <w:rsid w:val="00322BA4"/>
    <w:rsid w:val="00346942"/>
    <w:rsid w:val="0037187E"/>
    <w:rsid w:val="003767D7"/>
    <w:rsid w:val="00381B64"/>
    <w:rsid w:val="00386CA6"/>
    <w:rsid w:val="003A1F95"/>
    <w:rsid w:val="003A64C5"/>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725E0"/>
    <w:rsid w:val="004926BD"/>
    <w:rsid w:val="004B6B6B"/>
    <w:rsid w:val="004F6FEC"/>
    <w:rsid w:val="00515B6A"/>
    <w:rsid w:val="005160F8"/>
    <w:rsid w:val="0054211D"/>
    <w:rsid w:val="005601A1"/>
    <w:rsid w:val="00572F09"/>
    <w:rsid w:val="005772C1"/>
    <w:rsid w:val="005835BC"/>
    <w:rsid w:val="005856A7"/>
    <w:rsid w:val="00585897"/>
    <w:rsid w:val="005B08BB"/>
    <w:rsid w:val="005B6209"/>
    <w:rsid w:val="005E365A"/>
    <w:rsid w:val="005E6608"/>
    <w:rsid w:val="00612214"/>
    <w:rsid w:val="00625CD7"/>
    <w:rsid w:val="00630932"/>
    <w:rsid w:val="00653FE5"/>
    <w:rsid w:val="00670788"/>
    <w:rsid w:val="006726F3"/>
    <w:rsid w:val="0067545A"/>
    <w:rsid w:val="006959E4"/>
    <w:rsid w:val="006B0F80"/>
    <w:rsid w:val="006C0567"/>
    <w:rsid w:val="006C6F07"/>
    <w:rsid w:val="006D21F9"/>
    <w:rsid w:val="006D7E71"/>
    <w:rsid w:val="006F2454"/>
    <w:rsid w:val="006F63D7"/>
    <w:rsid w:val="00720D4C"/>
    <w:rsid w:val="00724689"/>
    <w:rsid w:val="007261FA"/>
    <w:rsid w:val="00740A5A"/>
    <w:rsid w:val="00745638"/>
    <w:rsid w:val="007540CF"/>
    <w:rsid w:val="00755C22"/>
    <w:rsid w:val="00757E02"/>
    <w:rsid w:val="00760BFE"/>
    <w:rsid w:val="00762C18"/>
    <w:rsid w:val="00777A77"/>
    <w:rsid w:val="0078425B"/>
    <w:rsid w:val="00791471"/>
    <w:rsid w:val="007961D4"/>
    <w:rsid w:val="007A7FBA"/>
    <w:rsid w:val="007C0AC3"/>
    <w:rsid w:val="007C1863"/>
    <w:rsid w:val="007E7201"/>
    <w:rsid w:val="007F2B0B"/>
    <w:rsid w:val="00816E3E"/>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61583"/>
    <w:rsid w:val="00973033"/>
    <w:rsid w:val="00983C6B"/>
    <w:rsid w:val="009868D6"/>
    <w:rsid w:val="0098762D"/>
    <w:rsid w:val="009A755B"/>
    <w:rsid w:val="009B0CAB"/>
    <w:rsid w:val="009D4F78"/>
    <w:rsid w:val="009E0268"/>
    <w:rsid w:val="009E1C96"/>
    <w:rsid w:val="009F17AE"/>
    <w:rsid w:val="009F1B70"/>
    <w:rsid w:val="009F2D5C"/>
    <w:rsid w:val="00A42301"/>
    <w:rsid w:val="00A431CD"/>
    <w:rsid w:val="00A4711C"/>
    <w:rsid w:val="00A56D4F"/>
    <w:rsid w:val="00A64328"/>
    <w:rsid w:val="00A6432A"/>
    <w:rsid w:val="00A66729"/>
    <w:rsid w:val="00A7136B"/>
    <w:rsid w:val="00AA2AB0"/>
    <w:rsid w:val="00AA39AC"/>
    <w:rsid w:val="00AD7B7A"/>
    <w:rsid w:val="00AF5D91"/>
    <w:rsid w:val="00B021CE"/>
    <w:rsid w:val="00B13369"/>
    <w:rsid w:val="00B15ED3"/>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4F46"/>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A475B"/>
    <w:rsid w:val="00CB2778"/>
    <w:rsid w:val="00CC239F"/>
    <w:rsid w:val="00CD042D"/>
    <w:rsid w:val="00CD3DB4"/>
    <w:rsid w:val="00CD4D18"/>
    <w:rsid w:val="00CE0598"/>
    <w:rsid w:val="00CE3521"/>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D3EA4"/>
    <w:rsid w:val="00DE1284"/>
    <w:rsid w:val="00DF2638"/>
    <w:rsid w:val="00E1080E"/>
    <w:rsid w:val="00E17F42"/>
    <w:rsid w:val="00E44AFC"/>
    <w:rsid w:val="00E55AFD"/>
    <w:rsid w:val="00EA4D5C"/>
    <w:rsid w:val="00EA53D2"/>
    <w:rsid w:val="00EA7A64"/>
    <w:rsid w:val="00EB54FA"/>
    <w:rsid w:val="00EB5C9A"/>
    <w:rsid w:val="00EC5379"/>
    <w:rsid w:val="00ED072E"/>
    <w:rsid w:val="00ED5CF6"/>
    <w:rsid w:val="00EE1177"/>
    <w:rsid w:val="00EF081C"/>
    <w:rsid w:val="00EF32C9"/>
    <w:rsid w:val="00F20EAD"/>
    <w:rsid w:val="00F220CD"/>
    <w:rsid w:val="00F26B86"/>
    <w:rsid w:val="00F31805"/>
    <w:rsid w:val="00F36003"/>
    <w:rsid w:val="00F400F2"/>
    <w:rsid w:val="00F475A6"/>
    <w:rsid w:val="00F55893"/>
    <w:rsid w:val="00F63F57"/>
    <w:rsid w:val="00F646C9"/>
    <w:rsid w:val="00F739F4"/>
    <w:rsid w:val="00F845F2"/>
    <w:rsid w:val="00F86709"/>
    <w:rsid w:val="00F91926"/>
    <w:rsid w:val="00F95D9E"/>
    <w:rsid w:val="00FA26A6"/>
    <w:rsid w:val="00FA4D8E"/>
    <w:rsid w:val="00FD32ED"/>
    <w:rsid w:val="00FE25AE"/>
    <w:rsid w:val="00FE2E75"/>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Caption">
    <w:name w:val="caption"/>
    <w:basedOn w:val="Normal"/>
    <w:uiPriority w:val="35"/>
    <w:semiHidden/>
    <w:unhideWhenUsed/>
    <w:qFormat/>
    <w:locked/>
    <w:rsid w:val="00961583"/>
    <w:pPr>
      <w:spacing w:after="200"/>
    </w:pPr>
    <w:rPr>
      <w:rFonts w:ascii="Calibri" w:eastAsia="Calibri" w:hAnsi="Calibri"/>
      <w:i/>
      <w:iCs/>
      <w:color w:val="44546A"/>
      <w:sz w:val="18"/>
      <w:szCs w:val="18"/>
      <w:lang w:val="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60273563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7D1391-ABED-4601-8CD9-E14EB2CE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2016-11-03T16:35:00Z</cp:lastPrinted>
  <dcterms:created xsi:type="dcterms:W3CDTF">2016-11-22T10:24:00Z</dcterms:created>
  <dcterms:modified xsi:type="dcterms:W3CDTF">2016-11-22T10:24:00Z</dcterms:modified>
</cp:coreProperties>
</file>