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51481D"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4606BF">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4606BF" w:rsidP="004606BF">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4606BF" w:rsidP="004606BF">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6B0421">
        <w:rPr>
          <w:rFonts w:ascii="Arial" w:eastAsia="Calibri" w:hAnsi="Arial" w:cs="Arial"/>
          <w:b/>
          <w:bCs/>
          <w:sz w:val="22"/>
          <w:szCs w:val="22"/>
          <w:lang w:val="en-GB"/>
        </w:rPr>
        <w:t>4</w:t>
      </w:r>
      <w:r w:rsidR="005E390A">
        <w:rPr>
          <w:rFonts w:ascii="Arial" w:eastAsia="Calibri" w:hAnsi="Arial" w:cs="Arial"/>
          <w:b/>
          <w:bCs/>
          <w:sz w:val="22"/>
          <w:szCs w:val="22"/>
          <w:lang w:val="en-GB"/>
        </w:rPr>
        <w:t>2</w:t>
      </w:r>
    </w:p>
    <w:p w:rsidR="002E7253" w:rsidRPr="002E7253" w:rsidRDefault="002E7253" w:rsidP="004606BF">
      <w:pPr>
        <w:spacing w:after="200" w:line="276" w:lineRule="auto"/>
        <w:rPr>
          <w:rFonts w:ascii="Arial" w:eastAsia="Calibri" w:hAnsi="Arial" w:cs="Arial"/>
          <w:b/>
          <w:bCs/>
          <w:sz w:val="22"/>
          <w:szCs w:val="22"/>
          <w:u w:val="single"/>
          <w:lang w:val="en-GB"/>
        </w:rPr>
      </w:pPr>
      <w:r w:rsidRPr="002E7253">
        <w:rPr>
          <w:rFonts w:ascii="Arial" w:eastAsia="Calibri" w:hAnsi="Arial" w:cs="Arial"/>
          <w:b/>
          <w:bCs/>
          <w:sz w:val="22"/>
          <w:szCs w:val="22"/>
          <w:u w:val="single"/>
          <w:lang w:val="en-GB"/>
        </w:rPr>
        <w:t xml:space="preserve">DATE OF QUESTION PAPER: </w:t>
      </w:r>
      <w:r w:rsidR="005601A1">
        <w:rPr>
          <w:rFonts w:ascii="Arial" w:eastAsia="Calibri" w:hAnsi="Arial" w:cs="Arial"/>
          <w:b/>
          <w:bCs/>
          <w:sz w:val="22"/>
          <w:szCs w:val="22"/>
          <w:u w:val="single"/>
          <w:lang w:val="en-GB"/>
        </w:rPr>
        <w:t>2</w:t>
      </w:r>
      <w:r w:rsidR="00B021CE">
        <w:rPr>
          <w:rFonts w:ascii="Arial" w:eastAsia="Calibri" w:hAnsi="Arial" w:cs="Arial"/>
          <w:b/>
          <w:bCs/>
          <w:sz w:val="22"/>
          <w:szCs w:val="22"/>
          <w:u w:val="single"/>
          <w:lang w:val="en-GB"/>
        </w:rPr>
        <w:t>8</w:t>
      </w:r>
      <w:r w:rsidR="004606BF">
        <w:rPr>
          <w:rFonts w:ascii="Arial" w:eastAsia="Calibri" w:hAnsi="Arial" w:cs="Arial"/>
          <w:b/>
          <w:bCs/>
          <w:sz w:val="22"/>
          <w:szCs w:val="22"/>
          <w:u w:val="single"/>
          <w:lang w:val="en-GB"/>
        </w:rPr>
        <w:t xml:space="preserve"> OCTOBER </w:t>
      </w:r>
      <w:r w:rsidRPr="002E7253">
        <w:rPr>
          <w:rFonts w:ascii="Arial" w:eastAsia="Calibri" w:hAnsi="Arial" w:cs="Arial"/>
          <w:b/>
          <w:bCs/>
          <w:sz w:val="22"/>
          <w:szCs w:val="22"/>
          <w:u w:val="single"/>
          <w:lang w:val="en-GB"/>
        </w:rPr>
        <w:t>2016</w:t>
      </w:r>
    </w:p>
    <w:p w:rsidR="00D463C8" w:rsidRPr="004606BF" w:rsidRDefault="00791471" w:rsidP="004606BF">
      <w:pPr>
        <w:spacing w:before="100" w:beforeAutospacing="1" w:after="100" w:afterAutospacing="1" w:line="276" w:lineRule="auto"/>
        <w:outlineLvl w:val="0"/>
        <w:rPr>
          <w:rFonts w:ascii="Arial" w:eastAsia="Calibri" w:hAnsi="Arial" w:cs="Arial"/>
          <w:b/>
          <w:bCs/>
          <w:sz w:val="22"/>
          <w:szCs w:val="22"/>
          <w:lang w:val="en-GB"/>
        </w:rPr>
      </w:pPr>
      <w:r w:rsidRPr="004606BF">
        <w:rPr>
          <w:rFonts w:ascii="Arial" w:eastAsia="Calibri" w:hAnsi="Arial" w:cs="Arial"/>
          <w:b/>
          <w:bCs/>
          <w:sz w:val="22"/>
          <w:szCs w:val="22"/>
          <w:lang w:val="en-GB"/>
        </w:rPr>
        <w:t xml:space="preserve">DATE OF SUBMISSION: </w:t>
      </w:r>
      <w:r w:rsidR="00B021CE" w:rsidRPr="004606BF">
        <w:rPr>
          <w:rFonts w:ascii="Arial" w:eastAsia="Calibri" w:hAnsi="Arial" w:cs="Arial"/>
          <w:b/>
          <w:bCs/>
          <w:sz w:val="22"/>
          <w:szCs w:val="22"/>
          <w:lang w:val="en-GB"/>
        </w:rPr>
        <w:t>11</w:t>
      </w:r>
      <w:r w:rsidR="00281574" w:rsidRPr="004606BF">
        <w:rPr>
          <w:rFonts w:ascii="Arial" w:eastAsia="Calibri" w:hAnsi="Arial" w:cs="Arial"/>
          <w:b/>
          <w:bCs/>
          <w:sz w:val="22"/>
          <w:szCs w:val="22"/>
          <w:lang w:val="en-GB"/>
        </w:rPr>
        <w:t xml:space="preserve"> </w:t>
      </w:r>
      <w:r w:rsidR="005601A1" w:rsidRPr="004606BF">
        <w:rPr>
          <w:rFonts w:ascii="Arial" w:eastAsia="Calibri" w:hAnsi="Arial" w:cs="Arial"/>
          <w:b/>
          <w:bCs/>
          <w:sz w:val="22"/>
          <w:szCs w:val="22"/>
          <w:lang w:val="en-GB"/>
        </w:rPr>
        <w:t>NOVEM</w:t>
      </w:r>
      <w:r w:rsidRPr="004606BF">
        <w:rPr>
          <w:rFonts w:ascii="Arial" w:eastAsia="Calibri" w:hAnsi="Arial" w:cs="Arial"/>
          <w:b/>
          <w:bCs/>
          <w:sz w:val="22"/>
          <w:szCs w:val="22"/>
          <w:lang w:val="en-GB"/>
        </w:rPr>
        <w:t>BER</w:t>
      </w:r>
      <w:r w:rsidR="009F2D5C" w:rsidRPr="004606BF">
        <w:rPr>
          <w:rFonts w:ascii="Arial" w:eastAsia="Calibri" w:hAnsi="Arial" w:cs="Arial"/>
          <w:b/>
          <w:bCs/>
          <w:sz w:val="22"/>
          <w:szCs w:val="22"/>
          <w:lang w:val="en-GB"/>
        </w:rPr>
        <w:t xml:space="preserve"> </w:t>
      </w:r>
      <w:r w:rsidR="00D463C8" w:rsidRPr="004606BF">
        <w:rPr>
          <w:rFonts w:ascii="Arial" w:eastAsia="Calibri" w:hAnsi="Arial" w:cs="Arial"/>
          <w:b/>
          <w:bCs/>
          <w:sz w:val="22"/>
          <w:szCs w:val="22"/>
          <w:lang w:val="en-GB"/>
        </w:rPr>
        <w:t>2016</w:t>
      </w:r>
    </w:p>
    <w:p w:rsidR="005E390A" w:rsidRPr="005E390A" w:rsidRDefault="005E390A" w:rsidP="005E390A">
      <w:pPr>
        <w:spacing w:before="120" w:after="120" w:line="360" w:lineRule="auto"/>
        <w:jc w:val="both"/>
        <w:rPr>
          <w:rFonts w:eastAsia="Calibri"/>
          <w:b/>
          <w:highlight w:val="yellow"/>
          <w:lang w:val="en-GB"/>
        </w:rPr>
      </w:pPr>
      <w:r w:rsidRPr="005E390A">
        <w:rPr>
          <w:rFonts w:ascii="Arial" w:hAnsi="Arial" w:cs="Arial"/>
          <w:b/>
          <w:bCs/>
          <w:sz w:val="22"/>
          <w:szCs w:val="22"/>
          <w:lang w:val="en-ZA"/>
        </w:rPr>
        <w:t>Ms N I Tarabella Marchesi (DA) to ask the Minister of Justice and Correctional Services:</w:t>
      </w:r>
    </w:p>
    <w:p w:rsidR="005E390A" w:rsidRPr="005E390A" w:rsidRDefault="005E390A" w:rsidP="005E390A">
      <w:pPr>
        <w:numPr>
          <w:ilvl w:val="0"/>
          <w:numId w:val="31"/>
        </w:numPr>
        <w:spacing w:before="120" w:after="120" w:line="360" w:lineRule="auto"/>
        <w:jc w:val="both"/>
        <w:rPr>
          <w:rFonts w:ascii="Arial" w:hAnsi="Arial" w:cs="Arial"/>
          <w:sz w:val="22"/>
          <w:szCs w:val="22"/>
          <w:lang w:val="en-ZA"/>
        </w:rPr>
      </w:pPr>
      <w:r w:rsidRPr="005E390A">
        <w:rPr>
          <w:rFonts w:ascii="Arial" w:hAnsi="Arial" w:cs="Arial"/>
          <w:sz w:val="22"/>
          <w:szCs w:val="22"/>
          <w:lang w:val="en-ZA"/>
        </w:rPr>
        <w:t>What are the detailed reasons for the National Prosecuting Authority’s (NPA) court hours declining by 7% in the 2015</w:t>
      </w:r>
      <w:r w:rsidR="00F325EA">
        <w:rPr>
          <w:rFonts w:ascii="Arial" w:hAnsi="Arial" w:cs="Arial"/>
          <w:sz w:val="22"/>
          <w:szCs w:val="22"/>
          <w:lang w:val="en-ZA"/>
        </w:rPr>
        <w:t>/</w:t>
      </w:r>
      <w:r w:rsidRPr="005E390A">
        <w:rPr>
          <w:rFonts w:ascii="Arial" w:hAnsi="Arial" w:cs="Arial"/>
          <w:sz w:val="22"/>
          <w:szCs w:val="22"/>
          <w:lang w:val="en-ZA"/>
        </w:rPr>
        <w:t>16 financial year;</w:t>
      </w:r>
    </w:p>
    <w:p w:rsidR="005E390A" w:rsidRPr="005E390A" w:rsidRDefault="005E390A" w:rsidP="005E390A">
      <w:pPr>
        <w:numPr>
          <w:ilvl w:val="0"/>
          <w:numId w:val="31"/>
        </w:numPr>
        <w:spacing w:before="120" w:after="120" w:line="360" w:lineRule="auto"/>
        <w:jc w:val="both"/>
        <w:rPr>
          <w:rFonts w:ascii="Arial" w:hAnsi="Arial" w:cs="Arial"/>
          <w:sz w:val="22"/>
          <w:szCs w:val="22"/>
          <w:lang w:val="en-ZA"/>
        </w:rPr>
      </w:pPr>
      <w:r w:rsidRPr="005E390A">
        <w:rPr>
          <w:rFonts w:ascii="Arial" w:hAnsi="Arial" w:cs="Arial"/>
          <w:sz w:val="22"/>
          <w:szCs w:val="22"/>
          <w:lang w:val="en-ZA"/>
        </w:rPr>
        <w:t>whether any measures have been put in place to address the specified decline of the NPA’s court hours; if not, why not; if so, what are the relevant details;</w:t>
      </w:r>
    </w:p>
    <w:p w:rsidR="005E390A" w:rsidRDefault="005E390A" w:rsidP="005E390A">
      <w:pPr>
        <w:numPr>
          <w:ilvl w:val="0"/>
          <w:numId w:val="31"/>
        </w:numPr>
        <w:spacing w:before="120" w:after="120" w:line="360" w:lineRule="auto"/>
        <w:jc w:val="both"/>
        <w:rPr>
          <w:rFonts w:ascii="Arial" w:hAnsi="Arial" w:cs="Arial"/>
          <w:sz w:val="22"/>
          <w:szCs w:val="22"/>
          <w:lang w:val="en-ZA"/>
        </w:rPr>
      </w:pPr>
      <w:r w:rsidRPr="005E390A">
        <w:rPr>
          <w:rFonts w:ascii="Arial" w:hAnsi="Arial" w:cs="Arial"/>
          <w:sz w:val="22"/>
          <w:szCs w:val="22"/>
          <w:lang w:val="en-ZA"/>
        </w:rPr>
        <w:t>whether the reduction of the NPA’s court hours needs to be addressed in conjunction with the (a) magistracy and/or (b) judiciary; if not, what is the position in this regard; if so, what are the relevant details of all steps taken to date in each case?</w:t>
      </w:r>
    </w:p>
    <w:p w:rsidR="005E390A" w:rsidRDefault="005E390A" w:rsidP="005E390A">
      <w:pPr>
        <w:spacing w:before="120" w:after="120" w:line="360" w:lineRule="auto"/>
        <w:ind w:left="360"/>
        <w:jc w:val="right"/>
        <w:rPr>
          <w:rFonts w:ascii="Arial" w:hAnsi="Arial" w:cs="Arial"/>
          <w:b/>
          <w:sz w:val="22"/>
          <w:szCs w:val="22"/>
          <w:lang w:val="en-ZA"/>
        </w:rPr>
      </w:pPr>
      <w:r w:rsidRPr="005E390A">
        <w:rPr>
          <w:rFonts w:ascii="Arial" w:hAnsi="Arial" w:cs="Arial"/>
          <w:b/>
          <w:sz w:val="22"/>
          <w:szCs w:val="22"/>
          <w:lang w:val="en-ZA"/>
        </w:rPr>
        <w:t>NW2677E</w:t>
      </w:r>
    </w:p>
    <w:p w:rsidR="00B35B71" w:rsidRDefault="00B35B71" w:rsidP="005E390A">
      <w:pPr>
        <w:spacing w:before="120" w:after="120" w:line="360" w:lineRule="auto"/>
        <w:ind w:left="360"/>
        <w:jc w:val="right"/>
        <w:rPr>
          <w:rFonts w:ascii="Arial" w:hAnsi="Arial" w:cs="Arial"/>
          <w:b/>
          <w:sz w:val="22"/>
          <w:szCs w:val="22"/>
          <w:lang w:val="en-ZA"/>
        </w:rPr>
      </w:pPr>
    </w:p>
    <w:p w:rsidR="00F325EA" w:rsidRPr="00F325EA" w:rsidRDefault="00F325EA" w:rsidP="00484F5F">
      <w:pPr>
        <w:spacing w:line="276" w:lineRule="auto"/>
        <w:jc w:val="both"/>
        <w:rPr>
          <w:rFonts w:ascii="Arial" w:hAnsi="Arial" w:cs="Arial"/>
          <w:b/>
          <w:sz w:val="22"/>
          <w:szCs w:val="22"/>
          <w:lang w:val="en-GB"/>
        </w:rPr>
      </w:pPr>
      <w:r w:rsidRPr="00F325EA">
        <w:rPr>
          <w:rFonts w:ascii="Arial" w:hAnsi="Arial" w:cs="Arial"/>
          <w:b/>
          <w:sz w:val="22"/>
          <w:szCs w:val="22"/>
          <w:lang w:val="en-GB"/>
        </w:rPr>
        <w:t>REPLY:</w:t>
      </w:r>
    </w:p>
    <w:p w:rsidR="00F325EA" w:rsidRPr="00F325EA" w:rsidRDefault="00F325EA" w:rsidP="00484F5F">
      <w:pPr>
        <w:spacing w:line="276" w:lineRule="auto"/>
        <w:jc w:val="both"/>
        <w:rPr>
          <w:rFonts w:ascii="Arial" w:hAnsi="Arial" w:cs="Arial"/>
          <w:b/>
          <w:sz w:val="22"/>
          <w:szCs w:val="22"/>
          <w:lang w:val="en-GB"/>
        </w:rPr>
      </w:pPr>
    </w:p>
    <w:p w:rsidR="00B35B71" w:rsidRPr="00F325EA" w:rsidRDefault="004559C9" w:rsidP="00D4048F">
      <w:pPr>
        <w:numPr>
          <w:ilvl w:val="0"/>
          <w:numId w:val="34"/>
        </w:numPr>
        <w:spacing w:line="276" w:lineRule="auto"/>
        <w:jc w:val="both"/>
        <w:rPr>
          <w:rFonts w:ascii="Arial" w:hAnsi="Arial" w:cs="Arial"/>
          <w:sz w:val="22"/>
          <w:szCs w:val="22"/>
          <w:lang w:val="en-GB"/>
        </w:rPr>
      </w:pPr>
      <w:r>
        <w:rPr>
          <w:rFonts w:ascii="Arial" w:hAnsi="Arial" w:cs="Arial"/>
          <w:sz w:val="22"/>
          <w:szCs w:val="22"/>
          <w:lang w:val="en-GB"/>
        </w:rPr>
        <w:t>The National Prosecuting Authority has informed me that the detailed reasons for court hours declining by 7%, are as follows: The NPA had i</w:t>
      </w:r>
      <w:r w:rsidR="00B35B71" w:rsidRPr="00F325EA">
        <w:rPr>
          <w:rFonts w:ascii="Arial" w:hAnsi="Arial" w:cs="Arial"/>
          <w:sz w:val="22"/>
          <w:szCs w:val="22"/>
          <w:lang w:val="en-GB"/>
        </w:rPr>
        <w:t>ndicated in the Annual Report that an analysis of the court time spent on criminal matters in court</w:t>
      </w:r>
      <w:r>
        <w:rPr>
          <w:rFonts w:ascii="Arial" w:hAnsi="Arial" w:cs="Arial"/>
          <w:sz w:val="22"/>
          <w:szCs w:val="22"/>
          <w:lang w:val="en-GB"/>
        </w:rPr>
        <w:t>,</w:t>
      </w:r>
      <w:r w:rsidR="00B35B71" w:rsidRPr="00F325EA">
        <w:rPr>
          <w:rFonts w:ascii="Arial" w:hAnsi="Arial" w:cs="Arial"/>
          <w:sz w:val="22"/>
          <w:szCs w:val="22"/>
          <w:lang w:val="en-GB"/>
        </w:rPr>
        <w:t xml:space="preserve"> was conducted. More court days are being utilised as shown by the increase of 3.5%. However, the efficient use of those increased days is not reflected in the actual court hours used for criminal cases</w:t>
      </w:r>
      <w:r>
        <w:rPr>
          <w:rFonts w:ascii="Arial" w:hAnsi="Arial" w:cs="Arial"/>
          <w:sz w:val="22"/>
          <w:szCs w:val="22"/>
          <w:lang w:val="en-GB"/>
        </w:rPr>
        <w:t>,</w:t>
      </w:r>
      <w:r w:rsidR="00B35B71" w:rsidRPr="00F325EA">
        <w:rPr>
          <w:rFonts w:ascii="Arial" w:hAnsi="Arial" w:cs="Arial"/>
          <w:sz w:val="22"/>
          <w:szCs w:val="22"/>
          <w:lang w:val="en-GB"/>
        </w:rPr>
        <w:t xml:space="preserve"> which impedes all attempts to ensure speedy justice. The average court hours fell by 7.0% from an average of 3h31 maintained during 2014/15 to 3h16 during 2015/16. A total of 32 863:49 hours were lost compared to the previous reporting period.</w:t>
      </w:r>
    </w:p>
    <w:p w:rsidR="00484F5F" w:rsidRPr="00F325EA" w:rsidRDefault="00484F5F" w:rsidP="00D4048F">
      <w:pPr>
        <w:spacing w:line="276" w:lineRule="auto"/>
        <w:jc w:val="both"/>
        <w:rPr>
          <w:rFonts w:ascii="Arial" w:hAnsi="Arial" w:cs="Arial"/>
          <w:sz w:val="22"/>
          <w:szCs w:val="22"/>
          <w:lang w:val="en-GB"/>
        </w:rPr>
      </w:pPr>
    </w:p>
    <w:p w:rsidR="00484F5F" w:rsidRPr="00F325EA" w:rsidRDefault="00484F5F" w:rsidP="004559C9">
      <w:pPr>
        <w:spacing w:line="276" w:lineRule="auto"/>
        <w:jc w:val="both"/>
        <w:rPr>
          <w:rFonts w:ascii="Arial" w:hAnsi="Arial" w:cs="Arial"/>
          <w:sz w:val="22"/>
          <w:szCs w:val="22"/>
          <w:lang w:val="en-GB"/>
        </w:rPr>
      </w:pPr>
    </w:p>
    <w:p w:rsidR="00484F5F" w:rsidRPr="00F325EA" w:rsidRDefault="00484F5F" w:rsidP="004559C9">
      <w:pPr>
        <w:spacing w:line="276" w:lineRule="auto"/>
        <w:jc w:val="both"/>
        <w:rPr>
          <w:rFonts w:ascii="Arial" w:hAnsi="Arial" w:cs="Arial"/>
          <w:sz w:val="22"/>
          <w:szCs w:val="22"/>
          <w:lang w:val="en-GB"/>
        </w:rPr>
      </w:pPr>
    </w:p>
    <w:p w:rsidR="00B35B71" w:rsidRDefault="00B35B71" w:rsidP="004559C9">
      <w:pPr>
        <w:pStyle w:val="Caption"/>
        <w:spacing w:line="276" w:lineRule="auto"/>
        <w:jc w:val="both"/>
        <w:rPr>
          <w:lang w:val="en-GB"/>
        </w:rPr>
      </w:pPr>
      <w:bookmarkStart w:id="0" w:name="_Toc449354431"/>
      <w:r>
        <w:rPr>
          <w:lang w:val="en-GB"/>
        </w:rPr>
        <w:t>Table 4: Progress on criminal court hours</w:t>
      </w:r>
      <w:bookmarkEnd w:id="0"/>
    </w:p>
    <w:tbl>
      <w:tblPr>
        <w:tblW w:w="0" w:type="auto"/>
        <w:tblCellMar>
          <w:left w:w="0" w:type="dxa"/>
          <w:right w:w="0" w:type="dxa"/>
        </w:tblCellMar>
        <w:tblLook w:val="04A0"/>
      </w:tblPr>
      <w:tblGrid>
        <w:gridCol w:w="1827"/>
        <w:gridCol w:w="1549"/>
        <w:gridCol w:w="1550"/>
        <w:gridCol w:w="1550"/>
        <w:gridCol w:w="1550"/>
        <w:gridCol w:w="1550"/>
      </w:tblGrid>
      <w:tr w:rsidR="00B35B71" w:rsidTr="00B35B71">
        <w:trPr>
          <w:trHeight w:val="480"/>
        </w:trPr>
        <w:tc>
          <w:tcPr>
            <w:tcW w:w="1951"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lastRenderedPageBreak/>
              <w:t>FORUM</w:t>
            </w:r>
          </w:p>
        </w:tc>
        <w:tc>
          <w:tcPr>
            <w:tcW w:w="1651" w:type="dxa"/>
            <w:tcBorders>
              <w:top w:val="single" w:sz="8" w:space="0" w:color="000000"/>
              <w:left w:val="nil"/>
              <w:bottom w:val="single" w:sz="8" w:space="0" w:color="000000"/>
              <w:right w:val="nil"/>
            </w:tcBorders>
            <w:shd w:val="clear" w:color="auto" w:fill="7F7F7F"/>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AVE HOURS</w:t>
            </w:r>
          </w:p>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2014/15</w:t>
            </w:r>
          </w:p>
        </w:tc>
        <w:tc>
          <w:tcPr>
            <w:tcW w:w="1651"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Total Court Hours</w:t>
            </w:r>
          </w:p>
        </w:tc>
        <w:tc>
          <w:tcPr>
            <w:tcW w:w="1651" w:type="dxa"/>
            <w:tcBorders>
              <w:top w:val="single" w:sz="8" w:space="0" w:color="000000"/>
              <w:left w:val="nil"/>
              <w:bottom w:val="single" w:sz="8" w:space="0" w:color="000000"/>
              <w:right w:val="nil"/>
            </w:tcBorders>
            <w:shd w:val="clear" w:color="auto" w:fill="7F7F7F"/>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AVE HOURS</w:t>
            </w:r>
          </w:p>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2015/16</w:t>
            </w:r>
          </w:p>
        </w:tc>
        <w:tc>
          <w:tcPr>
            <w:tcW w:w="1651"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Total Court Hours</w:t>
            </w:r>
          </w:p>
        </w:tc>
        <w:tc>
          <w:tcPr>
            <w:tcW w:w="1651" w:type="dxa"/>
            <w:tcBorders>
              <w:top w:val="single" w:sz="8" w:space="0" w:color="000000"/>
              <w:left w:val="nil"/>
              <w:bottom w:val="single" w:sz="8" w:space="0" w:color="000000"/>
              <w:right w:val="nil"/>
            </w:tcBorders>
            <w:shd w:val="clear" w:color="auto" w:fill="7F7F7F"/>
            <w:noWrap/>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Progress</w:t>
            </w:r>
          </w:p>
        </w:tc>
      </w:tr>
      <w:tr w:rsidR="00B35B71" w:rsidTr="00B35B71">
        <w:trPr>
          <w:trHeight w:val="397"/>
        </w:trPr>
        <w:tc>
          <w:tcPr>
            <w:tcW w:w="19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b/>
                <w:bCs/>
                <w:color w:val="000000"/>
                <w:sz w:val="20"/>
                <w:szCs w:val="20"/>
              </w:rPr>
            </w:pPr>
            <w:r>
              <w:rPr>
                <w:rFonts w:ascii="Arial" w:hAnsi="Arial" w:cs="Arial"/>
                <w:b/>
                <w:bCs/>
                <w:color w:val="000000"/>
                <w:sz w:val="20"/>
                <w:szCs w:val="20"/>
              </w:rPr>
              <w:t>HIGH COURT</w:t>
            </w:r>
          </w:p>
        </w:tc>
        <w:tc>
          <w:tcPr>
            <w:tcW w:w="16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color w:val="000000"/>
                <w:sz w:val="20"/>
                <w:szCs w:val="20"/>
              </w:rPr>
            </w:pPr>
            <w:r>
              <w:rPr>
                <w:rFonts w:ascii="Arial" w:hAnsi="Arial" w:cs="Arial"/>
                <w:color w:val="000000"/>
                <w:sz w:val="20"/>
                <w:szCs w:val="20"/>
              </w:rPr>
              <w:t>03:04</w:t>
            </w:r>
          </w:p>
        </w:tc>
        <w:tc>
          <w:tcPr>
            <w:tcW w:w="16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color w:val="000000"/>
                <w:sz w:val="20"/>
                <w:szCs w:val="20"/>
              </w:rPr>
            </w:pPr>
            <w:r>
              <w:rPr>
                <w:rFonts w:ascii="Arial" w:hAnsi="Arial" w:cs="Arial"/>
                <w:color w:val="000000"/>
                <w:sz w:val="20"/>
                <w:szCs w:val="20"/>
              </w:rPr>
              <w:t>25798:15</w:t>
            </w:r>
          </w:p>
        </w:tc>
        <w:tc>
          <w:tcPr>
            <w:tcW w:w="16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color w:val="000000"/>
                <w:sz w:val="20"/>
                <w:szCs w:val="20"/>
              </w:rPr>
            </w:pPr>
            <w:r>
              <w:rPr>
                <w:rFonts w:ascii="Arial" w:hAnsi="Arial" w:cs="Arial"/>
                <w:color w:val="000000"/>
                <w:sz w:val="20"/>
                <w:szCs w:val="20"/>
              </w:rPr>
              <w:t>02:48</w:t>
            </w:r>
          </w:p>
        </w:tc>
        <w:tc>
          <w:tcPr>
            <w:tcW w:w="16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color w:val="000000"/>
                <w:sz w:val="20"/>
                <w:szCs w:val="20"/>
              </w:rPr>
            </w:pPr>
            <w:r>
              <w:rPr>
                <w:rFonts w:ascii="Arial" w:hAnsi="Arial" w:cs="Arial"/>
                <w:color w:val="000000"/>
                <w:sz w:val="20"/>
                <w:szCs w:val="20"/>
              </w:rPr>
              <w:t>26976:20</w:t>
            </w:r>
          </w:p>
        </w:tc>
        <w:tc>
          <w:tcPr>
            <w:tcW w:w="1651" w:type="dxa"/>
            <w:shd w:val="clear" w:color="auto" w:fill="F2F2F2"/>
            <w:noWrap/>
            <w:tcMar>
              <w:top w:w="0" w:type="dxa"/>
              <w:left w:w="108" w:type="dxa"/>
              <w:bottom w:w="0" w:type="dxa"/>
              <w:right w:w="108" w:type="dxa"/>
            </w:tcMar>
            <w:hideMark/>
          </w:tcPr>
          <w:p w:rsidR="00B35B71" w:rsidRDefault="00B35B71" w:rsidP="004559C9">
            <w:pPr>
              <w:spacing w:line="276" w:lineRule="auto"/>
              <w:jc w:val="both"/>
              <w:rPr>
                <w:rFonts w:ascii="Arial" w:hAnsi="Arial" w:cs="Arial"/>
                <w:color w:val="000000"/>
                <w:sz w:val="20"/>
                <w:szCs w:val="20"/>
              </w:rPr>
            </w:pPr>
            <w:r>
              <w:rPr>
                <w:rFonts w:ascii="Arial" w:hAnsi="Arial" w:cs="Arial"/>
                <w:color w:val="000000"/>
                <w:sz w:val="20"/>
                <w:szCs w:val="20"/>
              </w:rPr>
              <w:t>-8,7%</w:t>
            </w:r>
          </w:p>
        </w:tc>
      </w:tr>
      <w:tr w:rsidR="00B35B71" w:rsidTr="00B35B71">
        <w:trPr>
          <w:trHeight w:val="397"/>
        </w:trPr>
        <w:tc>
          <w:tcPr>
            <w:tcW w:w="19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b/>
                <w:bCs/>
                <w:color w:val="000000"/>
                <w:sz w:val="20"/>
                <w:szCs w:val="20"/>
              </w:rPr>
            </w:pPr>
            <w:r>
              <w:rPr>
                <w:rFonts w:ascii="Arial" w:hAnsi="Arial" w:cs="Arial"/>
                <w:b/>
                <w:bCs/>
                <w:color w:val="000000"/>
                <w:sz w:val="20"/>
                <w:szCs w:val="20"/>
              </w:rPr>
              <w:t>REGIONAL COURT</w:t>
            </w:r>
          </w:p>
        </w:tc>
        <w:tc>
          <w:tcPr>
            <w:tcW w:w="16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color w:val="000000"/>
                <w:sz w:val="20"/>
                <w:szCs w:val="20"/>
              </w:rPr>
            </w:pPr>
            <w:r>
              <w:rPr>
                <w:rFonts w:ascii="Arial" w:hAnsi="Arial" w:cs="Arial"/>
                <w:color w:val="000000"/>
                <w:sz w:val="20"/>
                <w:szCs w:val="20"/>
              </w:rPr>
              <w:t>03:38</w:t>
            </w:r>
          </w:p>
        </w:tc>
        <w:tc>
          <w:tcPr>
            <w:tcW w:w="16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260785:48</w:t>
            </w:r>
          </w:p>
        </w:tc>
        <w:tc>
          <w:tcPr>
            <w:tcW w:w="16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03:26</w:t>
            </w:r>
          </w:p>
        </w:tc>
        <w:tc>
          <w:tcPr>
            <w:tcW w:w="16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254333:54</w:t>
            </w:r>
          </w:p>
        </w:tc>
        <w:tc>
          <w:tcPr>
            <w:tcW w:w="1651" w:type="dxa"/>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-5,2%</w:t>
            </w:r>
          </w:p>
        </w:tc>
      </w:tr>
      <w:tr w:rsidR="00B35B71" w:rsidTr="00B35B71">
        <w:trPr>
          <w:trHeight w:val="397"/>
        </w:trPr>
        <w:tc>
          <w:tcPr>
            <w:tcW w:w="19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b/>
                <w:bCs/>
                <w:color w:val="000000"/>
                <w:sz w:val="20"/>
                <w:szCs w:val="20"/>
              </w:rPr>
            </w:pPr>
            <w:r>
              <w:rPr>
                <w:rFonts w:ascii="Arial" w:hAnsi="Arial" w:cs="Arial"/>
                <w:b/>
                <w:bCs/>
                <w:color w:val="000000"/>
                <w:sz w:val="20"/>
                <w:szCs w:val="20"/>
              </w:rPr>
              <w:t>DISTRICT COURT</w:t>
            </w:r>
          </w:p>
        </w:tc>
        <w:tc>
          <w:tcPr>
            <w:tcW w:w="16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color w:val="000000"/>
                <w:sz w:val="20"/>
                <w:szCs w:val="20"/>
              </w:rPr>
            </w:pPr>
            <w:r>
              <w:rPr>
                <w:rFonts w:ascii="Arial" w:hAnsi="Arial" w:cs="Arial"/>
                <w:color w:val="000000"/>
                <w:sz w:val="20"/>
                <w:szCs w:val="20"/>
              </w:rPr>
              <w:t>03:29</w:t>
            </w:r>
          </w:p>
        </w:tc>
        <w:tc>
          <w:tcPr>
            <w:tcW w:w="16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590284:31</w:t>
            </w:r>
          </w:p>
        </w:tc>
        <w:tc>
          <w:tcPr>
            <w:tcW w:w="16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03:13</w:t>
            </w:r>
          </w:p>
        </w:tc>
        <w:tc>
          <w:tcPr>
            <w:tcW w:w="16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562694:30</w:t>
            </w:r>
          </w:p>
        </w:tc>
        <w:tc>
          <w:tcPr>
            <w:tcW w:w="1651" w:type="dxa"/>
            <w:shd w:val="clear" w:color="auto" w:fill="F2F2F2"/>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-7,7%</w:t>
            </w:r>
          </w:p>
        </w:tc>
      </w:tr>
      <w:tr w:rsidR="00B35B71" w:rsidTr="00B35B71">
        <w:trPr>
          <w:trHeight w:val="397"/>
        </w:trPr>
        <w:tc>
          <w:tcPr>
            <w:tcW w:w="19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b/>
                <w:bCs/>
                <w:color w:val="000000"/>
                <w:sz w:val="20"/>
                <w:szCs w:val="20"/>
              </w:rPr>
            </w:pPr>
            <w:r>
              <w:rPr>
                <w:rFonts w:ascii="Arial" w:hAnsi="Arial" w:cs="Arial"/>
                <w:b/>
                <w:bCs/>
                <w:color w:val="000000"/>
                <w:sz w:val="20"/>
                <w:szCs w:val="20"/>
              </w:rPr>
              <w:t>ALL</w:t>
            </w:r>
          </w:p>
        </w:tc>
        <w:tc>
          <w:tcPr>
            <w:tcW w:w="16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jc w:val="both"/>
              <w:rPr>
                <w:rFonts w:ascii="Arial" w:hAnsi="Arial" w:cs="Arial"/>
                <w:b/>
                <w:bCs/>
                <w:color w:val="000000"/>
                <w:sz w:val="20"/>
                <w:szCs w:val="20"/>
              </w:rPr>
            </w:pPr>
            <w:r>
              <w:rPr>
                <w:rFonts w:ascii="Arial" w:hAnsi="Arial" w:cs="Arial"/>
                <w:b/>
                <w:bCs/>
                <w:color w:val="000000"/>
                <w:sz w:val="20"/>
                <w:szCs w:val="20"/>
              </w:rPr>
              <w:t>03:31</w:t>
            </w:r>
          </w:p>
        </w:tc>
        <w:tc>
          <w:tcPr>
            <w:tcW w:w="16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876868:34</w:t>
            </w:r>
          </w:p>
        </w:tc>
        <w:tc>
          <w:tcPr>
            <w:tcW w:w="16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03:16</w:t>
            </w:r>
          </w:p>
        </w:tc>
        <w:tc>
          <w:tcPr>
            <w:tcW w:w="16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844 004:44</w:t>
            </w:r>
          </w:p>
        </w:tc>
        <w:tc>
          <w:tcPr>
            <w:tcW w:w="1651" w:type="dxa"/>
            <w:tcBorders>
              <w:top w:val="nil"/>
              <w:left w:val="nil"/>
              <w:bottom w:val="single" w:sz="8" w:space="0" w:color="000000"/>
              <w:right w:val="nil"/>
            </w:tcBorders>
            <w:shd w:val="clear" w:color="auto" w:fill="D0CECE"/>
            <w:noWrap/>
            <w:tcMar>
              <w:top w:w="0" w:type="dxa"/>
              <w:left w:w="108" w:type="dxa"/>
              <w:bottom w:w="0" w:type="dxa"/>
              <w:right w:w="108" w:type="dxa"/>
            </w:tcMar>
            <w:hideMark/>
          </w:tcPr>
          <w:p w:rsidR="00B35B71" w:rsidRDefault="00B35B71" w:rsidP="004559C9">
            <w:pPr>
              <w:spacing w:after="100" w:afterAutospacing="1" w:line="276" w:lineRule="auto"/>
              <w:ind w:firstLine="84"/>
              <w:jc w:val="both"/>
              <w:rPr>
                <w:rFonts w:ascii="Arial" w:hAnsi="Arial" w:cs="Arial"/>
                <w:color w:val="000000"/>
                <w:sz w:val="20"/>
                <w:szCs w:val="20"/>
              </w:rPr>
            </w:pPr>
            <w:r>
              <w:rPr>
                <w:rFonts w:ascii="Arial" w:hAnsi="Arial" w:cs="Arial"/>
                <w:color w:val="000000"/>
                <w:sz w:val="20"/>
                <w:szCs w:val="20"/>
              </w:rPr>
              <w:t>-7.0%</w:t>
            </w:r>
          </w:p>
        </w:tc>
      </w:tr>
    </w:tbl>
    <w:p w:rsidR="00B35B71" w:rsidRDefault="00B35B71" w:rsidP="004559C9">
      <w:pPr>
        <w:spacing w:line="276" w:lineRule="auto"/>
        <w:jc w:val="both"/>
        <w:rPr>
          <w:rFonts w:ascii="Arial" w:eastAsia="Calibri" w:hAnsi="Arial" w:cs="Arial"/>
          <w:lang w:val="en-ZA" w:eastAsia="en-ZA"/>
        </w:rPr>
      </w:pPr>
    </w:p>
    <w:p w:rsidR="00484F5F" w:rsidRPr="00F325EA" w:rsidRDefault="00484F5F" w:rsidP="004559C9">
      <w:pPr>
        <w:spacing w:line="276" w:lineRule="auto"/>
        <w:ind w:left="720"/>
        <w:jc w:val="both"/>
        <w:rPr>
          <w:rFonts w:ascii="Arial" w:eastAsia="Calibri" w:hAnsi="Arial" w:cs="Arial"/>
          <w:sz w:val="22"/>
          <w:szCs w:val="22"/>
          <w:lang w:val="en-ZA" w:eastAsia="en-ZA"/>
        </w:rPr>
      </w:pPr>
      <w:r w:rsidRPr="00F325EA">
        <w:rPr>
          <w:rFonts w:ascii="Arial" w:eastAsia="Calibri" w:hAnsi="Arial" w:cs="Arial"/>
          <w:sz w:val="22"/>
          <w:szCs w:val="22"/>
          <w:lang w:val="en-ZA" w:eastAsia="en-ZA"/>
        </w:rPr>
        <w:t>Unfortunately, the NPA does not record the reasons for loss of court hours and it does not reflect all court hours as only criminal court hours are recorded. The judiciary are keeping record of the hours as well as the reasons for loss of hours and these are discussed at case flow management meetings where problems in this regard are being addressed.</w:t>
      </w:r>
    </w:p>
    <w:p w:rsidR="00484F5F" w:rsidRPr="00F325EA" w:rsidRDefault="00484F5F" w:rsidP="004559C9">
      <w:pPr>
        <w:spacing w:line="276" w:lineRule="auto"/>
        <w:jc w:val="both"/>
        <w:rPr>
          <w:rFonts w:ascii="Arial" w:eastAsia="Calibri" w:hAnsi="Arial" w:cs="Arial"/>
          <w:sz w:val="22"/>
          <w:szCs w:val="22"/>
          <w:lang w:val="en-ZA" w:eastAsia="en-ZA"/>
        </w:rPr>
      </w:pPr>
    </w:p>
    <w:p w:rsidR="004559C9" w:rsidRPr="004606BF" w:rsidRDefault="004606BF" w:rsidP="004606BF">
      <w:pPr>
        <w:spacing w:line="276" w:lineRule="auto"/>
        <w:ind w:left="720" w:hanging="294"/>
        <w:jc w:val="both"/>
        <w:rPr>
          <w:rFonts w:ascii="Arial" w:hAnsi="Arial" w:cs="Arial"/>
          <w:sz w:val="22"/>
          <w:szCs w:val="22"/>
          <w:lang w:val="en-GB"/>
        </w:rPr>
      </w:pPr>
      <w:r>
        <w:rPr>
          <w:rFonts w:ascii="Arial" w:hAnsi="Arial" w:cs="Arial"/>
          <w:sz w:val="22"/>
          <w:szCs w:val="22"/>
          <w:lang w:val="en-GB"/>
        </w:rPr>
        <w:t xml:space="preserve">2) </w:t>
      </w:r>
      <w:r w:rsidR="00B35B71" w:rsidRPr="00F325EA">
        <w:rPr>
          <w:rFonts w:ascii="Arial" w:hAnsi="Arial" w:cs="Arial"/>
          <w:sz w:val="22"/>
          <w:szCs w:val="22"/>
          <w:lang w:val="en-GB"/>
        </w:rPr>
        <w:t>In the Annual Report</w:t>
      </w:r>
      <w:r w:rsidR="004559C9">
        <w:rPr>
          <w:rFonts w:ascii="Arial" w:hAnsi="Arial" w:cs="Arial"/>
          <w:sz w:val="22"/>
          <w:szCs w:val="22"/>
          <w:lang w:val="en-GB"/>
        </w:rPr>
        <w:t xml:space="preserve">, the NPA </w:t>
      </w:r>
      <w:r w:rsidR="00B35B71" w:rsidRPr="00F325EA">
        <w:rPr>
          <w:rFonts w:ascii="Arial" w:hAnsi="Arial" w:cs="Arial"/>
          <w:sz w:val="22"/>
          <w:szCs w:val="22"/>
          <w:lang w:val="en-GB"/>
        </w:rPr>
        <w:t>indicated that the effective performance of the NPA is directly linked to the effective performance of the other role players within the criminal justice system. Ensuring that cases proceed when they are set down for trial remains a primary challenge that the system has not adequately addressed. The implementation of pre-trial hearings identified by the NPA, Legal Aid South Africa and the Office of the Chief Justice as one of the solutions to prevent remands of trial ready cases has been slow in gaining traction, particularly in the lower courts. This has been compounded by the placing of too few trial cases on the court rolls, resulting in wasted court hours. The norms and standards issued by the Chief Justice have not yet led to increased court hours. Inadequacies of role-players in the system remain a concern as they impact on the finalisation of case. However, these are monitored and reported at the P</w:t>
      </w:r>
      <w:r w:rsidR="004559C9">
        <w:rPr>
          <w:rFonts w:ascii="Arial" w:hAnsi="Arial" w:cs="Arial"/>
          <w:sz w:val="22"/>
          <w:szCs w:val="22"/>
          <w:lang w:val="en-GB"/>
        </w:rPr>
        <w:t xml:space="preserve">rovincial </w:t>
      </w:r>
      <w:r w:rsidR="00B35B71" w:rsidRPr="00F325EA">
        <w:rPr>
          <w:rFonts w:ascii="Arial" w:hAnsi="Arial" w:cs="Arial"/>
          <w:sz w:val="22"/>
          <w:szCs w:val="22"/>
          <w:lang w:val="en-GB"/>
        </w:rPr>
        <w:t>E</w:t>
      </w:r>
      <w:r w:rsidR="004559C9">
        <w:rPr>
          <w:rFonts w:ascii="Arial" w:hAnsi="Arial" w:cs="Arial"/>
          <w:sz w:val="22"/>
          <w:szCs w:val="22"/>
          <w:lang w:val="en-GB"/>
        </w:rPr>
        <w:t xml:space="preserve">fficiency </w:t>
      </w:r>
      <w:r w:rsidR="00B35B71" w:rsidRPr="00F325EA">
        <w:rPr>
          <w:rFonts w:ascii="Arial" w:hAnsi="Arial" w:cs="Arial"/>
          <w:sz w:val="22"/>
          <w:szCs w:val="22"/>
          <w:lang w:val="en-GB"/>
        </w:rPr>
        <w:t>E</w:t>
      </w:r>
      <w:r w:rsidR="004559C9">
        <w:rPr>
          <w:rFonts w:ascii="Arial" w:hAnsi="Arial" w:cs="Arial"/>
          <w:sz w:val="22"/>
          <w:szCs w:val="22"/>
          <w:lang w:val="en-GB"/>
        </w:rPr>
        <w:t xml:space="preserve">nhancement </w:t>
      </w:r>
      <w:r w:rsidR="00B35B71" w:rsidRPr="00F325EA">
        <w:rPr>
          <w:rFonts w:ascii="Arial" w:hAnsi="Arial" w:cs="Arial"/>
          <w:sz w:val="22"/>
          <w:szCs w:val="22"/>
          <w:lang w:val="en-GB"/>
        </w:rPr>
        <w:t>C</w:t>
      </w:r>
      <w:r w:rsidR="004559C9">
        <w:rPr>
          <w:rFonts w:ascii="Arial" w:hAnsi="Arial" w:cs="Arial"/>
          <w:sz w:val="22"/>
          <w:szCs w:val="22"/>
          <w:lang w:val="en-GB"/>
        </w:rPr>
        <w:t>ommittee (PEEC)</w:t>
      </w:r>
      <w:r w:rsidR="00B35B71" w:rsidRPr="00F325EA">
        <w:rPr>
          <w:rFonts w:ascii="Arial" w:hAnsi="Arial" w:cs="Arial"/>
          <w:sz w:val="22"/>
          <w:szCs w:val="22"/>
          <w:lang w:val="en-GB"/>
        </w:rPr>
        <w:t xml:space="preserve"> meetings</w:t>
      </w:r>
      <w:r w:rsidR="004559C9">
        <w:rPr>
          <w:rFonts w:ascii="Arial" w:hAnsi="Arial" w:cs="Arial"/>
          <w:sz w:val="22"/>
          <w:szCs w:val="22"/>
          <w:lang w:val="en-GB"/>
        </w:rPr>
        <w:t>, which are chaired by the Judges President of every province</w:t>
      </w:r>
      <w:r w:rsidR="00B35B71" w:rsidRPr="00F325EA">
        <w:rPr>
          <w:rFonts w:ascii="Arial" w:hAnsi="Arial" w:cs="Arial"/>
          <w:sz w:val="22"/>
          <w:szCs w:val="22"/>
          <w:lang w:val="en-GB"/>
        </w:rPr>
        <w:t xml:space="preserve">. </w:t>
      </w:r>
    </w:p>
    <w:p w:rsidR="00B35B71" w:rsidRPr="00F325EA" w:rsidRDefault="004606BF" w:rsidP="004606BF">
      <w:pPr>
        <w:spacing w:line="276" w:lineRule="auto"/>
        <w:ind w:left="720" w:hanging="294"/>
        <w:jc w:val="both"/>
        <w:rPr>
          <w:rFonts w:ascii="Arial" w:hAnsi="Arial" w:cs="Arial"/>
          <w:sz w:val="22"/>
          <w:szCs w:val="22"/>
          <w:lang w:val="en-GB"/>
        </w:rPr>
      </w:pPr>
      <w:r>
        <w:rPr>
          <w:rFonts w:ascii="Arial" w:hAnsi="Arial" w:cs="Arial"/>
          <w:sz w:val="22"/>
          <w:szCs w:val="22"/>
          <w:lang w:val="en-GB"/>
        </w:rPr>
        <w:t xml:space="preserve">3) </w:t>
      </w:r>
      <w:r w:rsidR="00B35B71" w:rsidRPr="00F325EA">
        <w:rPr>
          <w:rFonts w:ascii="Arial" w:hAnsi="Arial" w:cs="Arial"/>
          <w:sz w:val="22"/>
          <w:szCs w:val="22"/>
          <w:lang w:val="en-GB"/>
        </w:rPr>
        <w:t>This is partly answered by the paragraph</w:t>
      </w:r>
      <w:r w:rsidR="00484F5F" w:rsidRPr="00F325EA">
        <w:rPr>
          <w:rFonts w:ascii="Arial" w:hAnsi="Arial" w:cs="Arial"/>
          <w:sz w:val="22"/>
          <w:szCs w:val="22"/>
          <w:lang w:val="en-GB"/>
        </w:rPr>
        <w:t>s</w:t>
      </w:r>
      <w:r w:rsidR="00B35B71" w:rsidRPr="00F325EA">
        <w:rPr>
          <w:rFonts w:ascii="Arial" w:hAnsi="Arial" w:cs="Arial"/>
          <w:sz w:val="22"/>
          <w:szCs w:val="22"/>
          <w:lang w:val="en-GB"/>
        </w:rPr>
        <w:t xml:space="preserve"> </w:t>
      </w:r>
      <w:r w:rsidR="004559C9">
        <w:rPr>
          <w:rFonts w:ascii="Arial" w:hAnsi="Arial" w:cs="Arial"/>
          <w:sz w:val="22"/>
          <w:szCs w:val="22"/>
          <w:lang w:val="en-GB"/>
        </w:rPr>
        <w:t xml:space="preserve">under answer (2) </w:t>
      </w:r>
      <w:r w:rsidR="00B35B71" w:rsidRPr="00F325EA">
        <w:rPr>
          <w:rFonts w:ascii="Arial" w:hAnsi="Arial" w:cs="Arial"/>
          <w:sz w:val="22"/>
          <w:szCs w:val="22"/>
          <w:lang w:val="en-GB"/>
        </w:rPr>
        <w:t>above, particularly with regard to the need for pre-tr</w:t>
      </w:r>
      <w:r w:rsidR="004559C9">
        <w:rPr>
          <w:rFonts w:ascii="Arial" w:hAnsi="Arial" w:cs="Arial"/>
          <w:sz w:val="22"/>
          <w:szCs w:val="22"/>
          <w:lang w:val="en-GB"/>
        </w:rPr>
        <w:t>ia</w:t>
      </w:r>
      <w:r w:rsidR="00B35B71" w:rsidRPr="00F325EA">
        <w:rPr>
          <w:rFonts w:ascii="Arial" w:hAnsi="Arial" w:cs="Arial"/>
          <w:sz w:val="22"/>
          <w:szCs w:val="22"/>
          <w:lang w:val="en-GB"/>
        </w:rPr>
        <w:t>l hearings and the placing of sufficient trial cases on the court rolls.</w:t>
      </w:r>
    </w:p>
    <w:p w:rsidR="00B35B71" w:rsidRPr="00F325EA" w:rsidRDefault="00B35B71" w:rsidP="004559C9">
      <w:pPr>
        <w:spacing w:before="120" w:after="120" w:line="276" w:lineRule="auto"/>
        <w:ind w:left="360"/>
        <w:jc w:val="both"/>
        <w:rPr>
          <w:rFonts w:ascii="Arial" w:hAnsi="Arial" w:cs="Arial"/>
          <w:b/>
          <w:sz w:val="22"/>
          <w:szCs w:val="22"/>
          <w:lang w:val="en-ZA"/>
        </w:rPr>
      </w:pPr>
    </w:p>
    <w:p w:rsidR="00983C6B" w:rsidRPr="00F325EA" w:rsidRDefault="00983C6B" w:rsidP="004559C9">
      <w:pPr>
        <w:spacing w:before="120" w:after="120" w:line="276" w:lineRule="auto"/>
        <w:jc w:val="both"/>
        <w:rPr>
          <w:rFonts w:ascii="Arial" w:hAnsi="Arial" w:cs="Arial"/>
          <w:b/>
          <w:sz w:val="22"/>
          <w:szCs w:val="22"/>
        </w:rPr>
      </w:pPr>
      <w:r w:rsidRPr="00F325EA">
        <w:rPr>
          <w:rFonts w:ascii="Arial" w:hAnsi="Arial" w:cs="Arial"/>
          <w:b/>
          <w:sz w:val="22"/>
          <w:szCs w:val="22"/>
        </w:rPr>
        <w:br w:type="page"/>
      </w:r>
    </w:p>
    <w:p w:rsidR="00983C6B" w:rsidRPr="00F325EA" w:rsidRDefault="00983C6B" w:rsidP="00983C6B">
      <w:pPr>
        <w:rPr>
          <w:rFonts w:ascii="Arial" w:hAnsi="Arial" w:cs="Arial"/>
          <w:b/>
          <w:sz w:val="22"/>
          <w:szCs w:val="22"/>
        </w:rPr>
      </w:pPr>
    </w:p>
    <w:sectPr w:rsidR="00983C6B" w:rsidRPr="00F325EA"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1B" w:rsidRDefault="000F291B" w:rsidP="00913892">
      <w:r>
        <w:separator/>
      </w:r>
    </w:p>
  </w:endnote>
  <w:endnote w:type="continuationSeparator" w:id="0">
    <w:p w:rsidR="000F291B" w:rsidRDefault="000F291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1481D" w:rsidRPr="0051481D">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1B" w:rsidRDefault="000F291B" w:rsidP="00913892">
      <w:r>
        <w:separator/>
      </w:r>
    </w:p>
  </w:footnote>
  <w:footnote w:type="continuationSeparator" w:id="0">
    <w:p w:rsidR="000F291B" w:rsidRDefault="000F291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8E21B4"/>
    <w:multiLevelType w:val="hybridMultilevel"/>
    <w:tmpl w:val="55B2062A"/>
    <w:lvl w:ilvl="0" w:tplc="B66CD156">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42474AF"/>
    <w:multiLevelType w:val="hybridMultilevel"/>
    <w:tmpl w:val="505C667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E3636E0"/>
    <w:multiLevelType w:val="hybridMultilevel"/>
    <w:tmpl w:val="E98E718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5"/>
  </w:num>
  <w:num w:numId="6">
    <w:abstractNumId w:val="2"/>
  </w:num>
  <w:num w:numId="7">
    <w:abstractNumId w:val="31"/>
  </w:num>
  <w:num w:numId="8">
    <w:abstractNumId w:val="10"/>
  </w:num>
  <w:num w:numId="9">
    <w:abstractNumId w:val="15"/>
  </w:num>
  <w:num w:numId="10">
    <w:abstractNumId w:val="27"/>
  </w:num>
  <w:num w:numId="11">
    <w:abstractNumId w:val="1"/>
  </w:num>
  <w:num w:numId="12">
    <w:abstractNumId w:val="18"/>
  </w:num>
  <w:num w:numId="13">
    <w:abstractNumId w:val="13"/>
  </w:num>
  <w:num w:numId="14">
    <w:abstractNumId w:val="16"/>
  </w:num>
  <w:num w:numId="15">
    <w:abstractNumId w:val="9"/>
  </w:num>
  <w:num w:numId="16">
    <w:abstractNumId w:val="14"/>
  </w:num>
  <w:num w:numId="17">
    <w:abstractNumId w:val="29"/>
  </w:num>
  <w:num w:numId="18">
    <w:abstractNumId w:val="19"/>
  </w:num>
  <w:num w:numId="19">
    <w:abstractNumId w:val="17"/>
  </w:num>
  <w:num w:numId="20">
    <w:abstractNumId w:val="28"/>
  </w:num>
  <w:num w:numId="21">
    <w:abstractNumId w:val="22"/>
  </w:num>
  <w:num w:numId="22">
    <w:abstractNumId w:val="23"/>
  </w:num>
  <w:num w:numId="23">
    <w:abstractNumId w:val="8"/>
  </w:num>
  <w:num w:numId="24">
    <w:abstractNumId w:val="24"/>
  </w:num>
  <w:num w:numId="25">
    <w:abstractNumId w:val="4"/>
  </w:num>
  <w:num w:numId="26">
    <w:abstractNumId w:val="6"/>
  </w:num>
  <w:num w:numId="27">
    <w:abstractNumId w:val="21"/>
  </w:num>
  <w:num w:numId="28">
    <w:abstractNumId w:val="30"/>
  </w:num>
  <w:num w:numId="29">
    <w:abstractNumId w:val="5"/>
  </w:num>
  <w:num w:numId="30">
    <w:abstractNumId w:val="11"/>
  </w:num>
  <w:num w:numId="31">
    <w:abstractNumId w:val="32"/>
  </w:num>
  <w:num w:numId="32">
    <w:abstractNumId w:val="7"/>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B36CC"/>
    <w:rsid w:val="000C01D4"/>
    <w:rsid w:val="000D4F57"/>
    <w:rsid w:val="000E7085"/>
    <w:rsid w:val="000E76BA"/>
    <w:rsid w:val="000F291B"/>
    <w:rsid w:val="00105174"/>
    <w:rsid w:val="00110B8F"/>
    <w:rsid w:val="00120775"/>
    <w:rsid w:val="00134C16"/>
    <w:rsid w:val="001354F5"/>
    <w:rsid w:val="00144111"/>
    <w:rsid w:val="00156483"/>
    <w:rsid w:val="001702F2"/>
    <w:rsid w:val="001774BC"/>
    <w:rsid w:val="00183DED"/>
    <w:rsid w:val="001848C4"/>
    <w:rsid w:val="00192D26"/>
    <w:rsid w:val="00194B05"/>
    <w:rsid w:val="001A6D2A"/>
    <w:rsid w:val="001B00F0"/>
    <w:rsid w:val="001E1BE7"/>
    <w:rsid w:val="001E3A59"/>
    <w:rsid w:val="001F445E"/>
    <w:rsid w:val="00203F6A"/>
    <w:rsid w:val="00213182"/>
    <w:rsid w:val="0021549B"/>
    <w:rsid w:val="002269FD"/>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B68CD"/>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47BA5"/>
    <w:rsid w:val="004559C9"/>
    <w:rsid w:val="004572CE"/>
    <w:rsid w:val="004606BF"/>
    <w:rsid w:val="00465448"/>
    <w:rsid w:val="00465A51"/>
    <w:rsid w:val="00484F5F"/>
    <w:rsid w:val="004926BD"/>
    <w:rsid w:val="004B6B6B"/>
    <w:rsid w:val="004F6FEC"/>
    <w:rsid w:val="0051481D"/>
    <w:rsid w:val="00515B6A"/>
    <w:rsid w:val="005160F8"/>
    <w:rsid w:val="0054211D"/>
    <w:rsid w:val="005453E2"/>
    <w:rsid w:val="005601A1"/>
    <w:rsid w:val="00572F09"/>
    <w:rsid w:val="005772C1"/>
    <w:rsid w:val="005835BC"/>
    <w:rsid w:val="005856A7"/>
    <w:rsid w:val="00585897"/>
    <w:rsid w:val="005B6209"/>
    <w:rsid w:val="005E365A"/>
    <w:rsid w:val="005E390A"/>
    <w:rsid w:val="005E6608"/>
    <w:rsid w:val="00612214"/>
    <w:rsid w:val="00625CD7"/>
    <w:rsid w:val="00630932"/>
    <w:rsid w:val="00653FE5"/>
    <w:rsid w:val="00670788"/>
    <w:rsid w:val="0067545A"/>
    <w:rsid w:val="006959E4"/>
    <w:rsid w:val="006B042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67135"/>
    <w:rsid w:val="00973033"/>
    <w:rsid w:val="00983C6B"/>
    <w:rsid w:val="009868D6"/>
    <w:rsid w:val="0098762D"/>
    <w:rsid w:val="009A755B"/>
    <w:rsid w:val="009B0CAB"/>
    <w:rsid w:val="009D4F78"/>
    <w:rsid w:val="009E0268"/>
    <w:rsid w:val="009E1C96"/>
    <w:rsid w:val="009F17AE"/>
    <w:rsid w:val="009F1B70"/>
    <w:rsid w:val="009F2D5C"/>
    <w:rsid w:val="00A37320"/>
    <w:rsid w:val="00A42301"/>
    <w:rsid w:val="00A425BB"/>
    <w:rsid w:val="00A4711C"/>
    <w:rsid w:val="00A64328"/>
    <w:rsid w:val="00A6432A"/>
    <w:rsid w:val="00A66729"/>
    <w:rsid w:val="00A7136B"/>
    <w:rsid w:val="00A84430"/>
    <w:rsid w:val="00AA2AB0"/>
    <w:rsid w:val="00AA39AC"/>
    <w:rsid w:val="00AD7B7A"/>
    <w:rsid w:val="00AE18B9"/>
    <w:rsid w:val="00AF5D91"/>
    <w:rsid w:val="00B021CE"/>
    <w:rsid w:val="00B13369"/>
    <w:rsid w:val="00B170EA"/>
    <w:rsid w:val="00B26AB3"/>
    <w:rsid w:val="00B35B71"/>
    <w:rsid w:val="00B40A2F"/>
    <w:rsid w:val="00B46E62"/>
    <w:rsid w:val="00B553A6"/>
    <w:rsid w:val="00B8345D"/>
    <w:rsid w:val="00B92BCB"/>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31ED8"/>
    <w:rsid w:val="00D4048F"/>
    <w:rsid w:val="00D463C8"/>
    <w:rsid w:val="00D50C5D"/>
    <w:rsid w:val="00D56B43"/>
    <w:rsid w:val="00D619BD"/>
    <w:rsid w:val="00D74CDB"/>
    <w:rsid w:val="00D764A0"/>
    <w:rsid w:val="00D76DA7"/>
    <w:rsid w:val="00D80139"/>
    <w:rsid w:val="00D86E52"/>
    <w:rsid w:val="00D903BC"/>
    <w:rsid w:val="00D93903"/>
    <w:rsid w:val="00DA495F"/>
    <w:rsid w:val="00DB11B2"/>
    <w:rsid w:val="00DC255C"/>
    <w:rsid w:val="00DC592F"/>
    <w:rsid w:val="00DC7CDA"/>
    <w:rsid w:val="00DE1284"/>
    <w:rsid w:val="00DF2638"/>
    <w:rsid w:val="00E1080E"/>
    <w:rsid w:val="00E17F42"/>
    <w:rsid w:val="00E44AFC"/>
    <w:rsid w:val="00E55AFD"/>
    <w:rsid w:val="00E6461F"/>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25EA"/>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Caption">
    <w:name w:val="caption"/>
    <w:basedOn w:val="Normal"/>
    <w:uiPriority w:val="35"/>
    <w:semiHidden/>
    <w:unhideWhenUsed/>
    <w:qFormat/>
    <w:locked/>
    <w:rsid w:val="00B35B71"/>
    <w:pPr>
      <w:spacing w:after="200"/>
    </w:pPr>
    <w:rPr>
      <w:rFonts w:ascii="Calibri" w:eastAsia="Calibri" w:hAnsi="Calibri"/>
      <w:i/>
      <w:iCs/>
      <w:color w:val="44546A"/>
      <w:sz w:val="18"/>
      <w:szCs w:val="18"/>
      <w:lang w:val="en-ZA"/>
    </w:rPr>
  </w:style>
</w:styles>
</file>

<file path=word/webSettings.xml><?xml version="1.0" encoding="utf-8"?>
<w:webSettings xmlns:r="http://schemas.openxmlformats.org/officeDocument/2006/relationships" xmlns:w="http://schemas.openxmlformats.org/wordprocessingml/2006/main">
  <w:divs>
    <w:div w:id="89086087">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258B4E-3835-48BF-A116-5077B792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2016-11-03T15:41:00Z</cp:lastPrinted>
  <dcterms:created xsi:type="dcterms:W3CDTF">2016-12-06T12:31:00Z</dcterms:created>
  <dcterms:modified xsi:type="dcterms:W3CDTF">2016-12-06T12:31:00Z</dcterms:modified>
</cp:coreProperties>
</file>