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C73398" w:rsidP="002E72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53" w:rsidRPr="002E7253" w:rsidRDefault="002E7253" w:rsidP="00393BE0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lang w:val="en-ZA"/>
        </w:rPr>
        <w:t>NATIONAL ASSEMBLY</w:t>
      </w:r>
    </w:p>
    <w:p w:rsidR="002E7253" w:rsidRPr="002E7253" w:rsidRDefault="00393BE0" w:rsidP="00393BE0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QUESTION </w:t>
      </w:r>
      <w:r w:rsidR="002E7253" w:rsidRPr="002E7253">
        <w:rPr>
          <w:rFonts w:ascii="Arial" w:eastAsia="Calibri" w:hAnsi="Arial" w:cs="Arial"/>
          <w:b/>
          <w:bCs/>
          <w:sz w:val="22"/>
          <w:szCs w:val="22"/>
          <w:lang w:val="en-GB"/>
        </w:rPr>
        <w:t>FOR WRITTEN REPLY</w:t>
      </w:r>
    </w:p>
    <w:p w:rsidR="002E7253" w:rsidRPr="002E7253" w:rsidRDefault="00393BE0" w:rsidP="00393BE0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PARLIAMENTARY </w:t>
      </w:r>
      <w:r w:rsidR="002E7253" w:rsidRPr="002E7253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NO: </w:t>
      </w:r>
      <w:r w:rsidR="004926BD">
        <w:rPr>
          <w:rFonts w:ascii="Arial" w:eastAsia="Calibri" w:hAnsi="Arial" w:cs="Arial"/>
          <w:b/>
          <w:bCs/>
          <w:sz w:val="22"/>
          <w:szCs w:val="22"/>
          <w:lang w:val="en-GB"/>
        </w:rPr>
        <w:t>2</w:t>
      </w:r>
      <w:r w:rsidR="003B0260">
        <w:rPr>
          <w:rFonts w:ascii="Arial" w:eastAsia="Calibri" w:hAnsi="Arial" w:cs="Arial"/>
          <w:b/>
          <w:bCs/>
          <w:sz w:val="22"/>
          <w:szCs w:val="22"/>
          <w:lang w:val="en-GB"/>
        </w:rPr>
        <w:t>3</w:t>
      </w:r>
      <w:r w:rsidR="00B92BCB">
        <w:rPr>
          <w:rFonts w:ascii="Arial" w:eastAsia="Calibri" w:hAnsi="Arial" w:cs="Arial"/>
          <w:b/>
          <w:bCs/>
          <w:sz w:val="22"/>
          <w:szCs w:val="22"/>
          <w:lang w:val="en-GB"/>
        </w:rPr>
        <w:t>3</w:t>
      </w:r>
      <w:r w:rsidR="001E3A59">
        <w:rPr>
          <w:rFonts w:ascii="Arial" w:eastAsia="Calibri" w:hAnsi="Arial" w:cs="Arial"/>
          <w:b/>
          <w:bCs/>
          <w:sz w:val="22"/>
          <w:szCs w:val="22"/>
          <w:lang w:val="en-GB"/>
        </w:rPr>
        <w:t>8</w:t>
      </w:r>
    </w:p>
    <w:p w:rsidR="002E7253" w:rsidRPr="00393BE0" w:rsidRDefault="002E7253" w:rsidP="00393BE0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393BE0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DATE OF QUESTION: </w:t>
      </w:r>
      <w:r w:rsidR="005601A1" w:rsidRPr="00393BE0">
        <w:rPr>
          <w:rFonts w:ascii="Arial" w:eastAsia="Calibri" w:hAnsi="Arial" w:cs="Arial"/>
          <w:b/>
          <w:bCs/>
          <w:sz w:val="22"/>
          <w:szCs w:val="22"/>
          <w:lang w:val="en-GB"/>
        </w:rPr>
        <w:t>2</w:t>
      </w:r>
      <w:r w:rsidR="00B021CE" w:rsidRPr="00393BE0">
        <w:rPr>
          <w:rFonts w:ascii="Arial" w:eastAsia="Calibri" w:hAnsi="Arial" w:cs="Arial"/>
          <w:b/>
          <w:bCs/>
          <w:sz w:val="22"/>
          <w:szCs w:val="22"/>
          <w:lang w:val="en-GB"/>
        </w:rPr>
        <w:t>8</w:t>
      </w:r>
      <w:r w:rsidR="00393BE0" w:rsidRPr="00393BE0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OCTOBER </w:t>
      </w:r>
      <w:r w:rsidRPr="00393BE0">
        <w:rPr>
          <w:rFonts w:ascii="Arial" w:eastAsia="Calibri" w:hAnsi="Arial" w:cs="Arial"/>
          <w:b/>
          <w:bCs/>
          <w:sz w:val="22"/>
          <w:szCs w:val="22"/>
          <w:lang w:val="en-GB"/>
        </w:rPr>
        <w:t>2016</w:t>
      </w:r>
    </w:p>
    <w:p w:rsidR="00D463C8" w:rsidRPr="00393BE0" w:rsidRDefault="00791471" w:rsidP="00393BE0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393BE0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DATE OF SUBMISSION: </w:t>
      </w:r>
      <w:r w:rsidR="00B021CE" w:rsidRPr="00393BE0">
        <w:rPr>
          <w:rFonts w:ascii="Arial" w:eastAsia="Calibri" w:hAnsi="Arial" w:cs="Arial"/>
          <w:b/>
          <w:bCs/>
          <w:sz w:val="22"/>
          <w:szCs w:val="22"/>
          <w:lang w:val="en-GB"/>
        </w:rPr>
        <w:t>11</w:t>
      </w:r>
      <w:r w:rsidR="00281574" w:rsidRPr="00393BE0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="005601A1" w:rsidRPr="00393BE0">
        <w:rPr>
          <w:rFonts w:ascii="Arial" w:eastAsia="Calibri" w:hAnsi="Arial" w:cs="Arial"/>
          <w:b/>
          <w:bCs/>
          <w:sz w:val="22"/>
          <w:szCs w:val="22"/>
          <w:lang w:val="en-GB"/>
        </w:rPr>
        <w:t>NOVEM</w:t>
      </w:r>
      <w:r w:rsidRPr="00393BE0">
        <w:rPr>
          <w:rFonts w:ascii="Arial" w:eastAsia="Calibri" w:hAnsi="Arial" w:cs="Arial"/>
          <w:b/>
          <w:bCs/>
          <w:sz w:val="22"/>
          <w:szCs w:val="22"/>
          <w:lang w:val="en-GB"/>
        </w:rPr>
        <w:t>BER</w:t>
      </w:r>
      <w:r w:rsidR="009F2D5C" w:rsidRPr="00393BE0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="00D463C8" w:rsidRPr="00393BE0">
        <w:rPr>
          <w:rFonts w:ascii="Arial" w:eastAsia="Calibri" w:hAnsi="Arial" w:cs="Arial"/>
          <w:b/>
          <w:bCs/>
          <w:sz w:val="22"/>
          <w:szCs w:val="22"/>
          <w:lang w:val="en-GB"/>
        </w:rPr>
        <w:t>2016</w:t>
      </w:r>
    </w:p>
    <w:p w:rsidR="00CB2778" w:rsidRPr="00CB2778" w:rsidRDefault="00CB2778" w:rsidP="00CB2778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CB2778">
        <w:rPr>
          <w:rFonts w:ascii="Arial" w:hAnsi="Arial" w:cs="Arial"/>
          <w:b/>
          <w:bCs/>
          <w:sz w:val="22"/>
          <w:szCs w:val="22"/>
          <w:lang w:val="en-ZA"/>
        </w:rPr>
        <w:t>Adv G Breytenbach (DA) to ask the Minister of Justice and Correctional Services:</w:t>
      </w:r>
    </w:p>
    <w:p w:rsidR="001E3A59" w:rsidRPr="001E3A59" w:rsidRDefault="001E3A59" w:rsidP="001E3A59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1E3A59">
        <w:rPr>
          <w:rFonts w:ascii="Arial" w:hAnsi="Arial" w:cs="Arial"/>
          <w:sz w:val="22"/>
          <w:szCs w:val="22"/>
          <w:lang w:val="en-ZA"/>
        </w:rPr>
        <w:t>(a) How did the National Prosecuting Authority calculate its conviction rate for the 2015</w:t>
      </w:r>
      <w:r w:rsidR="00F32054">
        <w:rPr>
          <w:rFonts w:ascii="Arial" w:hAnsi="Arial" w:cs="Arial"/>
          <w:sz w:val="22"/>
          <w:szCs w:val="22"/>
          <w:lang w:val="en-ZA"/>
        </w:rPr>
        <w:t>/</w:t>
      </w:r>
      <w:r w:rsidRPr="001E3A59">
        <w:rPr>
          <w:rFonts w:ascii="Arial" w:hAnsi="Arial" w:cs="Arial"/>
          <w:sz w:val="22"/>
          <w:szCs w:val="22"/>
          <w:lang w:val="en-ZA"/>
        </w:rPr>
        <w:t>16 financial year and (b) which factors did it take into account when calculating the specified rate;</w:t>
      </w:r>
    </w:p>
    <w:p w:rsidR="001E3A59" w:rsidRDefault="001E3A59" w:rsidP="001E3A59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1E3A59">
        <w:rPr>
          <w:rFonts w:ascii="Arial" w:hAnsi="Arial" w:cs="Arial"/>
          <w:sz w:val="22"/>
          <w:szCs w:val="22"/>
          <w:lang w:val="en-ZA"/>
        </w:rPr>
        <w:t>(a) what is the total number of cases that (i) were withdrawn in each region in the specified financial year and (ii) were re-enrolled in the 2016</w:t>
      </w:r>
      <w:r w:rsidR="00F32054">
        <w:rPr>
          <w:rFonts w:ascii="Arial" w:hAnsi="Arial" w:cs="Arial"/>
          <w:sz w:val="22"/>
          <w:szCs w:val="22"/>
          <w:lang w:val="en-ZA"/>
        </w:rPr>
        <w:t>/</w:t>
      </w:r>
      <w:r w:rsidRPr="001E3A59">
        <w:rPr>
          <w:rFonts w:ascii="Arial" w:hAnsi="Arial" w:cs="Arial"/>
          <w:sz w:val="22"/>
          <w:szCs w:val="22"/>
          <w:lang w:val="en-ZA"/>
        </w:rPr>
        <w:t>17 financial year and (b) what are the</w:t>
      </w:r>
      <w:r>
        <w:rPr>
          <w:rFonts w:ascii="Arial" w:hAnsi="Arial" w:cs="Arial"/>
          <w:sz w:val="22"/>
          <w:szCs w:val="22"/>
          <w:lang w:val="en-ZA"/>
        </w:rPr>
        <w:t xml:space="preserve"> relevant details in each case?</w:t>
      </w:r>
    </w:p>
    <w:p w:rsidR="001E3A59" w:rsidRPr="001E3A59" w:rsidRDefault="001E3A59" w:rsidP="001E3A59">
      <w:pPr>
        <w:spacing w:before="120" w:after="120" w:line="360" w:lineRule="auto"/>
        <w:ind w:left="360"/>
        <w:jc w:val="right"/>
        <w:rPr>
          <w:rFonts w:ascii="Arial" w:hAnsi="Arial" w:cs="Arial"/>
          <w:b/>
          <w:sz w:val="22"/>
          <w:szCs w:val="22"/>
          <w:lang w:val="en-ZA"/>
        </w:rPr>
      </w:pPr>
      <w:r w:rsidRPr="001E3A59">
        <w:rPr>
          <w:rFonts w:ascii="Arial" w:hAnsi="Arial" w:cs="Arial"/>
          <w:b/>
          <w:sz w:val="22"/>
          <w:szCs w:val="22"/>
          <w:lang w:val="en-ZA"/>
        </w:rPr>
        <w:t>NW2673E</w:t>
      </w:r>
    </w:p>
    <w:p w:rsidR="00983C6B" w:rsidRDefault="00983C6B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983C6B" w:rsidRDefault="00983C6B" w:rsidP="00983C6B">
      <w:pPr>
        <w:rPr>
          <w:rFonts w:ascii="Arial" w:hAnsi="Arial" w:cs="Arial"/>
          <w:b/>
        </w:rPr>
      </w:pPr>
    </w:p>
    <w:p w:rsidR="00EB6235" w:rsidRPr="00EB6235" w:rsidRDefault="00F32054" w:rsidP="007003DA">
      <w:pPr>
        <w:pStyle w:val="PlainText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(1)(a) </w:t>
      </w:r>
      <w:r w:rsidR="00EB6235" w:rsidRPr="00EB6235">
        <w:rPr>
          <w:rFonts w:ascii="Arial" w:eastAsia="Times New Roman" w:hAnsi="Arial" w:cs="Arial"/>
        </w:rPr>
        <w:t xml:space="preserve">The National Prosecuting Authority calculates its general conviction rates and crime specific conviction rates on the basis of verdict cases. </w:t>
      </w:r>
      <w:r>
        <w:rPr>
          <w:rFonts w:ascii="Arial" w:eastAsia="Times New Roman" w:hAnsi="Arial" w:cs="Arial"/>
        </w:rPr>
        <w:t xml:space="preserve">(b) </w:t>
      </w:r>
      <w:r w:rsidR="00EB6235" w:rsidRPr="00EB6235">
        <w:rPr>
          <w:rFonts w:ascii="Arial" w:eastAsia="Times New Roman" w:hAnsi="Arial" w:cs="Arial"/>
        </w:rPr>
        <w:t xml:space="preserve">It is </w:t>
      </w:r>
      <w:r>
        <w:rPr>
          <w:rFonts w:ascii="Arial" w:eastAsia="Times New Roman" w:hAnsi="Arial" w:cs="Arial"/>
        </w:rPr>
        <w:t xml:space="preserve">calculated in terms of </w:t>
      </w:r>
      <w:r w:rsidR="00EB6235" w:rsidRPr="00EB6235">
        <w:rPr>
          <w:rFonts w:ascii="Arial" w:eastAsia="Times New Roman" w:hAnsi="Arial" w:cs="Arial"/>
        </w:rPr>
        <w:t>the percentage of cases finalised with a verdict in which a guilty verdict was obtained.</w:t>
      </w:r>
    </w:p>
    <w:p w:rsidR="00EB6235" w:rsidRPr="00EB6235" w:rsidRDefault="00EB6235" w:rsidP="007003DA">
      <w:pPr>
        <w:pStyle w:val="PlainText"/>
        <w:spacing w:line="360" w:lineRule="auto"/>
        <w:jc w:val="both"/>
        <w:rPr>
          <w:rFonts w:ascii="Arial" w:eastAsia="Times New Roman" w:hAnsi="Arial" w:cs="Arial"/>
        </w:rPr>
      </w:pPr>
    </w:p>
    <w:p w:rsidR="00EB6235" w:rsidRPr="00EB6235" w:rsidRDefault="00EB6235" w:rsidP="007003DA">
      <w:pPr>
        <w:pStyle w:val="PlainText"/>
        <w:spacing w:line="360" w:lineRule="auto"/>
        <w:jc w:val="both"/>
        <w:rPr>
          <w:rFonts w:ascii="Arial" w:eastAsia="Times New Roman" w:hAnsi="Arial" w:cs="Arial"/>
        </w:rPr>
      </w:pPr>
      <w:r w:rsidRPr="00EB6235">
        <w:rPr>
          <w:rFonts w:ascii="Arial" w:eastAsia="Times New Roman" w:hAnsi="Arial" w:cs="Arial"/>
        </w:rPr>
        <w:t>The percentage is determined by taking the cases finalised with a guilty verdict (including Sec</w:t>
      </w:r>
      <w:r w:rsidR="00F32054">
        <w:rPr>
          <w:rFonts w:ascii="Arial" w:eastAsia="Times New Roman" w:hAnsi="Arial" w:cs="Arial"/>
        </w:rPr>
        <w:t>tion</w:t>
      </w:r>
      <w:r w:rsidRPr="00EB6235">
        <w:rPr>
          <w:rFonts w:ascii="Arial" w:eastAsia="Times New Roman" w:hAnsi="Arial" w:cs="Arial"/>
        </w:rPr>
        <w:t xml:space="preserve"> 57A of the C</w:t>
      </w:r>
      <w:r w:rsidR="00F32054">
        <w:rPr>
          <w:rFonts w:ascii="Arial" w:eastAsia="Times New Roman" w:hAnsi="Arial" w:cs="Arial"/>
        </w:rPr>
        <w:t xml:space="preserve">riminal </w:t>
      </w:r>
      <w:r w:rsidRPr="00EB6235">
        <w:rPr>
          <w:rFonts w:ascii="Arial" w:eastAsia="Times New Roman" w:hAnsi="Arial" w:cs="Arial"/>
        </w:rPr>
        <w:t>P</w:t>
      </w:r>
      <w:r w:rsidR="00F32054">
        <w:rPr>
          <w:rFonts w:ascii="Arial" w:eastAsia="Times New Roman" w:hAnsi="Arial" w:cs="Arial"/>
        </w:rPr>
        <w:t xml:space="preserve">rocedure </w:t>
      </w:r>
      <w:r w:rsidRPr="00EB6235">
        <w:rPr>
          <w:rFonts w:ascii="Arial" w:eastAsia="Times New Roman" w:hAnsi="Arial" w:cs="Arial"/>
        </w:rPr>
        <w:t>A</w:t>
      </w:r>
      <w:r w:rsidR="00F32054">
        <w:rPr>
          <w:rFonts w:ascii="Arial" w:eastAsia="Times New Roman" w:hAnsi="Arial" w:cs="Arial"/>
        </w:rPr>
        <w:t>ct, 1977</w:t>
      </w:r>
      <w:r w:rsidRPr="00EB6235">
        <w:rPr>
          <w:rFonts w:ascii="Arial" w:eastAsia="Times New Roman" w:hAnsi="Arial" w:cs="Arial"/>
        </w:rPr>
        <w:t>) divided by the total number of cases finalised with a verdict. In the case of convictions these are only measured at the date of sentencing, while in the case of not-guilty verdicts these cases will be counted on the date of such verdict (i.e. only finalised cases are measured).</w:t>
      </w:r>
    </w:p>
    <w:p w:rsidR="00EB6235" w:rsidRPr="00EB6235" w:rsidRDefault="00EB6235" w:rsidP="007003DA">
      <w:pPr>
        <w:pStyle w:val="PlainText"/>
        <w:spacing w:line="360" w:lineRule="auto"/>
        <w:jc w:val="both"/>
        <w:rPr>
          <w:rFonts w:ascii="Arial" w:eastAsia="Times New Roman" w:hAnsi="Arial" w:cs="Arial"/>
        </w:rPr>
      </w:pPr>
    </w:p>
    <w:p w:rsidR="00EB6235" w:rsidRPr="00EB6235" w:rsidRDefault="00EB6235" w:rsidP="007003DA">
      <w:pPr>
        <w:pStyle w:val="PlainText"/>
        <w:spacing w:line="360" w:lineRule="auto"/>
        <w:jc w:val="both"/>
        <w:rPr>
          <w:rFonts w:ascii="Arial" w:eastAsia="Times New Roman" w:hAnsi="Arial" w:cs="Arial"/>
        </w:rPr>
      </w:pPr>
      <w:r w:rsidRPr="00EB6235">
        <w:rPr>
          <w:rFonts w:ascii="Arial" w:eastAsia="Times New Roman" w:hAnsi="Arial" w:cs="Arial"/>
        </w:rPr>
        <w:t xml:space="preserve">The reply to question 2 (a) </w:t>
      </w:r>
      <w:r w:rsidR="00F32054">
        <w:rPr>
          <w:rFonts w:ascii="Arial" w:eastAsia="Times New Roman" w:hAnsi="Arial" w:cs="Arial"/>
        </w:rPr>
        <w:t xml:space="preserve">on the </w:t>
      </w:r>
      <w:r w:rsidRPr="00EB6235">
        <w:rPr>
          <w:rFonts w:ascii="Arial" w:eastAsia="Times New Roman" w:hAnsi="Arial" w:cs="Arial"/>
        </w:rPr>
        <w:t>total number of cases that (i) were withdrawn in each region in the specified financial year and (ii) were re-enrolled in the 2016</w:t>
      </w:r>
      <w:r w:rsidR="00F32054">
        <w:rPr>
          <w:rFonts w:ascii="Arial" w:eastAsia="Times New Roman" w:hAnsi="Arial" w:cs="Arial"/>
        </w:rPr>
        <w:t>/</w:t>
      </w:r>
      <w:r w:rsidRPr="00EB6235">
        <w:rPr>
          <w:rFonts w:ascii="Arial" w:eastAsia="Times New Roman" w:hAnsi="Arial" w:cs="Arial"/>
        </w:rPr>
        <w:t>17 financial year and (b) what are th</w:t>
      </w:r>
      <w:r w:rsidR="00F32054">
        <w:rPr>
          <w:rFonts w:ascii="Arial" w:eastAsia="Times New Roman" w:hAnsi="Arial" w:cs="Arial"/>
        </w:rPr>
        <w:t>e relevant details in each case, are explained below.</w:t>
      </w:r>
    </w:p>
    <w:p w:rsidR="00EB6235" w:rsidRPr="00EB6235" w:rsidRDefault="00EB6235" w:rsidP="007003DA">
      <w:pPr>
        <w:pStyle w:val="PlainText"/>
        <w:spacing w:line="360" w:lineRule="auto"/>
        <w:jc w:val="both"/>
        <w:rPr>
          <w:rFonts w:ascii="Arial" w:eastAsia="Times New Roman" w:hAnsi="Arial" w:cs="Arial"/>
        </w:rPr>
      </w:pPr>
    </w:p>
    <w:p w:rsidR="00EB6235" w:rsidRPr="00EB6235" w:rsidRDefault="00EB6235" w:rsidP="007003DA">
      <w:pPr>
        <w:pStyle w:val="PlainText"/>
        <w:spacing w:line="360" w:lineRule="auto"/>
        <w:jc w:val="both"/>
        <w:rPr>
          <w:rFonts w:ascii="Arial" w:eastAsia="Times New Roman" w:hAnsi="Arial" w:cs="Arial"/>
        </w:rPr>
      </w:pPr>
      <w:r w:rsidRPr="00EB6235">
        <w:rPr>
          <w:rFonts w:ascii="Arial" w:eastAsia="Times New Roman" w:hAnsi="Arial" w:cs="Arial"/>
        </w:rPr>
        <w:t xml:space="preserve">The table below sets out the number </w:t>
      </w:r>
      <w:r w:rsidR="00F32054">
        <w:rPr>
          <w:rFonts w:ascii="Arial" w:eastAsia="Times New Roman" w:hAnsi="Arial" w:cs="Arial"/>
        </w:rPr>
        <w:t xml:space="preserve">of cases </w:t>
      </w:r>
      <w:r w:rsidRPr="00EB6235">
        <w:rPr>
          <w:rFonts w:ascii="Arial" w:eastAsia="Times New Roman" w:hAnsi="Arial" w:cs="Arial"/>
        </w:rPr>
        <w:t>withdrawn per region, per forum</w:t>
      </w:r>
      <w:r w:rsidR="00F32054">
        <w:rPr>
          <w:rFonts w:ascii="Arial" w:eastAsia="Times New Roman" w:hAnsi="Arial" w:cs="Arial"/>
        </w:rPr>
        <w:t>. T</w:t>
      </w:r>
      <w:r w:rsidRPr="00EB6235">
        <w:rPr>
          <w:rFonts w:ascii="Arial" w:eastAsia="Times New Roman" w:hAnsi="Arial" w:cs="Arial"/>
        </w:rPr>
        <w:t>he figures show the S</w:t>
      </w:r>
      <w:r w:rsidR="00F32054">
        <w:rPr>
          <w:rFonts w:ascii="Arial" w:eastAsia="Times New Roman" w:hAnsi="Arial" w:cs="Arial"/>
        </w:rPr>
        <w:t xml:space="preserve">erious </w:t>
      </w:r>
      <w:r w:rsidRPr="00EB6235">
        <w:rPr>
          <w:rFonts w:ascii="Arial" w:eastAsia="Times New Roman" w:hAnsi="Arial" w:cs="Arial"/>
        </w:rPr>
        <w:t>C</w:t>
      </w:r>
      <w:r w:rsidR="00F32054">
        <w:rPr>
          <w:rFonts w:ascii="Arial" w:eastAsia="Times New Roman" w:hAnsi="Arial" w:cs="Arial"/>
        </w:rPr>
        <w:t xml:space="preserve">ommercial </w:t>
      </w:r>
      <w:r w:rsidRPr="00EB6235">
        <w:rPr>
          <w:rFonts w:ascii="Arial" w:eastAsia="Times New Roman" w:hAnsi="Arial" w:cs="Arial"/>
        </w:rPr>
        <w:t>C</w:t>
      </w:r>
      <w:r w:rsidR="00F32054">
        <w:rPr>
          <w:rFonts w:ascii="Arial" w:eastAsia="Times New Roman" w:hAnsi="Arial" w:cs="Arial"/>
        </w:rPr>
        <w:t xml:space="preserve">rimes </w:t>
      </w:r>
      <w:r w:rsidRPr="00EB6235">
        <w:rPr>
          <w:rFonts w:ascii="Arial" w:eastAsia="Times New Roman" w:hAnsi="Arial" w:cs="Arial"/>
        </w:rPr>
        <w:t>U</w:t>
      </w:r>
      <w:r w:rsidR="00F32054">
        <w:rPr>
          <w:rFonts w:ascii="Arial" w:eastAsia="Times New Roman" w:hAnsi="Arial" w:cs="Arial"/>
        </w:rPr>
        <w:t>nit (SCCU)</w:t>
      </w:r>
      <w:r w:rsidRPr="00EB6235">
        <w:rPr>
          <w:rFonts w:ascii="Arial" w:eastAsia="Times New Roman" w:hAnsi="Arial" w:cs="Arial"/>
        </w:rPr>
        <w:t xml:space="preserve"> cases separately from the other regional courts. </w:t>
      </w:r>
      <w:r w:rsidR="00F32054">
        <w:rPr>
          <w:rFonts w:ascii="Arial" w:eastAsia="Times New Roman" w:hAnsi="Arial" w:cs="Arial"/>
        </w:rPr>
        <w:t>I am further informed that t</w:t>
      </w:r>
      <w:r w:rsidRPr="00EB6235">
        <w:rPr>
          <w:rFonts w:ascii="Arial" w:eastAsia="Times New Roman" w:hAnsi="Arial" w:cs="Arial"/>
        </w:rPr>
        <w:t>he N</w:t>
      </w:r>
      <w:r w:rsidR="00F32054">
        <w:rPr>
          <w:rFonts w:ascii="Arial" w:eastAsia="Times New Roman" w:hAnsi="Arial" w:cs="Arial"/>
        </w:rPr>
        <w:t xml:space="preserve">ational </w:t>
      </w:r>
      <w:r w:rsidRPr="00EB6235">
        <w:rPr>
          <w:rFonts w:ascii="Arial" w:eastAsia="Times New Roman" w:hAnsi="Arial" w:cs="Arial"/>
        </w:rPr>
        <w:t>P</w:t>
      </w:r>
      <w:r w:rsidR="00F32054">
        <w:rPr>
          <w:rFonts w:ascii="Arial" w:eastAsia="Times New Roman" w:hAnsi="Arial" w:cs="Arial"/>
        </w:rPr>
        <w:t xml:space="preserve">rosecuting </w:t>
      </w:r>
      <w:r w:rsidRPr="00EB6235">
        <w:rPr>
          <w:rFonts w:ascii="Arial" w:eastAsia="Times New Roman" w:hAnsi="Arial" w:cs="Arial"/>
        </w:rPr>
        <w:t>A</w:t>
      </w:r>
      <w:r w:rsidR="00F32054">
        <w:rPr>
          <w:rFonts w:ascii="Arial" w:eastAsia="Times New Roman" w:hAnsi="Arial" w:cs="Arial"/>
        </w:rPr>
        <w:t>uthority (NPA)</w:t>
      </w:r>
      <w:r w:rsidRPr="00EB6235">
        <w:rPr>
          <w:rFonts w:ascii="Arial" w:eastAsia="Times New Roman" w:hAnsi="Arial" w:cs="Arial"/>
        </w:rPr>
        <w:t xml:space="preserve"> does not keep details of re-enrolments (these are new court cases) and is unable to supply the details of each case.</w:t>
      </w:r>
    </w:p>
    <w:p w:rsidR="00EB6235" w:rsidRDefault="00EB6235" w:rsidP="00EB6235">
      <w:pPr>
        <w:pStyle w:val="PlainText"/>
        <w:rPr>
          <w:color w:val="000000"/>
          <w:lang w:val="en-GB"/>
        </w:rPr>
      </w:pPr>
    </w:p>
    <w:tbl>
      <w:tblPr>
        <w:tblW w:w="6883" w:type="dxa"/>
        <w:tblCellMar>
          <w:left w:w="0" w:type="dxa"/>
          <w:right w:w="0" w:type="dxa"/>
        </w:tblCellMar>
        <w:tblLook w:val="04A0"/>
      </w:tblPr>
      <w:tblGrid>
        <w:gridCol w:w="1725"/>
        <w:gridCol w:w="1446"/>
        <w:gridCol w:w="1181"/>
        <w:gridCol w:w="1399"/>
        <w:gridCol w:w="1010"/>
        <w:gridCol w:w="1119"/>
        <w:gridCol w:w="1151"/>
      </w:tblGrid>
      <w:tr w:rsidR="00EB6235" w:rsidRPr="00F32054" w:rsidTr="00EB6235">
        <w:trPr>
          <w:trHeight w:val="408"/>
        </w:trPr>
        <w:tc>
          <w:tcPr>
            <w:tcW w:w="112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FINANCIAL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</w:t>
            </w:r>
            <w:r w:rsid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istrict </w:t>
            </w: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</w:t>
            </w:r>
            <w:r w:rsid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ourts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  <w:r w:rsid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egional </w:t>
            </w: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</w:t>
            </w:r>
            <w:r w:rsid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ourts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SCCU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</w:t>
            </w:r>
            <w:r w:rsid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igh </w:t>
            </w: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</w:t>
            </w:r>
            <w:r w:rsid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ourts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TOTAL</w:t>
            </w:r>
          </w:p>
        </w:tc>
      </w:tr>
      <w:tr w:rsidR="00EB6235" w:rsidRPr="00F32054" w:rsidTr="00EB6235">
        <w:trPr>
          <w:trHeight w:val="288"/>
        </w:trPr>
        <w:tc>
          <w:tcPr>
            <w:tcW w:w="1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2015/2016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ECD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10877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11980</w:t>
            </w:r>
          </w:p>
        </w:tc>
      </w:tr>
      <w:tr w:rsidR="00EB6235" w:rsidRPr="00F32054" w:rsidTr="00EB6235">
        <w:trPr>
          <w:trHeight w:val="288"/>
        </w:trPr>
        <w:tc>
          <w:tcPr>
            <w:tcW w:w="1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2015/2016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ECD Mthatha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1671</w:t>
            </w:r>
          </w:p>
        </w:tc>
      </w:tr>
      <w:tr w:rsidR="00EB6235" w:rsidRPr="00F32054" w:rsidTr="00EB6235">
        <w:trPr>
          <w:trHeight w:val="288"/>
        </w:trPr>
        <w:tc>
          <w:tcPr>
            <w:tcW w:w="1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2015/2016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FSD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5053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6013</w:t>
            </w:r>
          </w:p>
        </w:tc>
      </w:tr>
      <w:tr w:rsidR="00EB6235" w:rsidRPr="00F32054" w:rsidTr="00EB6235">
        <w:trPr>
          <w:trHeight w:val="288"/>
        </w:trPr>
        <w:tc>
          <w:tcPr>
            <w:tcW w:w="1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2015/2016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KZND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20641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22867</w:t>
            </w:r>
          </w:p>
        </w:tc>
      </w:tr>
      <w:tr w:rsidR="00EB6235" w:rsidRPr="00F32054" w:rsidTr="00EB6235">
        <w:trPr>
          <w:trHeight w:val="288"/>
        </w:trPr>
        <w:tc>
          <w:tcPr>
            <w:tcW w:w="1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2015/2016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NCD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2809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3093</w:t>
            </w:r>
          </w:p>
        </w:tc>
      </w:tr>
      <w:tr w:rsidR="00EB6235" w:rsidRPr="00F32054" w:rsidTr="00EB6235">
        <w:trPr>
          <w:trHeight w:val="288"/>
        </w:trPr>
        <w:tc>
          <w:tcPr>
            <w:tcW w:w="1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2015/2016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NGD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17621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2719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20409</w:t>
            </w:r>
          </w:p>
        </w:tc>
      </w:tr>
      <w:tr w:rsidR="00EB6235" w:rsidRPr="00F32054" w:rsidTr="00EB6235">
        <w:trPr>
          <w:trHeight w:val="288"/>
        </w:trPr>
        <w:tc>
          <w:tcPr>
            <w:tcW w:w="1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2015/2016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NWD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3413</w:t>
            </w:r>
          </w:p>
        </w:tc>
      </w:tr>
      <w:tr w:rsidR="00EB6235" w:rsidRPr="00F32054" w:rsidTr="00EB6235">
        <w:trPr>
          <w:trHeight w:val="288"/>
        </w:trPr>
        <w:tc>
          <w:tcPr>
            <w:tcW w:w="1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2015/2016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SGD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6096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7992</w:t>
            </w:r>
          </w:p>
        </w:tc>
      </w:tr>
      <w:tr w:rsidR="00EB6235" w:rsidRPr="00F32054" w:rsidTr="00EB6235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2015/2016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WCD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27934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29963</w:t>
            </w:r>
          </w:p>
        </w:tc>
      </w:tr>
      <w:tr w:rsidR="00EB6235" w:rsidRPr="00F32054" w:rsidTr="00EB6235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2015/2016 Total</w:t>
            </w:r>
          </w:p>
        </w:tc>
        <w:tc>
          <w:tcPr>
            <w:tcW w:w="96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95119</w:t>
            </w:r>
          </w:p>
        </w:tc>
        <w:tc>
          <w:tcPr>
            <w:tcW w:w="96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11982</w:t>
            </w:r>
          </w:p>
        </w:tc>
        <w:tc>
          <w:tcPr>
            <w:tcW w:w="96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960" w:type="dxa"/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960" w:type="dxa"/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235" w:rsidRPr="00F32054" w:rsidRDefault="00EB62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205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107401</w:t>
            </w:r>
          </w:p>
        </w:tc>
      </w:tr>
    </w:tbl>
    <w:p w:rsidR="00EB6235" w:rsidRPr="00F32054" w:rsidRDefault="00EB6235" w:rsidP="00393BE0">
      <w:pPr>
        <w:rPr>
          <w:rFonts w:ascii="Arial" w:hAnsi="Arial" w:cs="Arial"/>
          <w:b/>
          <w:sz w:val="28"/>
          <w:szCs w:val="28"/>
        </w:rPr>
      </w:pPr>
    </w:p>
    <w:sectPr w:rsidR="00EB6235" w:rsidRPr="00F32054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7" w:rsidRDefault="004C15D7" w:rsidP="00913892">
      <w:r>
        <w:separator/>
      </w:r>
    </w:p>
  </w:endnote>
  <w:endnote w:type="continuationSeparator" w:id="0">
    <w:p w:rsidR="004C15D7" w:rsidRDefault="004C15D7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C73398" w:rsidRPr="00C73398">
        <w:rPr>
          <w:b/>
          <w:bCs/>
          <w:noProof/>
        </w:rPr>
        <w:t>2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7" w:rsidRDefault="004C15D7" w:rsidP="00913892">
      <w:r>
        <w:separator/>
      </w:r>
    </w:p>
  </w:footnote>
  <w:footnote w:type="continuationSeparator" w:id="0">
    <w:p w:rsidR="004C15D7" w:rsidRDefault="004C15D7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21B4"/>
    <w:multiLevelType w:val="hybridMultilevel"/>
    <w:tmpl w:val="55B2062A"/>
    <w:lvl w:ilvl="0" w:tplc="B66CD156">
      <w:start w:val="1"/>
      <w:numFmt w:val="decimal"/>
      <w:lvlText w:val="(%1)"/>
      <w:lvlJc w:val="left"/>
      <w:pPr>
        <w:ind w:left="720" w:hanging="6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E3636E0"/>
    <w:multiLevelType w:val="hybridMultilevel"/>
    <w:tmpl w:val="E98E718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0"/>
  </w:num>
  <w:num w:numId="5">
    <w:abstractNumId w:val="25"/>
  </w:num>
  <w:num w:numId="6">
    <w:abstractNumId w:val="2"/>
  </w:num>
  <w:num w:numId="7">
    <w:abstractNumId w:val="30"/>
  </w:num>
  <w:num w:numId="8">
    <w:abstractNumId w:val="10"/>
  </w:num>
  <w:num w:numId="9">
    <w:abstractNumId w:val="15"/>
  </w:num>
  <w:num w:numId="10">
    <w:abstractNumId w:val="26"/>
  </w:num>
  <w:num w:numId="11">
    <w:abstractNumId w:val="1"/>
  </w:num>
  <w:num w:numId="12">
    <w:abstractNumId w:val="18"/>
  </w:num>
  <w:num w:numId="13">
    <w:abstractNumId w:val="13"/>
  </w:num>
  <w:num w:numId="14">
    <w:abstractNumId w:val="16"/>
  </w:num>
  <w:num w:numId="15">
    <w:abstractNumId w:val="9"/>
  </w:num>
  <w:num w:numId="16">
    <w:abstractNumId w:val="14"/>
  </w:num>
  <w:num w:numId="17">
    <w:abstractNumId w:val="28"/>
  </w:num>
  <w:num w:numId="18">
    <w:abstractNumId w:val="19"/>
  </w:num>
  <w:num w:numId="19">
    <w:abstractNumId w:val="17"/>
  </w:num>
  <w:num w:numId="20">
    <w:abstractNumId w:val="27"/>
  </w:num>
  <w:num w:numId="21">
    <w:abstractNumId w:val="22"/>
  </w:num>
  <w:num w:numId="22">
    <w:abstractNumId w:val="23"/>
  </w:num>
  <w:num w:numId="23">
    <w:abstractNumId w:val="8"/>
  </w:num>
  <w:num w:numId="24">
    <w:abstractNumId w:val="24"/>
  </w:num>
  <w:num w:numId="25">
    <w:abstractNumId w:val="4"/>
  </w:num>
  <w:num w:numId="26">
    <w:abstractNumId w:val="6"/>
  </w:num>
  <w:num w:numId="27">
    <w:abstractNumId w:val="21"/>
  </w:num>
  <w:num w:numId="28">
    <w:abstractNumId w:val="29"/>
  </w:num>
  <w:num w:numId="29">
    <w:abstractNumId w:val="5"/>
  </w:num>
  <w:num w:numId="30">
    <w:abstractNumId w:val="11"/>
  </w:num>
  <w:num w:numId="31">
    <w:abstractNumId w:val="31"/>
  </w:num>
  <w:num w:numId="3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A3DA5"/>
    <w:rsid w:val="000C01D4"/>
    <w:rsid w:val="000D4F5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6D2A"/>
    <w:rsid w:val="001B00F0"/>
    <w:rsid w:val="001E1BE7"/>
    <w:rsid w:val="001E3A59"/>
    <w:rsid w:val="001F445E"/>
    <w:rsid w:val="00203F6A"/>
    <w:rsid w:val="00213182"/>
    <w:rsid w:val="0021549B"/>
    <w:rsid w:val="002269FD"/>
    <w:rsid w:val="00281574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306B33"/>
    <w:rsid w:val="0031652F"/>
    <w:rsid w:val="00322BA4"/>
    <w:rsid w:val="00346942"/>
    <w:rsid w:val="0037187E"/>
    <w:rsid w:val="003767D7"/>
    <w:rsid w:val="00381B64"/>
    <w:rsid w:val="00386CA6"/>
    <w:rsid w:val="00393BE0"/>
    <w:rsid w:val="003A64C5"/>
    <w:rsid w:val="003B0260"/>
    <w:rsid w:val="003C43F4"/>
    <w:rsid w:val="003C4D22"/>
    <w:rsid w:val="003C5B62"/>
    <w:rsid w:val="003D526D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7BA5"/>
    <w:rsid w:val="0045043C"/>
    <w:rsid w:val="004572CE"/>
    <w:rsid w:val="00465448"/>
    <w:rsid w:val="00465A51"/>
    <w:rsid w:val="004926BD"/>
    <w:rsid w:val="004B6B6B"/>
    <w:rsid w:val="004C15D7"/>
    <w:rsid w:val="004F6FEC"/>
    <w:rsid w:val="00515B6A"/>
    <w:rsid w:val="005160F8"/>
    <w:rsid w:val="005251EC"/>
    <w:rsid w:val="0054211D"/>
    <w:rsid w:val="005601A1"/>
    <w:rsid w:val="00572F09"/>
    <w:rsid w:val="005772C1"/>
    <w:rsid w:val="005835BC"/>
    <w:rsid w:val="005856A7"/>
    <w:rsid w:val="00585897"/>
    <w:rsid w:val="005B6209"/>
    <w:rsid w:val="005D0B23"/>
    <w:rsid w:val="005E365A"/>
    <w:rsid w:val="005E6608"/>
    <w:rsid w:val="00612214"/>
    <w:rsid w:val="00625CD7"/>
    <w:rsid w:val="00630932"/>
    <w:rsid w:val="00653FE5"/>
    <w:rsid w:val="00655C13"/>
    <w:rsid w:val="0066430D"/>
    <w:rsid w:val="00670788"/>
    <w:rsid w:val="0067545A"/>
    <w:rsid w:val="006959E4"/>
    <w:rsid w:val="006B0F80"/>
    <w:rsid w:val="006B3B3D"/>
    <w:rsid w:val="006C0567"/>
    <w:rsid w:val="006D21F9"/>
    <w:rsid w:val="006D7E71"/>
    <w:rsid w:val="006F2454"/>
    <w:rsid w:val="006F63D7"/>
    <w:rsid w:val="007003DA"/>
    <w:rsid w:val="007042DC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1471"/>
    <w:rsid w:val="007961D4"/>
    <w:rsid w:val="007C0AC3"/>
    <w:rsid w:val="007C1863"/>
    <w:rsid w:val="007E7201"/>
    <w:rsid w:val="007F2B0B"/>
    <w:rsid w:val="00805425"/>
    <w:rsid w:val="00846897"/>
    <w:rsid w:val="00865132"/>
    <w:rsid w:val="008769EF"/>
    <w:rsid w:val="00881381"/>
    <w:rsid w:val="00892846"/>
    <w:rsid w:val="008A1398"/>
    <w:rsid w:val="008A1837"/>
    <w:rsid w:val="008B383D"/>
    <w:rsid w:val="008B5B88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8762D"/>
    <w:rsid w:val="009A755B"/>
    <w:rsid w:val="009B0CAB"/>
    <w:rsid w:val="009D4F78"/>
    <w:rsid w:val="009E0268"/>
    <w:rsid w:val="009E1C96"/>
    <w:rsid w:val="009F17AE"/>
    <w:rsid w:val="009F1B70"/>
    <w:rsid w:val="009F2D5C"/>
    <w:rsid w:val="00A079D3"/>
    <w:rsid w:val="00A42301"/>
    <w:rsid w:val="00A4711C"/>
    <w:rsid w:val="00A64328"/>
    <w:rsid w:val="00A6432A"/>
    <w:rsid w:val="00A66729"/>
    <w:rsid w:val="00A7136B"/>
    <w:rsid w:val="00A96176"/>
    <w:rsid w:val="00AA2AB0"/>
    <w:rsid w:val="00AA39AC"/>
    <w:rsid w:val="00AD7B7A"/>
    <w:rsid w:val="00AF5D91"/>
    <w:rsid w:val="00B021CE"/>
    <w:rsid w:val="00B13369"/>
    <w:rsid w:val="00B170EA"/>
    <w:rsid w:val="00B26AB3"/>
    <w:rsid w:val="00B40A2F"/>
    <w:rsid w:val="00B46E62"/>
    <w:rsid w:val="00B553A6"/>
    <w:rsid w:val="00B8345D"/>
    <w:rsid w:val="00B92BCB"/>
    <w:rsid w:val="00B958BA"/>
    <w:rsid w:val="00BA3361"/>
    <w:rsid w:val="00BA3A67"/>
    <w:rsid w:val="00BA61AF"/>
    <w:rsid w:val="00BB53A8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3398"/>
    <w:rsid w:val="00C75ACC"/>
    <w:rsid w:val="00C770B6"/>
    <w:rsid w:val="00C81ABF"/>
    <w:rsid w:val="00C8589D"/>
    <w:rsid w:val="00C877EE"/>
    <w:rsid w:val="00C904B6"/>
    <w:rsid w:val="00C90886"/>
    <w:rsid w:val="00C95F59"/>
    <w:rsid w:val="00CB2778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96397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44AFC"/>
    <w:rsid w:val="00E55AFD"/>
    <w:rsid w:val="00EA4D5C"/>
    <w:rsid w:val="00EA53D2"/>
    <w:rsid w:val="00EA7A64"/>
    <w:rsid w:val="00EB54FA"/>
    <w:rsid w:val="00EB5C9A"/>
    <w:rsid w:val="00EB6235"/>
    <w:rsid w:val="00EC5379"/>
    <w:rsid w:val="00ED072E"/>
    <w:rsid w:val="00ED5CF6"/>
    <w:rsid w:val="00EE1177"/>
    <w:rsid w:val="00EF081C"/>
    <w:rsid w:val="00EF32C9"/>
    <w:rsid w:val="00F20EAD"/>
    <w:rsid w:val="00F220CD"/>
    <w:rsid w:val="00F26B86"/>
    <w:rsid w:val="00F31805"/>
    <w:rsid w:val="00F32054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235"/>
    <w:rPr>
      <w:rFonts w:ascii="Calibri" w:eastAsia="Calibri" w:hAnsi="Calibri"/>
      <w:sz w:val="22"/>
      <w:szCs w:val="22"/>
      <w:lang w:val="en-ZA"/>
    </w:rPr>
  </w:style>
  <w:style w:type="character" w:customStyle="1" w:styleId="PlainTextChar">
    <w:name w:val="Plain Text Char"/>
    <w:link w:val="PlainText"/>
    <w:uiPriority w:val="99"/>
    <w:semiHidden/>
    <w:rsid w:val="00EB62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2016-11-03T15:22:00Z</cp:lastPrinted>
  <dcterms:created xsi:type="dcterms:W3CDTF">2016-12-06T12:26:00Z</dcterms:created>
  <dcterms:modified xsi:type="dcterms:W3CDTF">2016-12-06T12:26:00Z</dcterms:modified>
</cp:coreProperties>
</file>