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p w:rsidR="00AB1A52" w:rsidRPr="004A7BA8" w:rsidRDefault="00AB1A52" w:rsidP="00AB1A52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A7BA8">
        <w:rPr>
          <w:rFonts w:ascii="Arial" w:hAnsi="Arial" w:cs="Arial"/>
          <w:b/>
          <w:lang w:val="en-GB"/>
        </w:rPr>
        <w:t>36/1/4/1/201700258</w:t>
      </w:r>
    </w:p>
    <w:p w:rsidR="00AB1A52" w:rsidRPr="004A7BA8" w:rsidRDefault="00AB1A52" w:rsidP="00AB1A52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A7BA8">
        <w:rPr>
          <w:rFonts w:ascii="Arial" w:hAnsi="Arial" w:cs="Arial"/>
          <w:b/>
          <w:lang w:val="en-GB"/>
        </w:rPr>
        <w:t>NATIONAL ASSEMBLY</w:t>
      </w:r>
    </w:p>
    <w:p w:rsidR="00AB1A52" w:rsidRPr="004A7BA8" w:rsidRDefault="00AB1A52" w:rsidP="00AB1A5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B1A52" w:rsidRPr="004A7BA8" w:rsidRDefault="00AB1A52" w:rsidP="00AB1A5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A7BA8">
        <w:rPr>
          <w:rFonts w:ascii="Arial" w:hAnsi="Arial" w:cs="Arial"/>
          <w:b/>
          <w:u w:val="single"/>
          <w:lang w:val="en-GB"/>
        </w:rPr>
        <w:t>FOR WRITTEN REPLY</w:t>
      </w:r>
    </w:p>
    <w:p w:rsidR="00AB1A52" w:rsidRPr="004A7BA8" w:rsidRDefault="00AB1A52" w:rsidP="00AB1A5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B1A52" w:rsidRPr="004A7BA8" w:rsidRDefault="00AB1A52" w:rsidP="00AB1A52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A7BA8">
        <w:rPr>
          <w:rFonts w:ascii="Arial" w:hAnsi="Arial" w:cs="Arial"/>
          <w:b/>
          <w:u w:val="single"/>
          <w:lang w:val="en-GB"/>
        </w:rPr>
        <w:t>QUESTION 2337</w:t>
      </w:r>
    </w:p>
    <w:p w:rsidR="00AB1A52" w:rsidRPr="004A7BA8" w:rsidRDefault="00AB1A52" w:rsidP="00AB1A52">
      <w:pPr>
        <w:ind w:left="720" w:hanging="720"/>
        <w:jc w:val="both"/>
        <w:outlineLvl w:val="0"/>
        <w:rPr>
          <w:rFonts w:ascii="Arial" w:hAnsi="Arial" w:cs="Arial"/>
          <w:lang w:val="en-GB"/>
        </w:rPr>
      </w:pPr>
    </w:p>
    <w:p w:rsidR="00AB1A52" w:rsidRPr="004A7BA8" w:rsidRDefault="00AB1A52" w:rsidP="00AB1A52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A7BA8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AB1A52" w:rsidRPr="004A7BA8" w:rsidRDefault="00AB1A52" w:rsidP="00AB1A52">
      <w:pPr>
        <w:jc w:val="center"/>
        <w:rPr>
          <w:rFonts w:ascii="Arial" w:hAnsi="Arial" w:cs="Arial"/>
          <w:b/>
          <w:u w:val="single"/>
          <w:lang w:val="en-GB"/>
        </w:rPr>
      </w:pPr>
      <w:r w:rsidRPr="004A7BA8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AB1A52" w:rsidRPr="004A7BA8" w:rsidRDefault="00AB1A52" w:rsidP="00AB1A52">
      <w:pPr>
        <w:ind w:left="851" w:hanging="851"/>
        <w:rPr>
          <w:rFonts w:ascii="Arial" w:hAnsi="Arial" w:cs="Arial"/>
          <w:b/>
        </w:rPr>
      </w:pPr>
    </w:p>
    <w:p w:rsidR="00AB1A52" w:rsidRPr="004A7BA8" w:rsidRDefault="00AB1A52" w:rsidP="00AB1A52">
      <w:pPr>
        <w:ind w:left="851" w:hanging="851"/>
        <w:rPr>
          <w:rFonts w:ascii="Arial" w:hAnsi="Arial" w:cs="Arial"/>
          <w:b/>
        </w:rPr>
      </w:pPr>
      <w:r w:rsidRPr="004A7BA8">
        <w:rPr>
          <w:rFonts w:ascii="Arial" w:hAnsi="Arial" w:cs="Arial"/>
          <w:b/>
        </w:rPr>
        <w:t>2337.</w:t>
      </w:r>
      <w:r w:rsidRPr="004A7BA8">
        <w:rPr>
          <w:rFonts w:ascii="Arial" w:hAnsi="Arial" w:cs="Arial"/>
          <w:b/>
        </w:rPr>
        <w:tab/>
      </w:r>
      <w:proofErr w:type="spellStart"/>
      <w:r w:rsidRPr="004A7BA8">
        <w:rPr>
          <w:rFonts w:ascii="Arial" w:hAnsi="Arial" w:cs="Arial"/>
          <w:b/>
        </w:rPr>
        <w:t>Mr</w:t>
      </w:r>
      <w:proofErr w:type="spellEnd"/>
      <w:r w:rsidRPr="004A7BA8">
        <w:rPr>
          <w:rFonts w:ascii="Arial" w:hAnsi="Arial" w:cs="Arial"/>
          <w:b/>
        </w:rPr>
        <w:t xml:space="preserve"> T W </w:t>
      </w:r>
      <w:proofErr w:type="spellStart"/>
      <w:r w:rsidRPr="004A7BA8">
        <w:rPr>
          <w:rFonts w:ascii="Arial" w:hAnsi="Arial" w:cs="Arial"/>
          <w:b/>
        </w:rPr>
        <w:t>Mhlongo</w:t>
      </w:r>
      <w:proofErr w:type="spellEnd"/>
      <w:r w:rsidRPr="004A7BA8">
        <w:rPr>
          <w:rFonts w:ascii="Arial" w:hAnsi="Arial" w:cs="Arial"/>
          <w:b/>
        </w:rPr>
        <w:t xml:space="preserve"> (DA) to ask the Minister of Police:</w:t>
      </w:r>
    </w:p>
    <w:p w:rsidR="00AB1A52" w:rsidRPr="004A7BA8" w:rsidRDefault="00AB1A52" w:rsidP="00AB1A52">
      <w:pPr>
        <w:jc w:val="both"/>
        <w:rPr>
          <w:rFonts w:ascii="Arial" w:hAnsi="Arial" w:cs="Arial"/>
          <w:iCs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  <w:iCs/>
        </w:rPr>
        <w:t xml:space="preserve">With reference to the (a) Polokwane and (b) </w:t>
      </w:r>
      <w:proofErr w:type="spellStart"/>
      <w:r w:rsidRPr="004A7BA8">
        <w:rPr>
          <w:rFonts w:ascii="Arial" w:hAnsi="Arial" w:cs="Arial"/>
          <w:iCs/>
        </w:rPr>
        <w:t>Seshego</w:t>
      </w:r>
      <w:proofErr w:type="spellEnd"/>
      <w:r w:rsidRPr="004A7BA8">
        <w:rPr>
          <w:rFonts w:ascii="Arial" w:hAnsi="Arial" w:cs="Arial"/>
          <w:iCs/>
        </w:rPr>
        <w:t xml:space="preserve"> Police Stations, (</w:t>
      </w:r>
      <w:proofErr w:type="spellStart"/>
      <w:r w:rsidRPr="004A7BA8">
        <w:rPr>
          <w:rFonts w:ascii="Arial" w:hAnsi="Arial" w:cs="Arial"/>
          <w:iCs/>
        </w:rPr>
        <w:t>i</w:t>
      </w:r>
      <w:proofErr w:type="spellEnd"/>
      <w:r w:rsidRPr="004A7BA8">
        <w:rPr>
          <w:rFonts w:ascii="Arial" w:hAnsi="Arial" w:cs="Arial"/>
          <w:iCs/>
        </w:rPr>
        <w:t xml:space="preserve">) what is the fixed establishment for the detectives branch, (ii) how many detective posts are filled, (iii) how many detective </w:t>
      </w:r>
      <w:r w:rsidRPr="004A7BA8">
        <w:rPr>
          <w:rFonts w:ascii="Arial" w:hAnsi="Arial" w:cs="Arial"/>
        </w:rPr>
        <w:t>posts</w:t>
      </w:r>
      <w:r w:rsidRPr="004A7BA8">
        <w:rPr>
          <w:rFonts w:ascii="Arial" w:hAnsi="Arial" w:cs="Arial"/>
          <w:iCs/>
        </w:rPr>
        <w:t xml:space="preserve"> are vacant, (iv) how many officers have been transferred from the stations to the cluster office since the start of the 2016-17 financial year to date and (v) have the fixed establishments of the affected stations been amended to reflect these personnel transfers</w:t>
      </w:r>
      <w:r w:rsidRPr="004A7BA8">
        <w:rPr>
          <w:rFonts w:ascii="Arial" w:hAnsi="Arial" w:cs="Arial"/>
        </w:rPr>
        <w:t>?</w:t>
      </w:r>
    </w:p>
    <w:p w:rsidR="00AB1A52" w:rsidRPr="004A7BA8" w:rsidRDefault="00AB1A52" w:rsidP="00AB1A52">
      <w:pPr>
        <w:jc w:val="right"/>
        <w:rPr>
          <w:rFonts w:ascii="Arial" w:hAnsi="Arial" w:cs="Arial"/>
        </w:rPr>
      </w:pPr>
      <w:r w:rsidRPr="004A7BA8">
        <w:rPr>
          <w:rFonts w:ascii="Arial" w:hAnsi="Arial" w:cs="Arial"/>
        </w:rPr>
        <w:t>NW2582E</w:t>
      </w:r>
    </w:p>
    <w:p w:rsidR="00AB1A52" w:rsidRPr="004A7BA8" w:rsidRDefault="00AB1A52" w:rsidP="00AB1A52">
      <w:pPr>
        <w:jc w:val="both"/>
        <w:rPr>
          <w:rFonts w:ascii="Arial" w:hAnsi="Arial" w:cs="Arial"/>
          <w:b/>
        </w:rPr>
      </w:pPr>
      <w:r w:rsidRPr="004A7BA8">
        <w:rPr>
          <w:rFonts w:ascii="Arial" w:hAnsi="Arial" w:cs="Arial"/>
          <w:b/>
        </w:rPr>
        <w:t>REPLY:</w:t>
      </w:r>
    </w:p>
    <w:p w:rsidR="00AB1A52" w:rsidRPr="004A7BA8" w:rsidRDefault="00AB1A52" w:rsidP="00AB1A52">
      <w:pPr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</w:t>
      </w:r>
      <w:r w:rsidRPr="004A7BA8">
        <w:rPr>
          <w:rFonts w:ascii="Arial" w:hAnsi="Arial" w:cs="Arial"/>
        </w:rPr>
        <w:tab/>
        <w:t>Polokwane Police Station.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(a)(</w:t>
      </w:r>
      <w:proofErr w:type="spellStart"/>
      <w:r w:rsidRPr="004A7BA8">
        <w:rPr>
          <w:rFonts w:ascii="Arial" w:hAnsi="Arial" w:cs="Arial"/>
        </w:rPr>
        <w:t>i</w:t>
      </w:r>
      <w:proofErr w:type="spellEnd"/>
      <w:r w:rsidRPr="004A7BA8">
        <w:rPr>
          <w:rFonts w:ascii="Arial" w:hAnsi="Arial" w:cs="Arial"/>
        </w:rPr>
        <w:t>)</w:t>
      </w:r>
      <w:r w:rsidRPr="004A7BA8">
        <w:rPr>
          <w:rFonts w:ascii="Arial" w:hAnsi="Arial" w:cs="Arial"/>
        </w:rPr>
        <w:tab/>
        <w:t>The Fixed Establishment (FE) for the Polokwane Detective Service, is as follows:</w:t>
      </w:r>
    </w:p>
    <w:p w:rsidR="00AB1A52" w:rsidRPr="004A7BA8" w:rsidRDefault="00AB1A52" w:rsidP="00AB1A52">
      <w:pPr>
        <w:pStyle w:val="ListParagraph"/>
        <w:ind w:left="14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74"/>
        <w:gridCol w:w="4326"/>
      </w:tblGrid>
      <w:tr w:rsidR="00AB1A52" w:rsidRPr="004A7BA8" w:rsidTr="00103B95">
        <w:trPr>
          <w:tblHeader/>
        </w:trPr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Posts</w:t>
            </w:r>
          </w:p>
        </w:tc>
      </w:tr>
      <w:tr w:rsidR="00AB1A52" w:rsidRPr="004A7BA8" w:rsidTr="00103B95">
        <w:tc>
          <w:tcPr>
            <w:tcW w:w="8425" w:type="dxa"/>
            <w:gridSpan w:val="2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Police Service Act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Colonel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1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Lieutenant Colonel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4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Captain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5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Warrant Officer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12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lastRenderedPageBreak/>
              <w:t>Sergeant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17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Constable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25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fldChar w:fldCharType="begin"/>
            </w:r>
            <w:r w:rsidRPr="004A7BA8">
              <w:rPr>
                <w:rFonts w:ascii="Arial" w:hAnsi="Arial" w:cs="Arial"/>
                <w:b/>
              </w:rPr>
              <w:instrText xml:space="preserve"> =SUM(ABOVE) </w:instrText>
            </w:r>
            <w:r w:rsidRPr="004A7BA8">
              <w:rPr>
                <w:rFonts w:ascii="Arial" w:hAnsi="Arial" w:cs="Arial"/>
                <w:b/>
              </w:rPr>
              <w:fldChar w:fldCharType="separate"/>
            </w:r>
            <w:r w:rsidRPr="004A7BA8">
              <w:rPr>
                <w:rFonts w:ascii="Arial" w:hAnsi="Arial" w:cs="Arial"/>
                <w:b/>
                <w:noProof/>
              </w:rPr>
              <w:t>64</w:t>
            </w:r>
            <w:r w:rsidRPr="004A7BA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1A52" w:rsidRPr="004A7BA8" w:rsidTr="00103B95">
        <w:tc>
          <w:tcPr>
            <w:tcW w:w="8425" w:type="dxa"/>
            <w:gridSpan w:val="2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Public Service Act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Data Typist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5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Admin Clerk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2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Secretary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1</w:t>
            </w:r>
          </w:p>
        </w:tc>
      </w:tr>
      <w:tr w:rsidR="00AB1A52" w:rsidRPr="004A7BA8" w:rsidTr="00103B95">
        <w:tc>
          <w:tcPr>
            <w:tcW w:w="3969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456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fldChar w:fldCharType="begin"/>
            </w:r>
            <w:r w:rsidRPr="004A7BA8">
              <w:rPr>
                <w:rFonts w:ascii="Arial" w:hAnsi="Arial" w:cs="Arial"/>
                <w:b/>
              </w:rPr>
              <w:instrText xml:space="preserve"> =SUM(ABOVE) </w:instrText>
            </w:r>
            <w:r w:rsidRPr="004A7BA8">
              <w:rPr>
                <w:rFonts w:ascii="Arial" w:hAnsi="Arial" w:cs="Arial"/>
                <w:b/>
              </w:rPr>
              <w:fldChar w:fldCharType="separate"/>
            </w:r>
            <w:r w:rsidRPr="004A7BA8">
              <w:rPr>
                <w:rFonts w:ascii="Arial" w:hAnsi="Arial" w:cs="Arial"/>
                <w:b/>
                <w:noProof/>
              </w:rPr>
              <w:t>8</w:t>
            </w:r>
            <w:r w:rsidRPr="004A7BA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(a)(ii)</w:t>
      </w:r>
      <w:r w:rsidRPr="004A7BA8">
        <w:rPr>
          <w:rFonts w:ascii="Arial" w:hAnsi="Arial" w:cs="Arial"/>
        </w:rPr>
        <w:tab/>
        <w:t>A total of 48 South African Police Service (SAPS) Act posts are filled and eight Public Service Act (PSA) posts are filled.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(a)(iii)</w:t>
      </w:r>
      <w:r w:rsidRPr="004A7BA8">
        <w:rPr>
          <w:rFonts w:ascii="Arial" w:hAnsi="Arial" w:cs="Arial"/>
        </w:rPr>
        <w:tab/>
        <w:t>A total of 16 SAPS Act posts are vacant and no PSA posts are vacant.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</w:t>
      </w:r>
      <w:proofErr w:type="gramStart"/>
      <w:r w:rsidRPr="004A7BA8">
        <w:rPr>
          <w:rFonts w:ascii="Arial" w:hAnsi="Arial" w:cs="Arial"/>
        </w:rPr>
        <w:t>(iv)</w:t>
      </w:r>
      <w:r w:rsidRPr="004A7BA8">
        <w:rPr>
          <w:rFonts w:ascii="Arial" w:hAnsi="Arial" w:cs="Arial"/>
        </w:rPr>
        <w:tab/>
        <w:t>No</w:t>
      </w:r>
      <w:proofErr w:type="gramEnd"/>
      <w:r w:rsidRPr="004A7BA8">
        <w:rPr>
          <w:rFonts w:ascii="Arial" w:hAnsi="Arial" w:cs="Arial"/>
        </w:rPr>
        <w:t xml:space="preserve"> officers have been transferred from the station to the Cluster Office, since the beginning of the 2017/2018 financial year, to date.</w:t>
      </w:r>
    </w:p>
    <w:p w:rsidR="00AB1A52" w:rsidRPr="004A7BA8" w:rsidRDefault="00AB1A52" w:rsidP="00AB1A52">
      <w:pPr>
        <w:pStyle w:val="ListParagraph"/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(a)(v)</w:t>
      </w:r>
      <w:r w:rsidRPr="004A7BA8">
        <w:rPr>
          <w:rFonts w:ascii="Arial" w:hAnsi="Arial" w:cs="Arial"/>
        </w:rPr>
        <w:tab/>
        <w:t>Not applicable.</w:t>
      </w:r>
    </w:p>
    <w:p w:rsidR="00AB1A52" w:rsidRDefault="00AB1A52" w:rsidP="00AB1A52">
      <w:pPr>
        <w:jc w:val="both"/>
        <w:rPr>
          <w:rFonts w:ascii="Arial" w:hAnsi="Arial" w:cs="Arial"/>
        </w:rPr>
      </w:pPr>
    </w:p>
    <w:p w:rsidR="00AB1A52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(b)</w:t>
      </w:r>
      <w:r w:rsidRPr="004A7BA8">
        <w:rPr>
          <w:rFonts w:ascii="Arial" w:hAnsi="Arial" w:cs="Arial"/>
        </w:rPr>
        <w:tab/>
      </w:r>
      <w:proofErr w:type="spellStart"/>
      <w:r w:rsidRPr="004A7BA8">
        <w:rPr>
          <w:rFonts w:ascii="Arial" w:hAnsi="Arial" w:cs="Arial"/>
        </w:rPr>
        <w:t>Seshego</w:t>
      </w:r>
      <w:proofErr w:type="spellEnd"/>
      <w:r w:rsidRPr="004A7BA8">
        <w:rPr>
          <w:rFonts w:ascii="Arial" w:hAnsi="Arial" w:cs="Arial"/>
        </w:rPr>
        <w:t xml:space="preserve"> Police Station.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(b)(</w:t>
      </w:r>
      <w:proofErr w:type="spellStart"/>
      <w:r w:rsidRPr="004A7BA8">
        <w:rPr>
          <w:rFonts w:ascii="Arial" w:hAnsi="Arial" w:cs="Arial"/>
        </w:rPr>
        <w:t>i</w:t>
      </w:r>
      <w:proofErr w:type="spellEnd"/>
      <w:r w:rsidRPr="004A7BA8">
        <w:rPr>
          <w:rFonts w:ascii="Arial" w:hAnsi="Arial" w:cs="Arial"/>
        </w:rPr>
        <w:t>)</w:t>
      </w:r>
      <w:r w:rsidRPr="004A7BA8">
        <w:rPr>
          <w:rFonts w:ascii="Arial" w:hAnsi="Arial" w:cs="Arial"/>
        </w:rPr>
        <w:tab/>
        <w:t xml:space="preserve">The FE for the </w:t>
      </w:r>
      <w:proofErr w:type="spellStart"/>
      <w:r w:rsidRPr="004A7BA8">
        <w:rPr>
          <w:rFonts w:ascii="Arial" w:hAnsi="Arial" w:cs="Arial"/>
        </w:rPr>
        <w:t>Seshego</w:t>
      </w:r>
      <w:proofErr w:type="spellEnd"/>
      <w:r w:rsidRPr="004A7BA8">
        <w:rPr>
          <w:rFonts w:ascii="Arial" w:hAnsi="Arial" w:cs="Arial"/>
        </w:rPr>
        <w:t xml:space="preserve"> Detective Service, is as follows:</w:t>
      </w:r>
    </w:p>
    <w:p w:rsidR="00AB1A52" w:rsidRPr="004A7BA8" w:rsidRDefault="00AB1A52" w:rsidP="00AB1A52">
      <w:pPr>
        <w:pStyle w:val="ListParagraph"/>
        <w:ind w:left="144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011"/>
        <w:gridCol w:w="4189"/>
      </w:tblGrid>
      <w:tr w:rsidR="00AB1A52" w:rsidRPr="004A7BA8" w:rsidTr="00103B95">
        <w:trPr>
          <w:tblHeader/>
        </w:trPr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Posts</w:t>
            </w:r>
          </w:p>
        </w:tc>
      </w:tr>
      <w:tr w:rsidR="00AB1A52" w:rsidRPr="004A7BA8" w:rsidTr="00103B95">
        <w:tc>
          <w:tcPr>
            <w:tcW w:w="8425" w:type="dxa"/>
            <w:gridSpan w:val="2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Police Service Act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Colonel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1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Lieutenant Colonel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4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Captain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5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Warrant Officer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6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Sergeant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7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Constable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9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fldChar w:fldCharType="begin"/>
            </w:r>
            <w:r w:rsidRPr="004A7BA8">
              <w:rPr>
                <w:rFonts w:ascii="Arial" w:hAnsi="Arial" w:cs="Arial"/>
                <w:b/>
              </w:rPr>
              <w:instrText xml:space="preserve"> =SUM(ABOVE) </w:instrText>
            </w:r>
            <w:r w:rsidRPr="004A7BA8">
              <w:rPr>
                <w:rFonts w:ascii="Arial" w:hAnsi="Arial" w:cs="Arial"/>
                <w:b/>
              </w:rPr>
              <w:fldChar w:fldCharType="separate"/>
            </w:r>
            <w:r w:rsidRPr="004A7BA8">
              <w:rPr>
                <w:rFonts w:ascii="Arial" w:hAnsi="Arial" w:cs="Arial"/>
                <w:b/>
                <w:noProof/>
              </w:rPr>
              <w:t>32</w:t>
            </w:r>
            <w:r w:rsidRPr="004A7BA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B1A52" w:rsidRPr="004A7BA8" w:rsidTr="00103B95">
        <w:tc>
          <w:tcPr>
            <w:tcW w:w="8425" w:type="dxa"/>
            <w:gridSpan w:val="2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Public Service Act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Data Typist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0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Admin Clerk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0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Secretary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4A7BA8">
              <w:rPr>
                <w:rFonts w:ascii="Arial" w:hAnsi="Arial" w:cs="Arial"/>
              </w:rPr>
              <w:t>0</w:t>
            </w:r>
          </w:p>
        </w:tc>
      </w:tr>
      <w:tr w:rsidR="00AB1A52" w:rsidRPr="004A7BA8" w:rsidTr="00103B95">
        <w:tc>
          <w:tcPr>
            <w:tcW w:w="4111" w:type="dxa"/>
          </w:tcPr>
          <w:p w:rsidR="00AB1A52" w:rsidRPr="004A7BA8" w:rsidRDefault="00AB1A52" w:rsidP="00103B95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4314" w:type="dxa"/>
          </w:tcPr>
          <w:p w:rsidR="00AB1A52" w:rsidRPr="004A7BA8" w:rsidRDefault="00AB1A52" w:rsidP="00103B95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4A7BA8">
              <w:rPr>
                <w:rFonts w:ascii="Arial" w:hAnsi="Arial" w:cs="Arial"/>
                <w:b/>
              </w:rPr>
              <w:fldChar w:fldCharType="begin"/>
            </w:r>
            <w:r w:rsidRPr="004A7BA8">
              <w:rPr>
                <w:rFonts w:ascii="Arial" w:hAnsi="Arial" w:cs="Arial"/>
                <w:b/>
              </w:rPr>
              <w:instrText xml:space="preserve"> =SUM(ABOVE) </w:instrText>
            </w:r>
            <w:r w:rsidRPr="004A7BA8">
              <w:rPr>
                <w:rFonts w:ascii="Arial" w:hAnsi="Arial" w:cs="Arial"/>
                <w:b/>
              </w:rPr>
              <w:fldChar w:fldCharType="separate"/>
            </w:r>
            <w:r w:rsidRPr="004A7BA8">
              <w:rPr>
                <w:rFonts w:ascii="Arial" w:hAnsi="Arial" w:cs="Arial"/>
                <w:b/>
                <w:noProof/>
              </w:rPr>
              <w:t>0</w:t>
            </w:r>
            <w:r w:rsidRPr="004A7BA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(b)(ii)</w:t>
      </w:r>
      <w:r w:rsidRPr="004A7BA8">
        <w:rPr>
          <w:rFonts w:ascii="Arial" w:hAnsi="Arial" w:cs="Arial"/>
        </w:rPr>
        <w:tab/>
        <w:t>A total of 30 SAPS Act posts are filled.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(b)(iii)</w:t>
      </w:r>
      <w:r w:rsidRPr="004A7BA8">
        <w:rPr>
          <w:rFonts w:ascii="Arial" w:hAnsi="Arial" w:cs="Arial"/>
        </w:rPr>
        <w:tab/>
        <w:t>Two SAPS Act posts are vacant.</w:t>
      </w:r>
    </w:p>
    <w:p w:rsidR="00AB1A52" w:rsidRPr="004A7BA8" w:rsidRDefault="00AB1A52" w:rsidP="00AB1A52">
      <w:pPr>
        <w:pStyle w:val="ListParagraph"/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t>(b)</w:t>
      </w:r>
      <w:proofErr w:type="gramStart"/>
      <w:r w:rsidRPr="004A7BA8">
        <w:rPr>
          <w:rFonts w:ascii="Arial" w:hAnsi="Arial" w:cs="Arial"/>
        </w:rPr>
        <w:t>(iv)</w:t>
      </w:r>
      <w:r w:rsidRPr="004A7BA8">
        <w:rPr>
          <w:rFonts w:ascii="Arial" w:hAnsi="Arial" w:cs="Arial"/>
        </w:rPr>
        <w:tab/>
        <w:t>Four</w:t>
      </w:r>
      <w:proofErr w:type="gramEnd"/>
      <w:r w:rsidRPr="004A7BA8">
        <w:rPr>
          <w:rFonts w:ascii="Arial" w:hAnsi="Arial" w:cs="Arial"/>
        </w:rPr>
        <w:t xml:space="preserve"> SAPS members have been transferred from the Police Station to the Cluster Office, since the beginning of the 2017/2018 financial year, to date.</w:t>
      </w:r>
    </w:p>
    <w:p w:rsidR="00AB1A52" w:rsidRPr="004A7BA8" w:rsidRDefault="00AB1A52" w:rsidP="00AB1A52">
      <w:pPr>
        <w:pStyle w:val="ListParagraph"/>
        <w:jc w:val="both"/>
        <w:rPr>
          <w:rFonts w:ascii="Arial" w:hAnsi="Arial" w:cs="Arial"/>
        </w:rPr>
      </w:pPr>
    </w:p>
    <w:p w:rsidR="00AB1A52" w:rsidRPr="004A7BA8" w:rsidRDefault="00AB1A52" w:rsidP="00AB1A52">
      <w:pPr>
        <w:ind w:left="720" w:hanging="720"/>
        <w:jc w:val="both"/>
        <w:rPr>
          <w:rFonts w:ascii="Arial" w:hAnsi="Arial" w:cs="Arial"/>
        </w:rPr>
      </w:pPr>
      <w:r w:rsidRPr="004A7BA8">
        <w:rPr>
          <w:rFonts w:ascii="Arial" w:hAnsi="Arial" w:cs="Arial"/>
        </w:rPr>
        <w:lastRenderedPageBreak/>
        <w:t>(b)(v)</w:t>
      </w:r>
      <w:r w:rsidRPr="004A7BA8">
        <w:rPr>
          <w:rFonts w:ascii="Arial" w:hAnsi="Arial" w:cs="Arial"/>
        </w:rPr>
        <w:tab/>
        <w:t xml:space="preserve">The FE of the Police Station is not affected when officers are transferred from the Police Station and therefore does not need to be amended.  </w:t>
      </w: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AB1A52" w:rsidRPr="004A7BA8" w:rsidRDefault="00AB1A52" w:rsidP="00AB1A52">
      <w:pPr>
        <w:jc w:val="both"/>
        <w:rPr>
          <w:rFonts w:ascii="Arial" w:hAnsi="Arial" w:cs="Arial"/>
        </w:rPr>
      </w:pPr>
    </w:p>
    <w:p w:rsidR="009E08FE" w:rsidRDefault="009E08FE" w:rsidP="00584FE8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9E08F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B92" w:rsidRDefault="00E27B92" w:rsidP="00020C8A">
      <w:r>
        <w:separator/>
      </w:r>
    </w:p>
  </w:endnote>
  <w:endnote w:type="continuationSeparator" w:id="0">
    <w:p w:rsidR="00E27B92" w:rsidRDefault="00E27B92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B92" w:rsidRDefault="00E27B92" w:rsidP="00020C8A">
      <w:r>
        <w:separator/>
      </w:r>
    </w:p>
  </w:footnote>
  <w:footnote w:type="continuationSeparator" w:id="0">
    <w:p w:rsidR="00E27B92" w:rsidRDefault="00E27B92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672B4"/>
    <w:rsid w:val="00971BE9"/>
    <w:rsid w:val="0098689A"/>
    <w:rsid w:val="00991417"/>
    <w:rsid w:val="009967E6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27B92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2017-10-10T15:43:00Z</dcterms:created>
  <dcterms:modified xsi:type="dcterms:W3CDTF">2017-10-10T15:43:00Z</dcterms:modified>
</cp:coreProperties>
</file>