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bookmarkStart w:id="0" w:name="_GoBack"/>
      <w:bookmarkEnd w:id="0"/>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A05B2C">
        <w:rPr>
          <w:b/>
          <w:bCs/>
          <w:sz w:val="24"/>
          <w:szCs w:val="24"/>
        </w:rPr>
        <w:t>2333</w:t>
      </w:r>
      <w:r>
        <w:rPr>
          <w:b/>
          <w:bCs/>
          <w:sz w:val="24"/>
          <w:szCs w:val="24"/>
        </w:rPr>
        <w:t xml:space="preserve"> [</w:t>
      </w:r>
      <w:r w:rsidR="007A6789" w:rsidRPr="007A6789">
        <w:rPr>
          <w:rFonts w:eastAsia="Calibri" w:cs="Arial"/>
          <w:b/>
          <w:sz w:val="24"/>
          <w:szCs w:val="24"/>
          <w:lang w:eastAsia="en-US"/>
        </w:rPr>
        <w:t>NW2753E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A05B2C">
        <w:rPr>
          <w:b/>
          <w:bCs/>
          <w:sz w:val="24"/>
          <w:szCs w:val="24"/>
        </w:rPr>
        <w:t>24</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A05B2C">
        <w:rPr>
          <w:b/>
          <w:bCs/>
          <w:sz w:val="24"/>
          <w:szCs w:val="24"/>
        </w:rPr>
        <w:t>20</w:t>
      </w:r>
      <w:r w:rsidR="001347F6">
        <w:rPr>
          <w:b/>
          <w:bCs/>
          <w:sz w:val="24"/>
          <w:szCs w:val="24"/>
        </w:rPr>
        <w:t xml:space="preserve"> </w:t>
      </w:r>
      <w:r w:rsidR="00A23E18">
        <w:rPr>
          <w:b/>
          <w:bCs/>
          <w:sz w:val="24"/>
          <w:szCs w:val="24"/>
        </w:rPr>
        <w:t>JUNE</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A765B8">
        <w:rPr>
          <w:b/>
          <w:bCs/>
          <w:sz w:val="24"/>
          <w:szCs w:val="24"/>
        </w:rPr>
        <w:t>05 JULY</w:t>
      </w:r>
      <w:r w:rsidR="003D7DE9">
        <w:rPr>
          <w:b/>
          <w:bCs/>
          <w:sz w:val="24"/>
          <w:szCs w:val="24"/>
        </w:rPr>
        <w:t xml:space="preserve"> 2022</w:t>
      </w:r>
    </w:p>
    <w:p w:rsidR="00745B02" w:rsidRDefault="00745B02" w:rsidP="00745B02">
      <w:pPr>
        <w:jc w:val="left"/>
        <w:rPr>
          <w:sz w:val="24"/>
          <w:szCs w:val="24"/>
        </w:rPr>
      </w:pPr>
    </w:p>
    <w:p w:rsidR="003D7DE9" w:rsidRPr="003D7DE9" w:rsidRDefault="00A05B2C"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2333</w:t>
      </w:r>
      <w:r w:rsidR="00D0232C">
        <w:rPr>
          <w:rFonts w:cs="Arial"/>
          <w:b/>
          <w:bCs/>
          <w:sz w:val="24"/>
          <w:szCs w:val="24"/>
        </w:rPr>
        <w:t>.</w:t>
      </w:r>
      <w:r w:rsidR="00316968" w:rsidRPr="00667E8D">
        <w:rPr>
          <w:rFonts w:cs="Arial"/>
          <w:b/>
          <w:bCs/>
          <w:sz w:val="24"/>
          <w:szCs w:val="24"/>
        </w:rPr>
        <w:tab/>
      </w:r>
      <w:r w:rsidR="000E0AB0" w:rsidRPr="000E0AB0">
        <w:rPr>
          <w:rFonts w:eastAsia="Calibri" w:cs="Arial"/>
          <w:b/>
          <w:sz w:val="24"/>
          <w:szCs w:val="24"/>
          <w:lang w:eastAsia="en-US"/>
        </w:rPr>
        <w:t>Mr P A van Staden (FF Plus)</w:t>
      </w:r>
      <w:r w:rsidR="000E0AB0">
        <w:rPr>
          <w:rFonts w:eastAsia="Calibri" w:cs="Arial"/>
          <w:b/>
          <w:sz w:val="24"/>
          <w:szCs w:val="24"/>
          <w:lang w:eastAsia="en-US"/>
        </w:rPr>
        <w:t xml:space="preserve"> </w:t>
      </w:r>
      <w:r w:rsidR="003D7DE9" w:rsidRPr="003D7DE9">
        <w:rPr>
          <w:rFonts w:eastAsia="Calibri" w:cs="Arial"/>
          <w:b/>
          <w:sz w:val="24"/>
          <w:szCs w:val="24"/>
          <w:lang w:eastAsia="en-US"/>
        </w:rPr>
        <w:t>asked the Minister of Public Works and Infrastructure</w:t>
      </w:r>
      <w:r w:rsidR="002F5109"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2F5109"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A05B2C" w:rsidRPr="00A05B2C" w:rsidRDefault="00A05B2C" w:rsidP="00A05B2C">
      <w:pPr>
        <w:autoSpaceDE w:val="0"/>
        <w:autoSpaceDN w:val="0"/>
        <w:adjustRightInd w:val="0"/>
        <w:spacing w:before="100" w:beforeAutospacing="1" w:after="100" w:afterAutospacing="1"/>
        <w:ind w:left="1439" w:right="26" w:hanging="730"/>
        <w:rPr>
          <w:rFonts w:eastAsia="Calibri" w:cs="Arial"/>
          <w:color w:val="202124"/>
          <w:sz w:val="24"/>
          <w:szCs w:val="24"/>
          <w:lang w:eastAsia="en-US"/>
        </w:rPr>
      </w:pPr>
      <w:r w:rsidRPr="00A05B2C">
        <w:rPr>
          <w:rFonts w:eastAsia="Calibri" w:cs="Arial"/>
          <w:color w:val="202124"/>
          <w:sz w:val="24"/>
          <w:szCs w:val="24"/>
          <w:lang w:eastAsia="en-US"/>
        </w:rPr>
        <w:t>(1)</w:t>
      </w:r>
      <w:r w:rsidRPr="00A05B2C">
        <w:rPr>
          <w:rFonts w:eastAsia="Calibri" w:cs="Arial"/>
          <w:color w:val="202124"/>
          <w:sz w:val="24"/>
          <w:szCs w:val="24"/>
          <w:lang w:eastAsia="en-US"/>
        </w:rPr>
        <w:tab/>
        <w:t>Whether, with reference to her reply to question 1063 on 28 October 2019, she will indicate (a) what progress her department has since made to address the stated estimated maintenance backlog of R74 billion to the 81 575 buildings under the custodianship of her department and (b) what measures her department has put in place to (i) conduct condition surveys at all the specified buildings and (ii) execute maintenance on a regular basis in order to prevent further deterioration of the State’s fixed assets; if not, why not, in each case; if so, what are the relevant details, specifically with regard to (aa) structured maintenance plans for each individual property, (bb) sourcing sufficient funding to address the specified backlog and (cc) entering into the proposed public-private partnerships referred to in her specified reply;</w:t>
      </w:r>
    </w:p>
    <w:p w:rsidR="00A05B2C" w:rsidRDefault="00A05B2C" w:rsidP="00A05B2C">
      <w:pPr>
        <w:ind w:firstLine="709"/>
        <w:outlineLvl w:val="0"/>
        <w:rPr>
          <w:b/>
          <w:bCs/>
          <w:sz w:val="24"/>
          <w:szCs w:val="24"/>
        </w:rPr>
      </w:pPr>
      <w:r w:rsidRPr="00A05B2C">
        <w:rPr>
          <w:rFonts w:eastAsia="Calibri" w:cs="Arial"/>
          <w:color w:val="202124"/>
          <w:sz w:val="24"/>
          <w:szCs w:val="24"/>
          <w:lang w:eastAsia="en-US"/>
        </w:rPr>
        <w:t>(2)</w:t>
      </w:r>
      <w:r w:rsidRPr="00A05B2C">
        <w:rPr>
          <w:rFonts w:eastAsia="Calibri" w:cs="Arial"/>
          <w:color w:val="202124"/>
          <w:sz w:val="24"/>
          <w:szCs w:val="24"/>
          <w:lang w:eastAsia="en-US"/>
        </w:rPr>
        <w:tab/>
        <w:t xml:space="preserve">whether she will </w:t>
      </w:r>
      <w:r>
        <w:rPr>
          <w:rFonts w:eastAsia="Calibri" w:cs="Arial"/>
          <w:color w:val="202124"/>
          <w:sz w:val="24"/>
          <w:szCs w:val="24"/>
          <w:lang w:eastAsia="en-US"/>
        </w:rPr>
        <w:t>make a statement on the matter?</w:t>
      </w:r>
      <w:r>
        <w:rPr>
          <w:rFonts w:eastAsia="Calibri" w:cs="Arial"/>
          <w:color w:val="202124"/>
          <w:sz w:val="24"/>
          <w:szCs w:val="24"/>
          <w:lang w:eastAsia="en-US"/>
        </w:rPr>
        <w:tab/>
      </w:r>
      <w:r>
        <w:rPr>
          <w:rFonts w:eastAsia="Calibri" w:cs="Arial"/>
          <w:color w:val="202124"/>
          <w:sz w:val="24"/>
          <w:szCs w:val="24"/>
          <w:lang w:eastAsia="en-US"/>
        </w:rPr>
        <w:tab/>
      </w:r>
      <w:r>
        <w:rPr>
          <w:rFonts w:eastAsia="Calibri" w:cs="Arial"/>
          <w:color w:val="202124"/>
          <w:sz w:val="24"/>
          <w:szCs w:val="24"/>
          <w:lang w:eastAsia="en-US"/>
        </w:rPr>
        <w:tab/>
      </w:r>
      <w:r w:rsidRPr="00A05B2C">
        <w:rPr>
          <w:rFonts w:eastAsia="Calibri" w:cs="Arial"/>
          <w:b/>
          <w:color w:val="202124"/>
          <w:sz w:val="24"/>
          <w:szCs w:val="24"/>
          <w:lang w:eastAsia="en-US"/>
        </w:rPr>
        <w:t>NW2753E</w:t>
      </w:r>
    </w:p>
    <w:p w:rsidR="00827605" w:rsidRPr="00D21FE5" w:rsidRDefault="00745B02" w:rsidP="00A05B2C">
      <w:pPr>
        <w:outlineLvl w:val="0"/>
        <w:rPr>
          <w:sz w:val="24"/>
          <w:szCs w:val="24"/>
        </w:rPr>
      </w:pPr>
      <w:r w:rsidRPr="004606CA">
        <w:rPr>
          <w:b/>
          <w:bCs/>
          <w:sz w:val="24"/>
          <w:szCs w:val="24"/>
        </w:rPr>
        <w:t>____________________________________________________</w:t>
      </w:r>
      <w:r w:rsidR="004606CA">
        <w:rPr>
          <w:b/>
          <w:bCs/>
          <w:sz w:val="24"/>
          <w:szCs w:val="24"/>
        </w:rPr>
        <w:t>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813274" w:rsidRPr="00F443B3" w:rsidRDefault="00745B02" w:rsidP="00CD1764">
      <w:pPr>
        <w:spacing w:line="360" w:lineRule="auto"/>
        <w:rPr>
          <w:b/>
          <w:bCs/>
          <w:sz w:val="24"/>
          <w:szCs w:val="24"/>
        </w:rPr>
      </w:pPr>
      <w:r w:rsidRPr="00F443B3">
        <w:rPr>
          <w:b/>
          <w:bCs/>
          <w:sz w:val="24"/>
          <w:szCs w:val="24"/>
        </w:rPr>
        <w:t xml:space="preserve">The Minister of </w:t>
      </w:r>
      <w:r w:rsidR="00922748" w:rsidRPr="00F443B3">
        <w:rPr>
          <w:b/>
          <w:bCs/>
          <w:sz w:val="24"/>
          <w:szCs w:val="24"/>
        </w:rPr>
        <w:t>Public Works and Infrastructure</w:t>
      </w:r>
      <w:r w:rsidR="007D72BD">
        <w:rPr>
          <w:b/>
          <w:bCs/>
          <w:sz w:val="24"/>
          <w:szCs w:val="24"/>
        </w:rPr>
        <w:t>:</w:t>
      </w:r>
    </w:p>
    <w:p w:rsidR="004A44CB" w:rsidRDefault="004A44CB" w:rsidP="00B92CE2">
      <w:pPr>
        <w:rPr>
          <w:bCs/>
          <w:sz w:val="24"/>
          <w:szCs w:val="24"/>
        </w:rPr>
      </w:pPr>
      <w:r>
        <w:rPr>
          <w:bCs/>
          <w:sz w:val="24"/>
          <w:szCs w:val="24"/>
        </w:rPr>
        <w:t>(1)</w:t>
      </w:r>
      <w:r>
        <w:rPr>
          <w:bCs/>
          <w:sz w:val="24"/>
          <w:szCs w:val="24"/>
        </w:rPr>
        <w:tab/>
      </w:r>
    </w:p>
    <w:p w:rsidR="0028730B" w:rsidRPr="00F443B3" w:rsidRDefault="004A44CB" w:rsidP="004A44CB">
      <w:pPr>
        <w:ind w:left="1440" w:hanging="720"/>
        <w:rPr>
          <w:bCs/>
          <w:sz w:val="24"/>
          <w:szCs w:val="24"/>
        </w:rPr>
      </w:pPr>
      <w:r>
        <w:rPr>
          <w:bCs/>
          <w:sz w:val="24"/>
          <w:szCs w:val="24"/>
        </w:rPr>
        <w:t>(a)</w:t>
      </w:r>
      <w:r>
        <w:rPr>
          <w:bCs/>
          <w:sz w:val="24"/>
          <w:szCs w:val="24"/>
        </w:rPr>
        <w:tab/>
      </w:r>
      <w:r w:rsidR="007D72BD">
        <w:rPr>
          <w:bCs/>
          <w:sz w:val="24"/>
          <w:szCs w:val="24"/>
        </w:rPr>
        <w:t>I have been informed by the Department that b</w:t>
      </w:r>
      <w:r w:rsidR="00376265" w:rsidRPr="00F443B3">
        <w:rPr>
          <w:bCs/>
          <w:sz w:val="24"/>
          <w:szCs w:val="24"/>
        </w:rPr>
        <w:t xml:space="preserve">ased on the budgets allocated, </w:t>
      </w:r>
      <w:r w:rsidR="00B47B0F" w:rsidRPr="00F443B3">
        <w:rPr>
          <w:bCs/>
          <w:sz w:val="24"/>
          <w:szCs w:val="24"/>
        </w:rPr>
        <w:t xml:space="preserve">a number of buildings </w:t>
      </w:r>
      <w:r w:rsidR="00376265" w:rsidRPr="00F443B3">
        <w:rPr>
          <w:bCs/>
          <w:sz w:val="24"/>
          <w:szCs w:val="24"/>
        </w:rPr>
        <w:t>ha</w:t>
      </w:r>
      <w:r w:rsidR="00B47B0F" w:rsidRPr="00F443B3">
        <w:rPr>
          <w:bCs/>
          <w:sz w:val="24"/>
          <w:szCs w:val="24"/>
        </w:rPr>
        <w:t xml:space="preserve">ve </w:t>
      </w:r>
      <w:r w:rsidR="00376265" w:rsidRPr="00F443B3">
        <w:rPr>
          <w:bCs/>
          <w:sz w:val="24"/>
          <w:szCs w:val="24"/>
        </w:rPr>
        <w:t xml:space="preserve">been </w:t>
      </w:r>
      <w:r w:rsidR="001E3273" w:rsidRPr="00F443B3">
        <w:rPr>
          <w:bCs/>
          <w:sz w:val="24"/>
          <w:szCs w:val="24"/>
        </w:rPr>
        <w:t>prioritised in the Repairs and Maintenance</w:t>
      </w:r>
      <w:r w:rsidR="00376265" w:rsidRPr="00F443B3">
        <w:rPr>
          <w:bCs/>
          <w:sz w:val="24"/>
          <w:szCs w:val="24"/>
        </w:rPr>
        <w:t xml:space="preserve"> Programme since 2019 that will contribute to addressing the maintenance backlog. </w:t>
      </w:r>
      <w:r w:rsidR="00B47B0F" w:rsidRPr="00F443B3">
        <w:rPr>
          <w:bCs/>
          <w:sz w:val="24"/>
          <w:szCs w:val="24"/>
        </w:rPr>
        <w:t xml:space="preserve">Further, scheduled and unscheduled maintenance in various </w:t>
      </w:r>
      <w:r w:rsidR="00B47B0F" w:rsidRPr="00F443B3">
        <w:rPr>
          <w:bCs/>
          <w:sz w:val="24"/>
          <w:szCs w:val="24"/>
        </w:rPr>
        <w:lastRenderedPageBreak/>
        <w:t>buildings is implemented via</w:t>
      </w:r>
      <w:r w:rsidR="0028730B" w:rsidRPr="00F443B3">
        <w:rPr>
          <w:bCs/>
          <w:sz w:val="24"/>
          <w:szCs w:val="24"/>
        </w:rPr>
        <w:t xml:space="preserve"> term contracts</w:t>
      </w:r>
      <w:r w:rsidR="007D72BD">
        <w:rPr>
          <w:bCs/>
          <w:sz w:val="24"/>
          <w:szCs w:val="24"/>
        </w:rPr>
        <w:t xml:space="preserve"> for preventative/corrective</w:t>
      </w:r>
      <w:r w:rsidR="003C6727" w:rsidRPr="00F443B3">
        <w:rPr>
          <w:bCs/>
          <w:sz w:val="24"/>
          <w:szCs w:val="24"/>
        </w:rPr>
        <w:t xml:space="preserve"> </w:t>
      </w:r>
      <w:r w:rsidR="0028730B" w:rsidRPr="00F443B3">
        <w:rPr>
          <w:bCs/>
          <w:sz w:val="24"/>
          <w:szCs w:val="24"/>
        </w:rPr>
        <w:t>and corrective</w:t>
      </w:r>
      <w:r w:rsidR="003C6727" w:rsidRPr="00F443B3">
        <w:rPr>
          <w:bCs/>
          <w:sz w:val="24"/>
          <w:szCs w:val="24"/>
        </w:rPr>
        <w:t>/reactive</w:t>
      </w:r>
      <w:r w:rsidR="0028730B" w:rsidRPr="00F443B3">
        <w:rPr>
          <w:bCs/>
          <w:sz w:val="24"/>
          <w:szCs w:val="24"/>
        </w:rPr>
        <w:t xml:space="preserve"> maintenance</w:t>
      </w:r>
      <w:r w:rsidR="003C6727" w:rsidRPr="00F443B3">
        <w:rPr>
          <w:bCs/>
          <w:sz w:val="24"/>
          <w:szCs w:val="24"/>
        </w:rPr>
        <w:t xml:space="preserve"> calls</w:t>
      </w:r>
      <w:r w:rsidR="0028730B" w:rsidRPr="00F443B3">
        <w:rPr>
          <w:bCs/>
          <w:sz w:val="24"/>
          <w:szCs w:val="24"/>
        </w:rPr>
        <w:t>.</w:t>
      </w:r>
      <w:r w:rsidR="00B47B0F" w:rsidRPr="00F443B3">
        <w:rPr>
          <w:bCs/>
          <w:sz w:val="24"/>
          <w:szCs w:val="24"/>
        </w:rPr>
        <w:t xml:space="preserve"> </w:t>
      </w:r>
    </w:p>
    <w:p w:rsidR="0028730B" w:rsidRPr="00F443B3" w:rsidRDefault="0028730B" w:rsidP="00B92CE2">
      <w:pPr>
        <w:rPr>
          <w:bCs/>
          <w:sz w:val="24"/>
          <w:szCs w:val="24"/>
        </w:rPr>
      </w:pPr>
    </w:p>
    <w:p w:rsidR="0028730B" w:rsidRPr="00F443B3" w:rsidRDefault="00B47B0F" w:rsidP="00981DE3">
      <w:pPr>
        <w:ind w:left="1440"/>
        <w:rPr>
          <w:bCs/>
          <w:sz w:val="24"/>
          <w:szCs w:val="24"/>
        </w:rPr>
      </w:pPr>
      <w:r w:rsidRPr="00F443B3">
        <w:rPr>
          <w:bCs/>
          <w:sz w:val="24"/>
          <w:szCs w:val="24"/>
        </w:rPr>
        <w:t xml:space="preserve">Table below </w:t>
      </w:r>
      <w:r w:rsidR="007D72BD" w:rsidRPr="00F443B3">
        <w:rPr>
          <w:bCs/>
          <w:sz w:val="24"/>
          <w:szCs w:val="24"/>
        </w:rPr>
        <w:t>indicates</w:t>
      </w:r>
      <w:r w:rsidRPr="00F443B3">
        <w:rPr>
          <w:bCs/>
          <w:sz w:val="24"/>
          <w:szCs w:val="24"/>
        </w:rPr>
        <w:t xml:space="preserve"> the expenditure that has been incurred </w:t>
      </w:r>
      <w:r w:rsidR="00911F50" w:rsidRPr="00F443B3">
        <w:rPr>
          <w:bCs/>
          <w:sz w:val="24"/>
          <w:szCs w:val="24"/>
        </w:rPr>
        <w:t>on Repairs as well as Preventative and Corrective Maintenance:</w:t>
      </w:r>
    </w:p>
    <w:p w:rsidR="0028730B" w:rsidRPr="00F443B3" w:rsidRDefault="0028730B" w:rsidP="00B92CE2">
      <w:pPr>
        <w:rPr>
          <w:bCs/>
          <w:sz w:val="24"/>
          <w:szCs w:val="24"/>
        </w:rPr>
      </w:pPr>
    </w:p>
    <w:tbl>
      <w:tblPr>
        <w:tblStyle w:val="TableGrid"/>
        <w:tblW w:w="0" w:type="auto"/>
        <w:tblLook w:val="04A0"/>
      </w:tblPr>
      <w:tblGrid>
        <w:gridCol w:w="1555"/>
        <w:gridCol w:w="3543"/>
        <w:gridCol w:w="4634"/>
      </w:tblGrid>
      <w:tr w:rsidR="0028730B" w:rsidTr="003C6727">
        <w:tc>
          <w:tcPr>
            <w:tcW w:w="1555" w:type="dxa"/>
          </w:tcPr>
          <w:p w:rsidR="0028730B" w:rsidRPr="0028730B" w:rsidRDefault="0028730B" w:rsidP="00B92CE2">
            <w:pPr>
              <w:rPr>
                <w:b/>
                <w:bCs/>
                <w:sz w:val="24"/>
                <w:szCs w:val="24"/>
              </w:rPr>
            </w:pPr>
            <w:r w:rsidRPr="0028730B">
              <w:rPr>
                <w:b/>
                <w:bCs/>
                <w:sz w:val="24"/>
                <w:szCs w:val="24"/>
              </w:rPr>
              <w:t>YEAR</w:t>
            </w:r>
          </w:p>
        </w:tc>
        <w:tc>
          <w:tcPr>
            <w:tcW w:w="3543" w:type="dxa"/>
          </w:tcPr>
          <w:p w:rsidR="0028730B" w:rsidRPr="0028730B" w:rsidRDefault="0028730B" w:rsidP="00B92CE2">
            <w:pPr>
              <w:rPr>
                <w:b/>
                <w:bCs/>
                <w:sz w:val="24"/>
                <w:szCs w:val="24"/>
              </w:rPr>
            </w:pPr>
            <w:r w:rsidRPr="0028730B">
              <w:rPr>
                <w:b/>
                <w:bCs/>
                <w:sz w:val="24"/>
                <w:szCs w:val="24"/>
              </w:rPr>
              <w:t>EXPENDITURE</w:t>
            </w:r>
            <w:r>
              <w:rPr>
                <w:b/>
                <w:bCs/>
                <w:sz w:val="24"/>
                <w:szCs w:val="24"/>
              </w:rPr>
              <w:t xml:space="preserve"> ON REPAIRS</w:t>
            </w:r>
          </w:p>
        </w:tc>
        <w:tc>
          <w:tcPr>
            <w:tcW w:w="4634" w:type="dxa"/>
          </w:tcPr>
          <w:p w:rsidR="0028730B" w:rsidRPr="0028730B" w:rsidRDefault="0028730B" w:rsidP="00B92CE2">
            <w:pPr>
              <w:rPr>
                <w:b/>
                <w:bCs/>
                <w:sz w:val="24"/>
                <w:szCs w:val="24"/>
              </w:rPr>
            </w:pPr>
            <w:r>
              <w:rPr>
                <w:b/>
                <w:bCs/>
                <w:sz w:val="24"/>
                <w:szCs w:val="24"/>
              </w:rPr>
              <w:t>EXPENDITURE ON PREVENTATIVE AND CORRECTIVE MAINTENANCE</w:t>
            </w:r>
          </w:p>
        </w:tc>
      </w:tr>
      <w:tr w:rsidR="0028730B" w:rsidTr="003C6727">
        <w:tc>
          <w:tcPr>
            <w:tcW w:w="1555" w:type="dxa"/>
          </w:tcPr>
          <w:p w:rsidR="0028730B" w:rsidRDefault="0028730B" w:rsidP="00B92CE2">
            <w:pPr>
              <w:rPr>
                <w:bCs/>
                <w:sz w:val="24"/>
                <w:szCs w:val="24"/>
              </w:rPr>
            </w:pPr>
            <w:r>
              <w:rPr>
                <w:bCs/>
                <w:sz w:val="24"/>
                <w:szCs w:val="24"/>
              </w:rPr>
              <w:t>2019/2020</w:t>
            </w:r>
          </w:p>
        </w:tc>
        <w:tc>
          <w:tcPr>
            <w:tcW w:w="3543" w:type="dxa"/>
          </w:tcPr>
          <w:p w:rsidR="0028730B" w:rsidRDefault="0028730B" w:rsidP="00B92CE2">
            <w:pPr>
              <w:rPr>
                <w:bCs/>
                <w:sz w:val="24"/>
                <w:szCs w:val="24"/>
              </w:rPr>
            </w:pPr>
            <w:r>
              <w:rPr>
                <w:bCs/>
                <w:sz w:val="24"/>
                <w:szCs w:val="24"/>
              </w:rPr>
              <w:t>R1 045 276 524</w:t>
            </w:r>
          </w:p>
        </w:tc>
        <w:tc>
          <w:tcPr>
            <w:tcW w:w="4634" w:type="dxa"/>
          </w:tcPr>
          <w:p w:rsidR="0028730B" w:rsidRDefault="00B73C65" w:rsidP="00B92CE2">
            <w:pPr>
              <w:rPr>
                <w:bCs/>
                <w:sz w:val="24"/>
                <w:szCs w:val="24"/>
              </w:rPr>
            </w:pPr>
            <w:r w:rsidRPr="00B73C65">
              <w:rPr>
                <w:bCs/>
                <w:sz w:val="24"/>
                <w:szCs w:val="24"/>
              </w:rPr>
              <w:t>R 1 781 094 850</w:t>
            </w:r>
          </w:p>
        </w:tc>
      </w:tr>
      <w:tr w:rsidR="0028730B" w:rsidTr="003C6727">
        <w:tc>
          <w:tcPr>
            <w:tcW w:w="1555" w:type="dxa"/>
          </w:tcPr>
          <w:p w:rsidR="0028730B" w:rsidRDefault="0028730B" w:rsidP="00B92CE2">
            <w:pPr>
              <w:rPr>
                <w:bCs/>
                <w:sz w:val="24"/>
                <w:szCs w:val="24"/>
              </w:rPr>
            </w:pPr>
            <w:r>
              <w:rPr>
                <w:bCs/>
                <w:sz w:val="24"/>
                <w:szCs w:val="24"/>
              </w:rPr>
              <w:t>2020/2021</w:t>
            </w:r>
          </w:p>
        </w:tc>
        <w:tc>
          <w:tcPr>
            <w:tcW w:w="3543" w:type="dxa"/>
          </w:tcPr>
          <w:p w:rsidR="0028730B" w:rsidRDefault="0028730B" w:rsidP="00B92CE2">
            <w:pPr>
              <w:rPr>
                <w:bCs/>
                <w:sz w:val="24"/>
                <w:szCs w:val="24"/>
              </w:rPr>
            </w:pPr>
            <w:r>
              <w:rPr>
                <w:bCs/>
                <w:sz w:val="24"/>
                <w:szCs w:val="24"/>
              </w:rPr>
              <w:t>R 762 613 802</w:t>
            </w:r>
          </w:p>
        </w:tc>
        <w:tc>
          <w:tcPr>
            <w:tcW w:w="4634" w:type="dxa"/>
          </w:tcPr>
          <w:p w:rsidR="0028730B" w:rsidRDefault="00B73C65" w:rsidP="00B92CE2">
            <w:pPr>
              <w:rPr>
                <w:bCs/>
                <w:sz w:val="24"/>
                <w:szCs w:val="24"/>
              </w:rPr>
            </w:pPr>
            <w:r w:rsidRPr="00B73C65">
              <w:rPr>
                <w:bCs/>
                <w:sz w:val="24"/>
                <w:szCs w:val="24"/>
              </w:rPr>
              <w:t xml:space="preserve">R </w:t>
            </w:r>
            <w:r>
              <w:rPr>
                <w:bCs/>
                <w:sz w:val="24"/>
                <w:szCs w:val="24"/>
              </w:rPr>
              <w:t>1 461 487 679</w:t>
            </w:r>
          </w:p>
        </w:tc>
      </w:tr>
      <w:tr w:rsidR="0028730B" w:rsidTr="003C6727">
        <w:tc>
          <w:tcPr>
            <w:tcW w:w="1555" w:type="dxa"/>
          </w:tcPr>
          <w:p w:rsidR="0028730B" w:rsidRDefault="0028730B" w:rsidP="00B92CE2">
            <w:pPr>
              <w:rPr>
                <w:bCs/>
                <w:sz w:val="24"/>
                <w:szCs w:val="24"/>
              </w:rPr>
            </w:pPr>
            <w:r>
              <w:rPr>
                <w:bCs/>
                <w:sz w:val="24"/>
                <w:szCs w:val="24"/>
              </w:rPr>
              <w:t>2021/2022</w:t>
            </w:r>
          </w:p>
        </w:tc>
        <w:tc>
          <w:tcPr>
            <w:tcW w:w="3543" w:type="dxa"/>
          </w:tcPr>
          <w:p w:rsidR="0028730B" w:rsidRDefault="00B73C65" w:rsidP="00B92CE2">
            <w:pPr>
              <w:rPr>
                <w:bCs/>
                <w:sz w:val="24"/>
                <w:szCs w:val="24"/>
              </w:rPr>
            </w:pPr>
            <w:r>
              <w:rPr>
                <w:bCs/>
                <w:sz w:val="24"/>
                <w:szCs w:val="24"/>
              </w:rPr>
              <w:t xml:space="preserve">R </w:t>
            </w:r>
            <w:r w:rsidR="0028730B">
              <w:rPr>
                <w:bCs/>
                <w:sz w:val="24"/>
                <w:szCs w:val="24"/>
              </w:rPr>
              <w:t>778 825 485</w:t>
            </w:r>
          </w:p>
        </w:tc>
        <w:tc>
          <w:tcPr>
            <w:tcW w:w="4634" w:type="dxa"/>
          </w:tcPr>
          <w:p w:rsidR="0028730B" w:rsidRDefault="00B73C65" w:rsidP="00B92CE2">
            <w:pPr>
              <w:rPr>
                <w:bCs/>
                <w:sz w:val="24"/>
                <w:szCs w:val="24"/>
              </w:rPr>
            </w:pPr>
            <w:r>
              <w:rPr>
                <w:bCs/>
                <w:sz w:val="24"/>
                <w:szCs w:val="24"/>
              </w:rPr>
              <w:t xml:space="preserve">R </w:t>
            </w:r>
            <w:r w:rsidR="0028730B">
              <w:rPr>
                <w:bCs/>
                <w:sz w:val="24"/>
                <w:szCs w:val="24"/>
              </w:rPr>
              <w:t>1 794 585 504</w:t>
            </w:r>
          </w:p>
        </w:tc>
      </w:tr>
    </w:tbl>
    <w:p w:rsidR="00CF48C3" w:rsidRPr="00B116F1" w:rsidRDefault="00CF48C3" w:rsidP="00B92CE2">
      <w:pPr>
        <w:rPr>
          <w:bCs/>
          <w:sz w:val="24"/>
          <w:szCs w:val="24"/>
        </w:rPr>
      </w:pPr>
    </w:p>
    <w:p w:rsidR="004A44CB" w:rsidRDefault="00D40BBA" w:rsidP="004A44CB">
      <w:pPr>
        <w:ind w:firstLine="720"/>
        <w:rPr>
          <w:rFonts w:eastAsia="Calibri" w:cs="Arial"/>
          <w:sz w:val="24"/>
          <w:szCs w:val="24"/>
          <w:lang w:eastAsia="en-US"/>
        </w:rPr>
      </w:pPr>
      <w:r w:rsidRPr="00B116F1">
        <w:rPr>
          <w:rFonts w:eastAsia="Calibri" w:cs="Arial"/>
          <w:color w:val="202124"/>
          <w:sz w:val="24"/>
          <w:szCs w:val="24"/>
          <w:lang w:eastAsia="en-US"/>
        </w:rPr>
        <w:t>(</w:t>
      </w:r>
      <w:r w:rsidRPr="00B116F1">
        <w:rPr>
          <w:rFonts w:eastAsia="Calibri" w:cs="Arial"/>
          <w:sz w:val="24"/>
          <w:szCs w:val="24"/>
          <w:lang w:eastAsia="en-US"/>
        </w:rPr>
        <w:t>b)</w:t>
      </w:r>
    </w:p>
    <w:p w:rsidR="00CF48C3" w:rsidRPr="00B116F1" w:rsidRDefault="004A44CB" w:rsidP="004A44CB">
      <w:pPr>
        <w:ind w:left="2160" w:hanging="720"/>
        <w:rPr>
          <w:bCs/>
          <w:sz w:val="24"/>
          <w:szCs w:val="24"/>
        </w:rPr>
      </w:pPr>
      <w:r>
        <w:rPr>
          <w:rFonts w:eastAsia="Calibri" w:cs="Arial"/>
          <w:sz w:val="24"/>
          <w:szCs w:val="24"/>
          <w:lang w:eastAsia="en-US"/>
        </w:rPr>
        <w:t>(i)</w:t>
      </w:r>
      <w:r>
        <w:rPr>
          <w:rFonts w:eastAsia="Calibri" w:cs="Arial"/>
          <w:sz w:val="24"/>
          <w:szCs w:val="24"/>
          <w:lang w:eastAsia="en-US"/>
        </w:rPr>
        <w:tab/>
      </w:r>
      <w:r w:rsidR="00D40BBA" w:rsidRPr="00B116F1">
        <w:rPr>
          <w:rFonts w:eastAsia="Calibri" w:cs="Arial"/>
          <w:sz w:val="24"/>
          <w:szCs w:val="24"/>
          <w:lang w:eastAsia="en-US"/>
        </w:rPr>
        <w:t>The Department</w:t>
      </w:r>
      <w:r w:rsidR="00B92CE2" w:rsidRPr="00B116F1">
        <w:rPr>
          <w:rFonts w:eastAsia="Calibri" w:cs="Arial"/>
          <w:sz w:val="24"/>
          <w:szCs w:val="24"/>
          <w:lang w:eastAsia="en-US"/>
        </w:rPr>
        <w:t xml:space="preserve"> is focused on m</w:t>
      </w:r>
      <w:r w:rsidR="00B92CE2" w:rsidRPr="00B116F1">
        <w:rPr>
          <w:sz w:val="24"/>
          <w:szCs w:val="24"/>
        </w:rPr>
        <w:t>aintenance of existing immovable assets in pursuit of optimising the cost of service delivery and ensuring a dignified client experience are central to effective and efficient execution of maintenance</w:t>
      </w:r>
      <w:r w:rsidR="00CF48C3" w:rsidRPr="00B116F1">
        <w:rPr>
          <w:sz w:val="24"/>
          <w:szCs w:val="24"/>
        </w:rPr>
        <w:t>. In line with the N</w:t>
      </w:r>
      <w:r w:rsidR="007D72BD">
        <w:rPr>
          <w:sz w:val="24"/>
          <w:szCs w:val="24"/>
        </w:rPr>
        <w:t xml:space="preserve">ational </w:t>
      </w:r>
      <w:r w:rsidR="00CF48C3" w:rsidRPr="00B116F1">
        <w:rPr>
          <w:sz w:val="24"/>
          <w:szCs w:val="24"/>
        </w:rPr>
        <w:t>I</w:t>
      </w:r>
      <w:r w:rsidR="007D72BD">
        <w:rPr>
          <w:sz w:val="24"/>
          <w:szCs w:val="24"/>
        </w:rPr>
        <w:t xml:space="preserve">mmovable </w:t>
      </w:r>
      <w:r w:rsidR="00CF48C3" w:rsidRPr="00B116F1">
        <w:rPr>
          <w:sz w:val="24"/>
          <w:szCs w:val="24"/>
        </w:rPr>
        <w:t>A</w:t>
      </w:r>
      <w:r w:rsidR="007D72BD">
        <w:rPr>
          <w:sz w:val="24"/>
          <w:szCs w:val="24"/>
        </w:rPr>
        <w:t xml:space="preserve">sset </w:t>
      </w:r>
      <w:r w:rsidR="00CF48C3" w:rsidRPr="00B116F1">
        <w:rPr>
          <w:sz w:val="24"/>
          <w:szCs w:val="24"/>
        </w:rPr>
        <w:t>M</w:t>
      </w:r>
      <w:r w:rsidR="007D72BD">
        <w:rPr>
          <w:sz w:val="24"/>
          <w:szCs w:val="24"/>
        </w:rPr>
        <w:t xml:space="preserve">aintenance </w:t>
      </w:r>
      <w:r w:rsidR="00CF48C3" w:rsidRPr="00B116F1">
        <w:rPr>
          <w:sz w:val="24"/>
          <w:szCs w:val="24"/>
        </w:rPr>
        <w:t>M</w:t>
      </w:r>
      <w:r w:rsidR="007D72BD">
        <w:rPr>
          <w:sz w:val="24"/>
          <w:szCs w:val="24"/>
        </w:rPr>
        <w:t>anagement</w:t>
      </w:r>
      <w:r w:rsidR="00CF48C3" w:rsidRPr="00B116F1">
        <w:rPr>
          <w:sz w:val="24"/>
          <w:szCs w:val="24"/>
        </w:rPr>
        <w:t xml:space="preserve"> Framework</w:t>
      </w:r>
      <w:r w:rsidR="00720E11">
        <w:rPr>
          <w:sz w:val="24"/>
          <w:szCs w:val="24"/>
        </w:rPr>
        <w:t xml:space="preserve"> (NIAMM)</w:t>
      </w:r>
      <w:r w:rsidR="00CF48C3" w:rsidRPr="00B116F1">
        <w:rPr>
          <w:sz w:val="24"/>
          <w:szCs w:val="24"/>
        </w:rPr>
        <w:t>, maintenance is being prioritised first, with the implementation of preventative and condition-based maintenance for highly critical components with priority condition rating, proceeding to moderately and less critical components. C</w:t>
      </w:r>
      <w:r w:rsidR="00D40BBA" w:rsidRPr="00B116F1">
        <w:rPr>
          <w:rFonts w:eastAsia="Calibri" w:cs="Arial"/>
          <w:sz w:val="24"/>
          <w:szCs w:val="24"/>
          <w:lang w:eastAsia="en-US"/>
        </w:rPr>
        <w:t>ondition assessments</w:t>
      </w:r>
      <w:r w:rsidR="00CF48C3" w:rsidRPr="00B116F1">
        <w:rPr>
          <w:rFonts w:eastAsia="Calibri" w:cs="Arial"/>
          <w:sz w:val="24"/>
          <w:szCs w:val="24"/>
          <w:lang w:eastAsia="en-US"/>
        </w:rPr>
        <w:t xml:space="preserve"> have been institutionalised</w:t>
      </w:r>
      <w:r w:rsidR="00D40BBA" w:rsidRPr="00B116F1">
        <w:rPr>
          <w:rFonts w:eastAsia="Calibri" w:cs="Arial"/>
          <w:sz w:val="24"/>
          <w:szCs w:val="24"/>
          <w:lang w:eastAsia="en-US"/>
        </w:rPr>
        <w:t xml:space="preserve"> as part of the Strategic and Annual Performance </w:t>
      </w:r>
      <w:r w:rsidR="00720E11">
        <w:rPr>
          <w:rFonts w:eastAsia="Calibri" w:cs="Arial"/>
          <w:sz w:val="24"/>
          <w:szCs w:val="24"/>
          <w:lang w:eastAsia="en-US"/>
        </w:rPr>
        <w:t xml:space="preserve">Plans. </w:t>
      </w:r>
    </w:p>
    <w:p w:rsidR="00CF48C3" w:rsidRPr="00B116F1" w:rsidRDefault="00CF48C3" w:rsidP="00CF48C3">
      <w:pPr>
        <w:ind w:left="567"/>
        <w:rPr>
          <w:sz w:val="24"/>
          <w:szCs w:val="24"/>
        </w:rPr>
      </w:pPr>
    </w:p>
    <w:p w:rsidR="00D40BBA" w:rsidRPr="00B116F1" w:rsidRDefault="00FA5612" w:rsidP="004A44CB">
      <w:pPr>
        <w:ind w:left="2160"/>
        <w:rPr>
          <w:bCs/>
          <w:sz w:val="24"/>
          <w:szCs w:val="24"/>
        </w:rPr>
      </w:pPr>
      <w:r w:rsidRPr="00B116F1">
        <w:rPr>
          <w:bCs/>
          <w:sz w:val="24"/>
          <w:szCs w:val="24"/>
        </w:rPr>
        <w:t>The Department has procured a Multi</w:t>
      </w:r>
      <w:r w:rsidR="00720E11">
        <w:rPr>
          <w:bCs/>
          <w:sz w:val="24"/>
          <w:szCs w:val="24"/>
        </w:rPr>
        <w:t>-</w:t>
      </w:r>
      <w:r w:rsidRPr="00B116F1">
        <w:rPr>
          <w:bCs/>
          <w:sz w:val="24"/>
          <w:szCs w:val="24"/>
        </w:rPr>
        <w:t xml:space="preserve">disciplinary Technical Team to support with conducting condition assessments and development of maintenance plans. Aligned to this is the development of the condition assessments reporting templates and training of internal resources. </w:t>
      </w:r>
    </w:p>
    <w:p w:rsidR="00CF48C3" w:rsidRPr="00B116F1" w:rsidRDefault="00CF48C3" w:rsidP="00FA5612">
      <w:pPr>
        <w:rPr>
          <w:bCs/>
          <w:sz w:val="24"/>
          <w:szCs w:val="24"/>
        </w:rPr>
      </w:pPr>
    </w:p>
    <w:p w:rsidR="00D40BBA" w:rsidRPr="00B116F1" w:rsidRDefault="004A44CB" w:rsidP="004A44CB">
      <w:pPr>
        <w:ind w:left="2157" w:hanging="870"/>
        <w:rPr>
          <w:bCs/>
          <w:sz w:val="24"/>
          <w:szCs w:val="24"/>
        </w:rPr>
      </w:pPr>
      <w:r>
        <w:rPr>
          <w:bCs/>
          <w:sz w:val="24"/>
          <w:szCs w:val="24"/>
        </w:rPr>
        <w:t>(ii)</w:t>
      </w:r>
      <w:r>
        <w:rPr>
          <w:bCs/>
          <w:sz w:val="24"/>
          <w:szCs w:val="24"/>
        </w:rPr>
        <w:tab/>
      </w:r>
      <w:r w:rsidR="00D40BBA" w:rsidRPr="00B116F1">
        <w:rPr>
          <w:bCs/>
          <w:sz w:val="24"/>
          <w:szCs w:val="24"/>
        </w:rPr>
        <w:t>The Department has issued a term contract directive in 2021 with</w:t>
      </w:r>
      <w:r w:rsidR="00F36BD9" w:rsidRPr="00B116F1">
        <w:rPr>
          <w:bCs/>
          <w:sz w:val="24"/>
          <w:szCs w:val="24"/>
        </w:rPr>
        <w:t xml:space="preserve"> a minimum suite of contracts with a</w:t>
      </w:r>
      <w:r w:rsidR="00D40BBA" w:rsidRPr="00B116F1">
        <w:rPr>
          <w:bCs/>
          <w:sz w:val="24"/>
          <w:szCs w:val="24"/>
        </w:rPr>
        <w:t xml:space="preserve"> criticality criteria to ensure that there is a reduction in reactive maintenance and more corrective and preventative maintenance. The Department has rolled out the Total Facilities Management Contract in 2020 for three (3) pilot facilities</w:t>
      </w:r>
      <w:r w:rsidR="00FA5612" w:rsidRPr="00B116F1">
        <w:rPr>
          <w:bCs/>
          <w:sz w:val="24"/>
          <w:szCs w:val="24"/>
        </w:rPr>
        <w:t xml:space="preserve">. The Department has </w:t>
      </w:r>
      <w:r w:rsidR="00D40BBA" w:rsidRPr="00B116F1">
        <w:rPr>
          <w:bCs/>
          <w:sz w:val="24"/>
          <w:szCs w:val="24"/>
        </w:rPr>
        <w:t>procured the DPWI TFM</w:t>
      </w:r>
      <w:r w:rsidR="00FA5612" w:rsidRPr="00B116F1">
        <w:rPr>
          <w:bCs/>
          <w:sz w:val="24"/>
          <w:szCs w:val="24"/>
        </w:rPr>
        <w:t xml:space="preserve"> panel</w:t>
      </w:r>
      <w:r w:rsidR="00B92CE2" w:rsidRPr="00B116F1">
        <w:rPr>
          <w:bCs/>
          <w:sz w:val="24"/>
          <w:szCs w:val="24"/>
        </w:rPr>
        <w:t xml:space="preserve"> in 2021 and are anticipating r</w:t>
      </w:r>
      <w:r w:rsidR="00FA5612" w:rsidRPr="00B116F1">
        <w:rPr>
          <w:bCs/>
          <w:sz w:val="24"/>
          <w:szCs w:val="24"/>
        </w:rPr>
        <w:t xml:space="preserve">olling out 15 facilities for the 2022/2023 FY. </w:t>
      </w:r>
      <w:r w:rsidR="00D40BBA" w:rsidRPr="00B116F1">
        <w:rPr>
          <w:bCs/>
          <w:sz w:val="24"/>
          <w:szCs w:val="24"/>
        </w:rPr>
        <w:t xml:space="preserve"> </w:t>
      </w:r>
    </w:p>
    <w:p w:rsidR="00CF48C3" w:rsidRPr="00B116F1" w:rsidRDefault="00CF48C3" w:rsidP="00FA5612">
      <w:pPr>
        <w:rPr>
          <w:bCs/>
          <w:sz w:val="24"/>
          <w:szCs w:val="24"/>
        </w:rPr>
      </w:pPr>
    </w:p>
    <w:p w:rsidR="00CF6F9B" w:rsidRDefault="004A44CB" w:rsidP="004A44CB">
      <w:pPr>
        <w:pStyle w:val="ListParagraph"/>
        <w:spacing w:line="259" w:lineRule="auto"/>
        <w:ind w:left="2157" w:hanging="897"/>
        <w:rPr>
          <w:rFonts w:cs="Arial"/>
          <w:sz w:val="24"/>
          <w:szCs w:val="24"/>
        </w:rPr>
      </w:pPr>
      <w:r>
        <w:rPr>
          <w:bCs/>
          <w:sz w:val="24"/>
          <w:szCs w:val="24"/>
        </w:rPr>
        <w:t>(aa)</w:t>
      </w:r>
      <w:r>
        <w:rPr>
          <w:bCs/>
          <w:sz w:val="24"/>
          <w:szCs w:val="24"/>
        </w:rPr>
        <w:tab/>
      </w:r>
      <w:r w:rsidR="00CF6F9B">
        <w:rPr>
          <w:bCs/>
          <w:sz w:val="24"/>
          <w:szCs w:val="24"/>
        </w:rPr>
        <w:t>I</w:t>
      </w:r>
      <w:r w:rsidR="00CF6F9B" w:rsidRPr="00B554EA">
        <w:rPr>
          <w:rFonts w:cs="Arial"/>
          <w:sz w:val="24"/>
          <w:szCs w:val="24"/>
        </w:rPr>
        <w:t>n line with the NIAMM Framework, maintenance is being prioritised first, with the implementation of preventative and condition-based maintenance for highly critical components with priority condition rating, proceeding to moderately and less critical components.</w:t>
      </w:r>
      <w:r w:rsidR="00CF6F9B">
        <w:rPr>
          <w:rFonts w:cs="Arial"/>
          <w:sz w:val="24"/>
          <w:szCs w:val="24"/>
        </w:rPr>
        <w:t xml:space="preserve"> </w:t>
      </w:r>
    </w:p>
    <w:p w:rsidR="00CF6F9B" w:rsidRDefault="00CF6F9B" w:rsidP="00CF6F9B">
      <w:pPr>
        <w:pStyle w:val="ListParagraph"/>
        <w:ind w:left="927"/>
        <w:rPr>
          <w:rFonts w:cs="Arial"/>
          <w:b/>
          <w:sz w:val="24"/>
          <w:szCs w:val="24"/>
          <w:u w:val="single"/>
          <w:lang w:val="en-US"/>
        </w:rPr>
      </w:pPr>
    </w:p>
    <w:p w:rsidR="00CF6F9B" w:rsidRDefault="00CF6F9B" w:rsidP="004A44CB">
      <w:pPr>
        <w:pStyle w:val="ListParagraph"/>
        <w:ind w:left="1953"/>
        <w:rPr>
          <w:rFonts w:cs="Arial"/>
          <w:sz w:val="24"/>
          <w:szCs w:val="24"/>
        </w:rPr>
      </w:pPr>
      <w:r>
        <w:rPr>
          <w:rFonts w:cs="Arial"/>
          <w:sz w:val="24"/>
          <w:szCs w:val="24"/>
        </w:rPr>
        <w:t xml:space="preserve">The </w:t>
      </w:r>
      <w:r w:rsidRPr="00B554EA">
        <w:rPr>
          <w:rFonts w:cs="Arial"/>
          <w:sz w:val="24"/>
          <w:szCs w:val="24"/>
        </w:rPr>
        <w:t xml:space="preserve">budget availability and the client’s facility maintenance needs, </w:t>
      </w:r>
      <w:r>
        <w:rPr>
          <w:rFonts w:cs="Arial"/>
          <w:sz w:val="24"/>
          <w:szCs w:val="24"/>
        </w:rPr>
        <w:t xml:space="preserve">allows </w:t>
      </w:r>
      <w:r w:rsidRPr="00B554EA">
        <w:rPr>
          <w:rFonts w:cs="Arial"/>
          <w:sz w:val="24"/>
          <w:szCs w:val="24"/>
        </w:rPr>
        <w:t>the Department</w:t>
      </w:r>
      <w:r>
        <w:rPr>
          <w:rFonts w:cs="Arial"/>
          <w:sz w:val="24"/>
          <w:szCs w:val="24"/>
        </w:rPr>
        <w:t xml:space="preserve"> to offer the following</w:t>
      </w:r>
      <w:r w:rsidRPr="00B554EA">
        <w:rPr>
          <w:rFonts w:cs="Arial"/>
          <w:sz w:val="24"/>
          <w:szCs w:val="24"/>
        </w:rPr>
        <w:t xml:space="preserve">: </w:t>
      </w:r>
    </w:p>
    <w:p w:rsidR="004A44CB" w:rsidRDefault="004A44CB" w:rsidP="004A44CB">
      <w:pPr>
        <w:pStyle w:val="ListParagraph"/>
        <w:ind w:left="1953"/>
        <w:rPr>
          <w:rFonts w:cs="Arial"/>
          <w:sz w:val="24"/>
          <w:szCs w:val="24"/>
        </w:rPr>
      </w:pPr>
    </w:p>
    <w:p w:rsidR="004A44CB" w:rsidRPr="00B554EA" w:rsidRDefault="004A44CB" w:rsidP="004A44CB">
      <w:pPr>
        <w:pStyle w:val="ListParagraph"/>
        <w:ind w:left="1953"/>
        <w:rPr>
          <w:rFonts w:cs="Arial"/>
          <w:sz w:val="24"/>
          <w:szCs w:val="24"/>
        </w:rPr>
      </w:pPr>
    </w:p>
    <w:p w:rsidR="00CF6F9B" w:rsidRPr="00B554EA" w:rsidRDefault="00CF6F9B" w:rsidP="004A44CB">
      <w:pPr>
        <w:pStyle w:val="ListParagraph"/>
        <w:numPr>
          <w:ilvl w:val="0"/>
          <w:numId w:val="41"/>
        </w:numPr>
        <w:spacing w:after="279" w:line="276" w:lineRule="auto"/>
        <w:ind w:left="2520" w:hanging="540"/>
        <w:rPr>
          <w:rFonts w:cs="Arial"/>
          <w:sz w:val="24"/>
          <w:szCs w:val="24"/>
        </w:rPr>
      </w:pPr>
      <w:r w:rsidRPr="00B554EA">
        <w:rPr>
          <w:rFonts w:cs="Arial"/>
          <w:sz w:val="24"/>
          <w:szCs w:val="24"/>
        </w:rPr>
        <w:t>Facility Condition and Critical Components Assessments</w:t>
      </w:r>
      <w:r w:rsidR="00BA2A87">
        <w:rPr>
          <w:rFonts w:cs="Arial"/>
          <w:sz w:val="24"/>
          <w:szCs w:val="24"/>
        </w:rPr>
        <w:t xml:space="preserve"> for which the Department has completed 301</w:t>
      </w:r>
      <w:r w:rsidRPr="00B554EA">
        <w:rPr>
          <w:rFonts w:cs="Arial"/>
          <w:sz w:val="24"/>
          <w:szCs w:val="24"/>
        </w:rPr>
        <w:t>;</w:t>
      </w:r>
    </w:p>
    <w:p w:rsidR="00CF6F9B" w:rsidRPr="00B554EA" w:rsidRDefault="00CF6F9B" w:rsidP="004A44CB">
      <w:pPr>
        <w:pStyle w:val="ListParagraph"/>
        <w:numPr>
          <w:ilvl w:val="0"/>
          <w:numId w:val="41"/>
        </w:numPr>
        <w:spacing w:after="279" w:line="276" w:lineRule="auto"/>
        <w:ind w:left="2520" w:hanging="540"/>
        <w:rPr>
          <w:rFonts w:cs="Arial"/>
          <w:sz w:val="24"/>
          <w:szCs w:val="24"/>
        </w:rPr>
      </w:pPr>
      <w:r w:rsidRPr="00B554EA">
        <w:rPr>
          <w:rFonts w:cs="Arial"/>
          <w:sz w:val="24"/>
          <w:szCs w:val="24"/>
        </w:rPr>
        <w:t>Total Facilities Management Contract, comprising of hard and soft services;</w:t>
      </w:r>
    </w:p>
    <w:p w:rsidR="00CF6F9B" w:rsidRPr="00B554EA" w:rsidRDefault="00CF6F9B" w:rsidP="004A44CB">
      <w:pPr>
        <w:pStyle w:val="ListParagraph"/>
        <w:numPr>
          <w:ilvl w:val="0"/>
          <w:numId w:val="41"/>
        </w:numPr>
        <w:spacing w:after="279" w:line="276" w:lineRule="auto"/>
        <w:ind w:left="2520" w:hanging="540"/>
        <w:rPr>
          <w:rFonts w:cs="Arial"/>
          <w:sz w:val="24"/>
          <w:szCs w:val="24"/>
        </w:rPr>
      </w:pPr>
      <w:r w:rsidRPr="00B554EA">
        <w:rPr>
          <w:rFonts w:cs="Arial"/>
          <w:sz w:val="24"/>
          <w:szCs w:val="24"/>
        </w:rPr>
        <w:t>Comprehensive Term Contract, comprising of hard services in a single facility;</w:t>
      </w:r>
    </w:p>
    <w:p w:rsidR="00CF6F9B" w:rsidRPr="00B554EA" w:rsidRDefault="00CF6F9B" w:rsidP="004A44CB">
      <w:pPr>
        <w:pStyle w:val="ListParagraph"/>
        <w:numPr>
          <w:ilvl w:val="0"/>
          <w:numId w:val="41"/>
        </w:numPr>
        <w:spacing w:after="279" w:line="276" w:lineRule="auto"/>
        <w:ind w:left="2520" w:hanging="540"/>
        <w:rPr>
          <w:rFonts w:cs="Arial"/>
          <w:sz w:val="24"/>
          <w:szCs w:val="24"/>
        </w:rPr>
      </w:pPr>
      <w:r w:rsidRPr="00B554EA">
        <w:rPr>
          <w:rFonts w:cs="Arial"/>
          <w:sz w:val="24"/>
          <w:szCs w:val="24"/>
        </w:rPr>
        <w:t>Term Contract, comprising of maintenance of critical components in various facilities and;</w:t>
      </w:r>
    </w:p>
    <w:p w:rsidR="00CF48C3" w:rsidRPr="00BA2A87" w:rsidRDefault="00CF6F9B" w:rsidP="005566D6">
      <w:pPr>
        <w:pStyle w:val="ListParagraph"/>
        <w:numPr>
          <w:ilvl w:val="0"/>
          <w:numId w:val="41"/>
        </w:numPr>
        <w:ind w:left="2520" w:hanging="540"/>
        <w:rPr>
          <w:rFonts w:cs="Arial"/>
          <w:sz w:val="24"/>
          <w:szCs w:val="24"/>
        </w:rPr>
      </w:pPr>
      <w:r w:rsidRPr="00B554EA">
        <w:rPr>
          <w:rFonts w:cs="Arial"/>
          <w:sz w:val="24"/>
          <w:szCs w:val="24"/>
        </w:rPr>
        <w:t>Corrective maintenance and reactive maintenance</w:t>
      </w:r>
    </w:p>
    <w:p w:rsidR="00CF48C3" w:rsidRPr="00B116F1" w:rsidRDefault="00CF48C3" w:rsidP="005566D6">
      <w:pPr>
        <w:rPr>
          <w:bCs/>
          <w:sz w:val="24"/>
          <w:szCs w:val="24"/>
        </w:rPr>
      </w:pPr>
    </w:p>
    <w:p w:rsidR="00CF6F9B" w:rsidRPr="00CF6F9B" w:rsidRDefault="004A44CB" w:rsidP="004A44CB">
      <w:pPr>
        <w:pStyle w:val="CommentText"/>
        <w:tabs>
          <w:tab w:val="left" w:pos="1980"/>
        </w:tabs>
        <w:ind w:left="1980" w:hanging="720"/>
        <w:rPr>
          <w:rFonts w:cs="Arial"/>
          <w:sz w:val="24"/>
          <w:szCs w:val="24"/>
        </w:rPr>
      </w:pPr>
      <w:r>
        <w:rPr>
          <w:bCs/>
          <w:sz w:val="24"/>
          <w:szCs w:val="24"/>
        </w:rPr>
        <w:t>(bb)</w:t>
      </w:r>
      <w:r>
        <w:rPr>
          <w:bCs/>
          <w:sz w:val="24"/>
          <w:szCs w:val="24"/>
        </w:rPr>
        <w:tab/>
      </w:r>
      <w:r w:rsidR="00BA2A87">
        <w:rPr>
          <w:bCs/>
          <w:sz w:val="24"/>
          <w:szCs w:val="24"/>
        </w:rPr>
        <w:t>There is c</w:t>
      </w:r>
      <w:r w:rsidR="00CF6F9B" w:rsidRPr="00CF6F9B">
        <w:rPr>
          <w:rFonts w:cs="Arial"/>
          <w:sz w:val="24"/>
          <w:szCs w:val="24"/>
          <w:lang w:eastAsia="en-US"/>
        </w:rPr>
        <w:t xml:space="preserve">ontinuous engagement with National Treasury and User Departments to close the funding </w:t>
      </w:r>
      <w:r w:rsidR="00720E11">
        <w:rPr>
          <w:rFonts w:cs="Arial"/>
          <w:sz w:val="24"/>
          <w:szCs w:val="24"/>
          <w:lang w:eastAsia="en-US"/>
        </w:rPr>
        <w:t>deficit</w:t>
      </w:r>
      <w:r w:rsidR="00CF6F9B" w:rsidRPr="00CF6F9B">
        <w:rPr>
          <w:rFonts w:cs="Arial"/>
          <w:sz w:val="24"/>
          <w:szCs w:val="24"/>
          <w:lang w:eastAsia="en-US"/>
        </w:rPr>
        <w:t xml:space="preserve"> that each client has on their portfolio. The deficit is the difference between the full cost recovery (including property rates, maintenance and allowance for refurbishment) and what the clients are paying as a result of the devolved budgets. Leveraging these funds will avail funds for covering the full asset life-cycle costs.</w:t>
      </w:r>
      <w:r w:rsidR="00720E11">
        <w:rPr>
          <w:rFonts w:cs="Arial"/>
          <w:sz w:val="24"/>
          <w:szCs w:val="24"/>
          <w:lang w:eastAsia="en-US"/>
        </w:rPr>
        <w:t xml:space="preserve"> The DPWI has also devolved maintenance to User Departments to the value of R1 million.</w:t>
      </w:r>
    </w:p>
    <w:p w:rsidR="004A44CB" w:rsidRDefault="004A44CB" w:rsidP="004A44CB">
      <w:pPr>
        <w:ind w:left="1260" w:firstLine="720"/>
        <w:rPr>
          <w:bCs/>
          <w:sz w:val="24"/>
          <w:szCs w:val="24"/>
        </w:rPr>
      </w:pPr>
    </w:p>
    <w:p w:rsidR="00FA5612" w:rsidRPr="00CF6F9B" w:rsidRDefault="00FA5612" w:rsidP="00FA5612">
      <w:pPr>
        <w:rPr>
          <w:rFonts w:cs="Arial"/>
        </w:rPr>
      </w:pPr>
    </w:p>
    <w:p w:rsidR="00ED1C67" w:rsidRPr="004A44CB" w:rsidRDefault="004A44CB" w:rsidP="004A44CB">
      <w:pPr>
        <w:tabs>
          <w:tab w:val="left" w:pos="1980"/>
        </w:tabs>
        <w:autoSpaceDE w:val="0"/>
        <w:autoSpaceDN w:val="0"/>
        <w:adjustRightInd w:val="0"/>
        <w:ind w:left="1980" w:hanging="720"/>
        <w:jc w:val="left"/>
        <w:rPr>
          <w:rFonts w:cs="Arial"/>
          <w:sz w:val="24"/>
          <w:szCs w:val="24"/>
        </w:rPr>
      </w:pPr>
      <w:r>
        <w:rPr>
          <w:rFonts w:cs="Arial"/>
          <w:sz w:val="24"/>
          <w:szCs w:val="24"/>
        </w:rPr>
        <w:t>(cc)</w:t>
      </w:r>
      <w:r>
        <w:rPr>
          <w:rFonts w:cs="Arial"/>
          <w:sz w:val="24"/>
          <w:szCs w:val="24"/>
        </w:rPr>
        <w:tab/>
      </w:r>
      <w:r w:rsidR="00341E77" w:rsidRPr="004A44CB">
        <w:rPr>
          <w:rFonts w:cs="Arial"/>
          <w:sz w:val="24"/>
          <w:szCs w:val="24"/>
        </w:rPr>
        <w:t xml:space="preserve">In pursuit of the long-term strategy in the management of government properties, DPWI is introducing a </w:t>
      </w:r>
      <w:r w:rsidR="00341E77" w:rsidRPr="004A44CB">
        <w:rPr>
          <w:rFonts w:cs="Arial"/>
          <w:b/>
          <w:sz w:val="24"/>
          <w:szCs w:val="24"/>
        </w:rPr>
        <w:t>Refurbish, Operate and Transfer (ROT) Programme</w:t>
      </w:r>
      <w:r w:rsidR="00341E77" w:rsidRPr="004A44CB">
        <w:rPr>
          <w:rFonts w:cs="Arial"/>
          <w:sz w:val="24"/>
          <w:szCs w:val="24"/>
        </w:rPr>
        <w:t xml:space="preserve"> to be implemented for DPWI’s High Priority Facilities. The programme is planned to be out in two phases with the first phase being a pilot project on at least five strategic facilities for the </w:t>
      </w:r>
      <w:r w:rsidR="00341E77" w:rsidRPr="004A44CB">
        <w:rPr>
          <w:rFonts w:cs="Arial"/>
          <w:b/>
          <w:sz w:val="24"/>
          <w:szCs w:val="24"/>
        </w:rPr>
        <w:t>Proof of Concept (PoC)</w:t>
      </w:r>
      <w:r w:rsidR="00341E77" w:rsidRPr="004A44CB">
        <w:rPr>
          <w:rFonts w:cs="Arial"/>
          <w:sz w:val="24"/>
          <w:szCs w:val="24"/>
        </w:rPr>
        <w:t xml:space="preserve"> and the second phase being the long term roll out of the ROT Programme to the reminder of additional High Priority Facilities. The plan is to </w:t>
      </w:r>
      <w:r w:rsidR="00341E77" w:rsidRPr="004A44CB">
        <w:rPr>
          <w:rFonts w:cs="Arial"/>
          <w:b/>
          <w:sz w:val="24"/>
          <w:szCs w:val="24"/>
        </w:rPr>
        <w:t xml:space="preserve">collaborate and form partnerships with </w:t>
      </w:r>
      <w:r w:rsidR="009D3980">
        <w:rPr>
          <w:rFonts w:cs="Arial"/>
          <w:b/>
          <w:sz w:val="24"/>
          <w:szCs w:val="24"/>
        </w:rPr>
        <w:t xml:space="preserve">the </w:t>
      </w:r>
      <w:r w:rsidR="00341E77" w:rsidRPr="004A44CB">
        <w:rPr>
          <w:rFonts w:cs="Arial"/>
          <w:b/>
          <w:sz w:val="24"/>
          <w:szCs w:val="24"/>
        </w:rPr>
        <w:t>private sector</w:t>
      </w:r>
      <w:r w:rsidR="00341E77" w:rsidRPr="004A44CB">
        <w:rPr>
          <w:rFonts w:cs="Arial"/>
          <w:sz w:val="24"/>
          <w:szCs w:val="24"/>
        </w:rPr>
        <w:t xml:space="preserve">, wherein the private </w:t>
      </w:r>
      <w:r w:rsidR="00341E77" w:rsidRPr="004A44CB">
        <w:rPr>
          <w:rFonts w:cs="Arial"/>
          <w:b/>
          <w:sz w:val="24"/>
          <w:szCs w:val="24"/>
        </w:rPr>
        <w:t>sector will invest their resources to refurbish these facilities</w:t>
      </w:r>
      <w:r w:rsidR="00341E77" w:rsidRPr="004A44CB">
        <w:rPr>
          <w:rFonts w:cs="Arial"/>
          <w:sz w:val="24"/>
          <w:szCs w:val="24"/>
        </w:rPr>
        <w:t xml:space="preserve">, </w:t>
      </w:r>
      <w:r w:rsidR="00341E77" w:rsidRPr="004A44CB">
        <w:rPr>
          <w:rFonts w:cs="Arial"/>
          <w:b/>
          <w:sz w:val="24"/>
          <w:szCs w:val="24"/>
        </w:rPr>
        <w:t xml:space="preserve">operate </w:t>
      </w:r>
      <w:r w:rsidR="00341E77" w:rsidRPr="004A44CB">
        <w:rPr>
          <w:rFonts w:cs="Arial"/>
          <w:sz w:val="24"/>
          <w:szCs w:val="24"/>
        </w:rPr>
        <w:t xml:space="preserve">these facilities for a period of twenty </w:t>
      </w:r>
      <w:r w:rsidR="009D3980">
        <w:rPr>
          <w:rFonts w:cs="Arial"/>
          <w:sz w:val="24"/>
          <w:szCs w:val="24"/>
        </w:rPr>
        <w:t>(20) to twenty five (25) years, including maintenance,</w:t>
      </w:r>
      <w:r w:rsidR="00341E77" w:rsidRPr="004A44CB">
        <w:rPr>
          <w:rFonts w:cs="Arial"/>
          <w:sz w:val="24"/>
          <w:szCs w:val="24"/>
        </w:rPr>
        <w:t xml:space="preserve"> and handover the facilities back to government after this period. The government will repay the private investor for the duration of the lease through the User Accommodation Charges collected from the Client Departments.</w:t>
      </w:r>
    </w:p>
    <w:p w:rsidR="00341E77" w:rsidRPr="004A44CB" w:rsidRDefault="00341E77" w:rsidP="00ED1C67">
      <w:pPr>
        <w:autoSpaceDE w:val="0"/>
        <w:autoSpaceDN w:val="0"/>
        <w:adjustRightInd w:val="0"/>
        <w:jc w:val="left"/>
        <w:rPr>
          <w:rFonts w:cs="Arial"/>
          <w:color w:val="000000"/>
          <w:sz w:val="24"/>
          <w:szCs w:val="24"/>
          <w:lang w:val="en-US" w:eastAsia="en-US"/>
        </w:rPr>
      </w:pPr>
    </w:p>
    <w:p w:rsidR="00341E77" w:rsidRPr="004A44CB" w:rsidRDefault="00341E77" w:rsidP="004A44CB">
      <w:pPr>
        <w:ind w:left="1980"/>
        <w:rPr>
          <w:rFonts w:cs="Arial"/>
          <w:sz w:val="24"/>
          <w:szCs w:val="24"/>
        </w:rPr>
      </w:pPr>
      <w:r w:rsidRPr="004A44CB">
        <w:rPr>
          <w:rFonts w:cs="Arial"/>
          <w:sz w:val="24"/>
          <w:szCs w:val="24"/>
        </w:rPr>
        <w:t xml:space="preserve">The five strategic facilities prioritised for the Proof of Concept are all in the </w:t>
      </w:r>
      <w:r w:rsidRPr="004A44CB">
        <w:rPr>
          <w:rFonts w:cs="Arial"/>
          <w:sz w:val="24"/>
          <w:szCs w:val="24"/>
          <w:lang w:val="en-US"/>
        </w:rPr>
        <w:t xml:space="preserve">City of </w:t>
      </w:r>
      <w:r w:rsidRPr="004A44CB">
        <w:rPr>
          <w:rFonts w:cs="Arial"/>
          <w:sz w:val="24"/>
          <w:szCs w:val="24"/>
        </w:rPr>
        <w:t>Tshwane Metropolitan Municipality and they are:</w:t>
      </w:r>
    </w:p>
    <w:p w:rsidR="00341E77" w:rsidRPr="004A44CB" w:rsidRDefault="00341E77" w:rsidP="004A44CB">
      <w:pPr>
        <w:pStyle w:val="ListParagraph"/>
        <w:numPr>
          <w:ilvl w:val="0"/>
          <w:numId w:val="40"/>
        </w:numPr>
        <w:spacing w:after="160" w:line="259" w:lineRule="auto"/>
        <w:ind w:left="1980" w:firstLine="90"/>
        <w:rPr>
          <w:rFonts w:cs="Arial"/>
          <w:sz w:val="24"/>
          <w:szCs w:val="24"/>
          <w:lang w:val="en-US"/>
        </w:rPr>
      </w:pPr>
      <w:r w:rsidRPr="004A44CB">
        <w:rPr>
          <w:rFonts w:cs="Arial"/>
          <w:sz w:val="24"/>
          <w:szCs w:val="24"/>
          <w:lang w:val="en-US"/>
        </w:rPr>
        <w:t>Telkom Towers Complex (3 buildings within the complex)</w:t>
      </w:r>
    </w:p>
    <w:p w:rsidR="00341E77" w:rsidRPr="004A44CB" w:rsidRDefault="00341E77" w:rsidP="004A44CB">
      <w:pPr>
        <w:pStyle w:val="ListParagraph"/>
        <w:numPr>
          <w:ilvl w:val="0"/>
          <w:numId w:val="40"/>
        </w:numPr>
        <w:spacing w:after="160" w:line="259" w:lineRule="auto"/>
        <w:ind w:left="1980" w:firstLine="90"/>
        <w:rPr>
          <w:rFonts w:cs="Arial"/>
          <w:sz w:val="24"/>
          <w:szCs w:val="24"/>
          <w:lang w:val="en-US"/>
        </w:rPr>
      </w:pPr>
      <w:r w:rsidRPr="004A44CB">
        <w:rPr>
          <w:rFonts w:cs="Arial"/>
          <w:sz w:val="24"/>
          <w:szCs w:val="24"/>
          <w:lang w:val="en-US"/>
        </w:rPr>
        <w:t>Public Works House</w:t>
      </w:r>
    </w:p>
    <w:p w:rsidR="00341E77" w:rsidRPr="004A44CB" w:rsidRDefault="00341E77" w:rsidP="004A44CB">
      <w:pPr>
        <w:pStyle w:val="ListParagraph"/>
        <w:numPr>
          <w:ilvl w:val="0"/>
          <w:numId w:val="40"/>
        </w:numPr>
        <w:autoSpaceDE w:val="0"/>
        <w:autoSpaceDN w:val="0"/>
        <w:adjustRightInd w:val="0"/>
        <w:ind w:left="1980" w:firstLine="90"/>
        <w:jc w:val="left"/>
        <w:rPr>
          <w:rFonts w:cs="Arial"/>
          <w:color w:val="000000"/>
          <w:sz w:val="24"/>
          <w:szCs w:val="24"/>
          <w:lang w:val="en-US" w:eastAsia="en-US"/>
        </w:rPr>
      </w:pPr>
      <w:r w:rsidRPr="004A44CB">
        <w:rPr>
          <w:rFonts w:cs="Arial"/>
          <w:sz w:val="24"/>
          <w:szCs w:val="24"/>
          <w:lang w:val="en-US"/>
        </w:rPr>
        <w:t>Civitas Building</w:t>
      </w:r>
    </w:p>
    <w:p w:rsidR="00341E77" w:rsidRPr="004A44CB" w:rsidRDefault="00341E77" w:rsidP="00341E77">
      <w:pPr>
        <w:pStyle w:val="ListParagraph"/>
        <w:autoSpaceDE w:val="0"/>
        <w:autoSpaceDN w:val="0"/>
        <w:adjustRightInd w:val="0"/>
        <w:jc w:val="left"/>
        <w:rPr>
          <w:rFonts w:cs="Arial"/>
          <w:color w:val="000000"/>
          <w:sz w:val="24"/>
          <w:szCs w:val="24"/>
          <w:lang w:val="en-US" w:eastAsia="en-US"/>
        </w:rPr>
      </w:pPr>
    </w:p>
    <w:p w:rsidR="00F23142" w:rsidRPr="004A44CB" w:rsidRDefault="00341E77" w:rsidP="004A44CB">
      <w:pPr>
        <w:autoSpaceDE w:val="0"/>
        <w:autoSpaceDN w:val="0"/>
        <w:adjustRightInd w:val="0"/>
        <w:ind w:left="1980"/>
        <w:jc w:val="left"/>
        <w:rPr>
          <w:rFonts w:cs="Arial"/>
          <w:sz w:val="24"/>
          <w:szCs w:val="24"/>
        </w:rPr>
      </w:pPr>
      <w:r w:rsidRPr="004A44CB">
        <w:rPr>
          <w:rFonts w:cs="Arial"/>
          <w:sz w:val="24"/>
          <w:szCs w:val="24"/>
        </w:rPr>
        <w:t xml:space="preserve">The plan of the Department supported by ISA, is to go to the market through the </w:t>
      </w:r>
      <w:r w:rsidRPr="004A44CB">
        <w:rPr>
          <w:rFonts w:cs="Arial"/>
          <w:b/>
          <w:sz w:val="24"/>
          <w:szCs w:val="24"/>
        </w:rPr>
        <w:t>Request For Interests</w:t>
      </w:r>
      <w:r w:rsidRPr="004A44CB">
        <w:rPr>
          <w:rFonts w:cs="Arial"/>
          <w:sz w:val="24"/>
          <w:szCs w:val="24"/>
        </w:rPr>
        <w:t xml:space="preserve"> </w:t>
      </w:r>
      <w:r w:rsidR="004A44CB" w:rsidRPr="004A44CB">
        <w:rPr>
          <w:rFonts w:cs="Arial"/>
          <w:b/>
          <w:sz w:val="24"/>
          <w:szCs w:val="24"/>
        </w:rPr>
        <w:t>(RFI)</w:t>
      </w:r>
      <w:r w:rsidR="004A44CB" w:rsidRPr="004A44CB">
        <w:rPr>
          <w:rFonts w:cs="Arial"/>
          <w:sz w:val="24"/>
          <w:szCs w:val="24"/>
        </w:rPr>
        <w:t xml:space="preserve"> </w:t>
      </w:r>
      <w:r w:rsidRPr="004A44CB">
        <w:rPr>
          <w:rFonts w:cs="Arial"/>
          <w:sz w:val="24"/>
          <w:szCs w:val="24"/>
        </w:rPr>
        <w:t>before the end of the second quarter</w:t>
      </w:r>
      <w:r w:rsidR="003B317A" w:rsidRPr="004A44CB">
        <w:rPr>
          <w:rFonts w:cs="Arial"/>
          <w:sz w:val="24"/>
          <w:szCs w:val="24"/>
        </w:rPr>
        <w:t>, 30 September 2022</w:t>
      </w:r>
      <w:r w:rsidRPr="004A44CB">
        <w:rPr>
          <w:rFonts w:cs="Arial"/>
          <w:sz w:val="24"/>
          <w:szCs w:val="24"/>
        </w:rPr>
        <w:t>.</w:t>
      </w:r>
    </w:p>
    <w:p w:rsidR="00CF6F9B" w:rsidRPr="004A44CB" w:rsidRDefault="00CF6F9B" w:rsidP="00ED1C67">
      <w:pPr>
        <w:autoSpaceDE w:val="0"/>
        <w:autoSpaceDN w:val="0"/>
        <w:adjustRightInd w:val="0"/>
        <w:jc w:val="left"/>
        <w:rPr>
          <w:rFonts w:cs="Arial"/>
          <w:sz w:val="24"/>
          <w:szCs w:val="24"/>
        </w:rPr>
      </w:pPr>
    </w:p>
    <w:p w:rsidR="00CF6F9B" w:rsidRPr="004A44CB" w:rsidRDefault="005566D6" w:rsidP="00ED1C67">
      <w:pPr>
        <w:autoSpaceDE w:val="0"/>
        <w:autoSpaceDN w:val="0"/>
        <w:adjustRightInd w:val="0"/>
        <w:jc w:val="left"/>
        <w:rPr>
          <w:rFonts w:cs="Arial"/>
          <w:sz w:val="24"/>
          <w:szCs w:val="24"/>
        </w:rPr>
      </w:pPr>
      <w:r>
        <w:rPr>
          <w:rFonts w:cs="Arial"/>
          <w:sz w:val="24"/>
          <w:szCs w:val="24"/>
        </w:rPr>
        <w:t>(2)</w:t>
      </w:r>
      <w:r>
        <w:rPr>
          <w:rFonts w:cs="Arial"/>
          <w:sz w:val="24"/>
          <w:szCs w:val="24"/>
        </w:rPr>
        <w:tab/>
      </w:r>
      <w:r w:rsidR="009D3980">
        <w:rPr>
          <w:rFonts w:cs="Arial"/>
          <w:sz w:val="24"/>
          <w:szCs w:val="24"/>
        </w:rPr>
        <w:t>There’s no need for a statement as the questions have been answered.</w:t>
      </w:r>
    </w:p>
    <w:p w:rsidR="00CF6F9B" w:rsidRDefault="00CF6F9B" w:rsidP="00ED1C67">
      <w:pPr>
        <w:autoSpaceDE w:val="0"/>
        <w:autoSpaceDN w:val="0"/>
        <w:adjustRightInd w:val="0"/>
        <w:jc w:val="left"/>
        <w:rPr>
          <w:rFonts w:cs="Arial"/>
          <w:sz w:val="24"/>
          <w:szCs w:val="24"/>
        </w:rPr>
      </w:pPr>
    </w:p>
    <w:p w:rsidR="005566D6" w:rsidRPr="004A44CB" w:rsidRDefault="005566D6" w:rsidP="00ED1C67">
      <w:pPr>
        <w:autoSpaceDE w:val="0"/>
        <w:autoSpaceDN w:val="0"/>
        <w:adjustRightInd w:val="0"/>
        <w:jc w:val="left"/>
        <w:rPr>
          <w:rFonts w:cs="Arial"/>
          <w:sz w:val="24"/>
          <w:szCs w:val="24"/>
        </w:rPr>
      </w:pPr>
    </w:p>
    <w:p w:rsidR="004A44CB" w:rsidRPr="004A44CB" w:rsidRDefault="004A44CB" w:rsidP="00ED1C67">
      <w:pPr>
        <w:autoSpaceDE w:val="0"/>
        <w:autoSpaceDN w:val="0"/>
        <w:adjustRightInd w:val="0"/>
        <w:jc w:val="left"/>
        <w:rPr>
          <w:rFonts w:cs="Arial"/>
          <w:sz w:val="24"/>
          <w:szCs w:val="24"/>
        </w:rPr>
      </w:pPr>
    </w:p>
    <w:sectPr w:rsidR="004A44CB" w:rsidRPr="004A44CB"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158" w:rsidRDefault="00082158" w:rsidP="00B01072">
      <w:r>
        <w:separator/>
      </w:r>
    </w:p>
  </w:endnote>
  <w:endnote w:type="continuationSeparator" w:id="0">
    <w:p w:rsidR="00082158" w:rsidRDefault="00082158"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34" w:rsidRPr="00745B02" w:rsidRDefault="00016834"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A05B2C">
      <w:rPr>
        <w:rFonts w:eastAsiaTheme="majorEastAsia" w:cs="Arial"/>
        <w:b/>
        <w:bCs/>
        <w:sz w:val="18"/>
        <w:szCs w:val="18"/>
        <w:lang w:val="en-US"/>
      </w:rPr>
      <w:t>IONAL ASSEMBLY QUESTION NO. 2333</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A05B2C" w:rsidRPr="00A05B2C">
      <w:rPr>
        <w:rFonts w:eastAsiaTheme="majorEastAsia" w:cs="Arial"/>
        <w:b/>
        <w:bCs/>
        <w:sz w:val="18"/>
        <w:szCs w:val="18"/>
        <w:lang w:val="en-US"/>
      </w:rPr>
      <w:t>Mr P A van Staden (FF Plus)</w:t>
    </w:r>
    <w:r w:rsidRPr="00745B02">
      <w:rPr>
        <w:rFonts w:eastAsiaTheme="majorEastAsia" w:cs="Arial"/>
        <w:b/>
        <w:bCs/>
        <w:sz w:val="18"/>
        <w:szCs w:val="18"/>
        <w:lang w:val="en-US"/>
      </w:rPr>
      <w:tab/>
      <w:t xml:space="preserve">PAGE </w:t>
    </w:r>
    <w:r w:rsidR="002F5109" w:rsidRPr="002F5109">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2F5109" w:rsidRPr="002F5109">
      <w:rPr>
        <w:rFonts w:eastAsiaTheme="majorEastAsia" w:cs="Arial"/>
        <w:b/>
        <w:bCs/>
        <w:sz w:val="18"/>
        <w:szCs w:val="18"/>
        <w:lang w:val="en-US"/>
      </w:rPr>
      <w:fldChar w:fldCharType="separate"/>
    </w:r>
    <w:r w:rsidR="00082158">
      <w:rPr>
        <w:rFonts w:eastAsiaTheme="majorEastAsia" w:cs="Arial"/>
        <w:b/>
        <w:bCs/>
        <w:noProof/>
        <w:sz w:val="18"/>
        <w:szCs w:val="18"/>
        <w:lang w:val="en-US"/>
      </w:rPr>
      <w:t>1</w:t>
    </w:r>
    <w:r w:rsidR="002F5109" w:rsidRPr="00745B02">
      <w:rPr>
        <w:rFonts w:eastAsiaTheme="majorEastAsia" w:cs="Arial"/>
        <w:b/>
        <w:sz w:val="18"/>
        <w:szCs w:val="18"/>
      </w:rPr>
      <w:fldChar w:fldCharType="end"/>
    </w:r>
  </w:p>
  <w:p w:rsidR="00016834" w:rsidRPr="00745B02" w:rsidRDefault="00016834" w:rsidP="00745B02">
    <w:pPr>
      <w:pStyle w:val="Footer"/>
      <w:pBdr>
        <w:top w:val="thinThickSmallGap" w:sz="24" w:space="0" w:color="622423" w:themeColor="accent2" w:themeShade="7F"/>
      </w:pBdr>
      <w:rPr>
        <w:rFonts w:eastAsiaTheme="majorEastAsia" w:cs="Arial"/>
        <w:b/>
        <w:sz w:val="18"/>
        <w:szCs w:val="18"/>
        <w:lang w:val="en-US"/>
      </w:rPr>
    </w:pPr>
  </w:p>
  <w:p w:rsidR="00016834" w:rsidRPr="000B4F40" w:rsidRDefault="00016834"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158" w:rsidRDefault="00082158" w:rsidP="00B01072">
      <w:r>
        <w:separator/>
      </w:r>
    </w:p>
  </w:footnote>
  <w:footnote w:type="continuationSeparator" w:id="0">
    <w:p w:rsidR="00082158" w:rsidRDefault="00082158"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6AB401C"/>
    <w:multiLevelType w:val="hybridMultilevel"/>
    <w:tmpl w:val="7292B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771FFE"/>
    <w:multiLevelType w:val="hybridMultilevel"/>
    <w:tmpl w:val="29A642B2"/>
    <w:lvl w:ilvl="0" w:tplc="FDB6BC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1373F7"/>
    <w:multiLevelType w:val="hybridMultilevel"/>
    <w:tmpl w:val="59F47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B387B06"/>
    <w:multiLevelType w:val="hybridMultilevel"/>
    <w:tmpl w:val="F0488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396C22"/>
    <w:multiLevelType w:val="hybridMultilevel"/>
    <w:tmpl w:val="6B726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7">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6BD80DFF"/>
    <w:multiLevelType w:val="hybridMultilevel"/>
    <w:tmpl w:val="5228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9">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DD6B10"/>
    <w:multiLevelType w:val="hybridMultilevel"/>
    <w:tmpl w:val="07103EBC"/>
    <w:lvl w:ilvl="0" w:tplc="1C090003">
      <w:start w:val="1"/>
      <w:numFmt w:val="bullet"/>
      <w:lvlText w:val="o"/>
      <w:lvlJc w:val="left"/>
      <w:pPr>
        <w:ind w:left="1647" w:hanging="360"/>
      </w:pPr>
      <w:rPr>
        <w:rFonts w:ascii="Courier New" w:hAnsi="Courier New" w:cs="Courier New"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41">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6"/>
  </w:num>
  <w:num w:numId="3">
    <w:abstractNumId w:val="14"/>
  </w:num>
  <w:num w:numId="4">
    <w:abstractNumId w:val="26"/>
  </w:num>
  <w:num w:numId="5">
    <w:abstractNumId w:val="10"/>
  </w:num>
  <w:num w:numId="6">
    <w:abstractNumId w:val="38"/>
  </w:num>
  <w:num w:numId="7">
    <w:abstractNumId w:val="34"/>
  </w:num>
  <w:num w:numId="8">
    <w:abstractNumId w:val="32"/>
  </w:num>
  <w:num w:numId="9">
    <w:abstractNumId w:val="5"/>
  </w:num>
  <w:num w:numId="10">
    <w:abstractNumId w:val="19"/>
  </w:num>
  <w:num w:numId="11">
    <w:abstractNumId w:val="3"/>
  </w:num>
  <w:num w:numId="12">
    <w:abstractNumId w:val="17"/>
  </w:num>
  <w:num w:numId="13">
    <w:abstractNumId w:val="12"/>
  </w:num>
  <w:num w:numId="14">
    <w:abstractNumId w:val="13"/>
  </w:num>
  <w:num w:numId="15">
    <w:abstractNumId w:val="2"/>
  </w:num>
  <w:num w:numId="16">
    <w:abstractNumId w:val="39"/>
  </w:num>
  <w:num w:numId="17">
    <w:abstractNumId w:val="8"/>
  </w:num>
  <w:num w:numId="18">
    <w:abstractNumId w:val="27"/>
  </w:num>
  <w:num w:numId="19">
    <w:abstractNumId w:val="11"/>
  </w:num>
  <w:num w:numId="20">
    <w:abstractNumId w:val="30"/>
  </w:num>
  <w:num w:numId="21">
    <w:abstractNumId w:val="0"/>
  </w:num>
  <w:num w:numId="22">
    <w:abstractNumId w:val="16"/>
  </w:num>
  <w:num w:numId="23">
    <w:abstractNumId w:val="23"/>
  </w:num>
  <w:num w:numId="24">
    <w:abstractNumId w:val="18"/>
  </w:num>
  <w:num w:numId="25">
    <w:abstractNumId w:val="21"/>
  </w:num>
  <w:num w:numId="26">
    <w:abstractNumId w:val="41"/>
  </w:num>
  <w:num w:numId="27">
    <w:abstractNumId w:val="31"/>
  </w:num>
  <w:num w:numId="28">
    <w:abstractNumId w:val="33"/>
  </w:num>
  <w:num w:numId="29">
    <w:abstractNumId w:val="36"/>
  </w:num>
  <w:num w:numId="30">
    <w:abstractNumId w:val="1"/>
  </w:num>
  <w:num w:numId="31">
    <w:abstractNumId w:val="37"/>
  </w:num>
  <w:num w:numId="32">
    <w:abstractNumId w:val="9"/>
  </w:num>
  <w:num w:numId="33">
    <w:abstractNumId w:val="22"/>
  </w:num>
  <w:num w:numId="34">
    <w:abstractNumId w:val="35"/>
  </w:num>
  <w:num w:numId="35">
    <w:abstractNumId w:val="24"/>
  </w:num>
  <w:num w:numId="36">
    <w:abstractNumId w:val="4"/>
  </w:num>
  <w:num w:numId="37">
    <w:abstractNumId w:val="15"/>
  </w:num>
  <w:num w:numId="38">
    <w:abstractNumId w:val="25"/>
  </w:num>
  <w:num w:numId="39">
    <w:abstractNumId w:val="20"/>
  </w:num>
  <w:num w:numId="40">
    <w:abstractNumId w:val="29"/>
  </w:num>
  <w:num w:numId="41">
    <w:abstractNumId w:val="40"/>
  </w:num>
  <w:num w:numId="42">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07D1D"/>
    <w:rsid w:val="00011D5C"/>
    <w:rsid w:val="000127B0"/>
    <w:rsid w:val="00012BEB"/>
    <w:rsid w:val="00016834"/>
    <w:rsid w:val="000173E2"/>
    <w:rsid w:val="00020533"/>
    <w:rsid w:val="000205FB"/>
    <w:rsid w:val="00020C71"/>
    <w:rsid w:val="00020EBB"/>
    <w:rsid w:val="00021C96"/>
    <w:rsid w:val="00021CD9"/>
    <w:rsid w:val="00022D2D"/>
    <w:rsid w:val="000244DC"/>
    <w:rsid w:val="00026843"/>
    <w:rsid w:val="00030382"/>
    <w:rsid w:val="00030AAC"/>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2158"/>
    <w:rsid w:val="0008616C"/>
    <w:rsid w:val="00086349"/>
    <w:rsid w:val="000871B0"/>
    <w:rsid w:val="00091B75"/>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AB0"/>
    <w:rsid w:val="000E0C57"/>
    <w:rsid w:val="000E2889"/>
    <w:rsid w:val="000E3074"/>
    <w:rsid w:val="000F0B2D"/>
    <w:rsid w:val="000F29D0"/>
    <w:rsid w:val="000F4F82"/>
    <w:rsid w:val="000F590B"/>
    <w:rsid w:val="000F682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47F6"/>
    <w:rsid w:val="001357FB"/>
    <w:rsid w:val="001372AA"/>
    <w:rsid w:val="00140E93"/>
    <w:rsid w:val="00142CD8"/>
    <w:rsid w:val="00143A08"/>
    <w:rsid w:val="001444C0"/>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3273"/>
    <w:rsid w:val="001E486F"/>
    <w:rsid w:val="001F0D11"/>
    <w:rsid w:val="001F1F16"/>
    <w:rsid w:val="001F2088"/>
    <w:rsid w:val="001F3548"/>
    <w:rsid w:val="001F52E1"/>
    <w:rsid w:val="001F65DF"/>
    <w:rsid w:val="001F698C"/>
    <w:rsid w:val="001F6D33"/>
    <w:rsid w:val="001F70AE"/>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CC0"/>
    <w:rsid w:val="00275921"/>
    <w:rsid w:val="00275F2F"/>
    <w:rsid w:val="002800C8"/>
    <w:rsid w:val="00281B8E"/>
    <w:rsid w:val="002837A2"/>
    <w:rsid w:val="0028585A"/>
    <w:rsid w:val="0028728A"/>
    <w:rsid w:val="0028730B"/>
    <w:rsid w:val="00291BC2"/>
    <w:rsid w:val="0029301E"/>
    <w:rsid w:val="00294275"/>
    <w:rsid w:val="00295C2B"/>
    <w:rsid w:val="00296C6F"/>
    <w:rsid w:val="002A3DCF"/>
    <w:rsid w:val="002A4C99"/>
    <w:rsid w:val="002A5D13"/>
    <w:rsid w:val="002A73B9"/>
    <w:rsid w:val="002B0018"/>
    <w:rsid w:val="002B02FA"/>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2F0FDE"/>
    <w:rsid w:val="002F5109"/>
    <w:rsid w:val="00302C99"/>
    <w:rsid w:val="00303439"/>
    <w:rsid w:val="00304F27"/>
    <w:rsid w:val="00306082"/>
    <w:rsid w:val="003066CB"/>
    <w:rsid w:val="00306819"/>
    <w:rsid w:val="003074FB"/>
    <w:rsid w:val="003078B1"/>
    <w:rsid w:val="00307BEC"/>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1E77"/>
    <w:rsid w:val="00342D17"/>
    <w:rsid w:val="00343207"/>
    <w:rsid w:val="003448A1"/>
    <w:rsid w:val="00347E84"/>
    <w:rsid w:val="00351A07"/>
    <w:rsid w:val="00351D61"/>
    <w:rsid w:val="00352709"/>
    <w:rsid w:val="00352AC2"/>
    <w:rsid w:val="00353CDD"/>
    <w:rsid w:val="0035503F"/>
    <w:rsid w:val="00357A35"/>
    <w:rsid w:val="00357F4E"/>
    <w:rsid w:val="00360028"/>
    <w:rsid w:val="00363E6B"/>
    <w:rsid w:val="00364597"/>
    <w:rsid w:val="003650A6"/>
    <w:rsid w:val="003650E5"/>
    <w:rsid w:val="00367E1A"/>
    <w:rsid w:val="003710A3"/>
    <w:rsid w:val="003718A9"/>
    <w:rsid w:val="00371E01"/>
    <w:rsid w:val="003731CC"/>
    <w:rsid w:val="00376265"/>
    <w:rsid w:val="00380444"/>
    <w:rsid w:val="00380472"/>
    <w:rsid w:val="00382C94"/>
    <w:rsid w:val="00385CC5"/>
    <w:rsid w:val="00387867"/>
    <w:rsid w:val="0039066D"/>
    <w:rsid w:val="003930E2"/>
    <w:rsid w:val="0039540D"/>
    <w:rsid w:val="00395C0D"/>
    <w:rsid w:val="00396314"/>
    <w:rsid w:val="003A0AD7"/>
    <w:rsid w:val="003A3C9B"/>
    <w:rsid w:val="003A4BA6"/>
    <w:rsid w:val="003B317A"/>
    <w:rsid w:val="003B7857"/>
    <w:rsid w:val="003C36CA"/>
    <w:rsid w:val="003C436F"/>
    <w:rsid w:val="003C5D32"/>
    <w:rsid w:val="003C5DAE"/>
    <w:rsid w:val="003C6727"/>
    <w:rsid w:val="003D1449"/>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B8B"/>
    <w:rsid w:val="00464CE6"/>
    <w:rsid w:val="00465041"/>
    <w:rsid w:val="00465F06"/>
    <w:rsid w:val="00466022"/>
    <w:rsid w:val="00473635"/>
    <w:rsid w:val="004739D7"/>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4CB"/>
    <w:rsid w:val="004A4F90"/>
    <w:rsid w:val="004A6510"/>
    <w:rsid w:val="004A7A6D"/>
    <w:rsid w:val="004B0CD6"/>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16B"/>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365AF"/>
    <w:rsid w:val="00540DA6"/>
    <w:rsid w:val="005449EC"/>
    <w:rsid w:val="00544E7B"/>
    <w:rsid w:val="005451D6"/>
    <w:rsid w:val="005455F2"/>
    <w:rsid w:val="00550A0F"/>
    <w:rsid w:val="005540EB"/>
    <w:rsid w:val="005566D6"/>
    <w:rsid w:val="00560836"/>
    <w:rsid w:val="00560E8F"/>
    <w:rsid w:val="00561E44"/>
    <w:rsid w:val="00563D73"/>
    <w:rsid w:val="00564216"/>
    <w:rsid w:val="00574AE0"/>
    <w:rsid w:val="0057746F"/>
    <w:rsid w:val="0058129A"/>
    <w:rsid w:val="00586346"/>
    <w:rsid w:val="00586798"/>
    <w:rsid w:val="0058702D"/>
    <w:rsid w:val="00591850"/>
    <w:rsid w:val="005940D1"/>
    <w:rsid w:val="005958BE"/>
    <w:rsid w:val="00596A01"/>
    <w:rsid w:val="00597330"/>
    <w:rsid w:val="005A10D6"/>
    <w:rsid w:val="005A2CE6"/>
    <w:rsid w:val="005A4254"/>
    <w:rsid w:val="005A7282"/>
    <w:rsid w:val="005A7E21"/>
    <w:rsid w:val="005B1E2B"/>
    <w:rsid w:val="005B286F"/>
    <w:rsid w:val="005B2A4B"/>
    <w:rsid w:val="005B2D19"/>
    <w:rsid w:val="005B53DB"/>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BC8"/>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2F64"/>
    <w:rsid w:val="0063388E"/>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3024"/>
    <w:rsid w:val="006837C4"/>
    <w:rsid w:val="00683EF2"/>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1A2A"/>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0E11"/>
    <w:rsid w:val="007230FE"/>
    <w:rsid w:val="00725E50"/>
    <w:rsid w:val="00725FBA"/>
    <w:rsid w:val="00726E14"/>
    <w:rsid w:val="0073270F"/>
    <w:rsid w:val="0073322C"/>
    <w:rsid w:val="00736561"/>
    <w:rsid w:val="00737327"/>
    <w:rsid w:val="007400E9"/>
    <w:rsid w:val="00740746"/>
    <w:rsid w:val="007409D2"/>
    <w:rsid w:val="00740D1C"/>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163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6789"/>
    <w:rsid w:val="007A7318"/>
    <w:rsid w:val="007A75FE"/>
    <w:rsid w:val="007C4AFA"/>
    <w:rsid w:val="007C5267"/>
    <w:rsid w:val="007C5479"/>
    <w:rsid w:val="007C7E13"/>
    <w:rsid w:val="007D1966"/>
    <w:rsid w:val="007D525B"/>
    <w:rsid w:val="007D72BD"/>
    <w:rsid w:val="007E0072"/>
    <w:rsid w:val="007E1F76"/>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3274"/>
    <w:rsid w:val="008143ED"/>
    <w:rsid w:val="00815C6A"/>
    <w:rsid w:val="008232E5"/>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6E50"/>
    <w:rsid w:val="008C722C"/>
    <w:rsid w:val="008D1494"/>
    <w:rsid w:val="008D1793"/>
    <w:rsid w:val="008D5076"/>
    <w:rsid w:val="008E00B2"/>
    <w:rsid w:val="008E0625"/>
    <w:rsid w:val="008E20F3"/>
    <w:rsid w:val="008F177A"/>
    <w:rsid w:val="008F2FAE"/>
    <w:rsid w:val="008F339B"/>
    <w:rsid w:val="008F3C78"/>
    <w:rsid w:val="00900550"/>
    <w:rsid w:val="00901170"/>
    <w:rsid w:val="0090205A"/>
    <w:rsid w:val="009065DF"/>
    <w:rsid w:val="00911F50"/>
    <w:rsid w:val="009148F7"/>
    <w:rsid w:val="00915903"/>
    <w:rsid w:val="00915F23"/>
    <w:rsid w:val="00916240"/>
    <w:rsid w:val="00916C4E"/>
    <w:rsid w:val="00916D71"/>
    <w:rsid w:val="0091776F"/>
    <w:rsid w:val="00922748"/>
    <w:rsid w:val="0092326F"/>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1DE3"/>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4B31"/>
    <w:rsid w:val="009B7DB2"/>
    <w:rsid w:val="009C3B62"/>
    <w:rsid w:val="009C74A6"/>
    <w:rsid w:val="009C7EB9"/>
    <w:rsid w:val="009D256C"/>
    <w:rsid w:val="009D34DD"/>
    <w:rsid w:val="009D3980"/>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5B2C"/>
    <w:rsid w:val="00A06303"/>
    <w:rsid w:val="00A079FB"/>
    <w:rsid w:val="00A07D1F"/>
    <w:rsid w:val="00A10453"/>
    <w:rsid w:val="00A10ACF"/>
    <w:rsid w:val="00A112A3"/>
    <w:rsid w:val="00A1165A"/>
    <w:rsid w:val="00A11A85"/>
    <w:rsid w:val="00A123C5"/>
    <w:rsid w:val="00A13CD7"/>
    <w:rsid w:val="00A13EF6"/>
    <w:rsid w:val="00A15583"/>
    <w:rsid w:val="00A16051"/>
    <w:rsid w:val="00A213AD"/>
    <w:rsid w:val="00A21CD3"/>
    <w:rsid w:val="00A23D03"/>
    <w:rsid w:val="00A23E18"/>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3D38"/>
    <w:rsid w:val="00A65DCC"/>
    <w:rsid w:val="00A678C7"/>
    <w:rsid w:val="00A70A56"/>
    <w:rsid w:val="00A70E0E"/>
    <w:rsid w:val="00A70FA2"/>
    <w:rsid w:val="00A715AB"/>
    <w:rsid w:val="00A7181B"/>
    <w:rsid w:val="00A7275E"/>
    <w:rsid w:val="00A753CA"/>
    <w:rsid w:val="00A765B8"/>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4F10"/>
    <w:rsid w:val="00AA51A2"/>
    <w:rsid w:val="00AB0076"/>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00B5"/>
    <w:rsid w:val="00B01072"/>
    <w:rsid w:val="00B016B6"/>
    <w:rsid w:val="00B03F35"/>
    <w:rsid w:val="00B10DDB"/>
    <w:rsid w:val="00B10EA2"/>
    <w:rsid w:val="00B116F1"/>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47B0F"/>
    <w:rsid w:val="00B47FB4"/>
    <w:rsid w:val="00B51043"/>
    <w:rsid w:val="00B510CE"/>
    <w:rsid w:val="00B64CDE"/>
    <w:rsid w:val="00B64EFC"/>
    <w:rsid w:val="00B65AFD"/>
    <w:rsid w:val="00B70ED4"/>
    <w:rsid w:val="00B72C9B"/>
    <w:rsid w:val="00B73C65"/>
    <w:rsid w:val="00B75DFF"/>
    <w:rsid w:val="00B76EA0"/>
    <w:rsid w:val="00B8600E"/>
    <w:rsid w:val="00B91CF8"/>
    <w:rsid w:val="00B92CE2"/>
    <w:rsid w:val="00B94CCB"/>
    <w:rsid w:val="00B966D4"/>
    <w:rsid w:val="00BA0CBE"/>
    <w:rsid w:val="00BA2A87"/>
    <w:rsid w:val="00BA3568"/>
    <w:rsid w:val="00BA3676"/>
    <w:rsid w:val="00BA563A"/>
    <w:rsid w:val="00BA5896"/>
    <w:rsid w:val="00BB2363"/>
    <w:rsid w:val="00BB3134"/>
    <w:rsid w:val="00BB3C28"/>
    <w:rsid w:val="00BB5559"/>
    <w:rsid w:val="00BB61E1"/>
    <w:rsid w:val="00BB7107"/>
    <w:rsid w:val="00BB7B04"/>
    <w:rsid w:val="00BC2240"/>
    <w:rsid w:val="00BC3F53"/>
    <w:rsid w:val="00BC51C6"/>
    <w:rsid w:val="00BC5C94"/>
    <w:rsid w:val="00BC5C99"/>
    <w:rsid w:val="00BC5FF7"/>
    <w:rsid w:val="00BC6AE1"/>
    <w:rsid w:val="00BC7346"/>
    <w:rsid w:val="00BC7382"/>
    <w:rsid w:val="00BD02EB"/>
    <w:rsid w:val="00BD1268"/>
    <w:rsid w:val="00BD1472"/>
    <w:rsid w:val="00BD1A1A"/>
    <w:rsid w:val="00BD1E79"/>
    <w:rsid w:val="00BD2228"/>
    <w:rsid w:val="00BD53C1"/>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5CDF"/>
    <w:rsid w:val="00C5293A"/>
    <w:rsid w:val="00C52FC8"/>
    <w:rsid w:val="00C530C9"/>
    <w:rsid w:val="00C53A44"/>
    <w:rsid w:val="00C55CF0"/>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1663"/>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B5"/>
    <w:rsid w:val="00CF48C3"/>
    <w:rsid w:val="00CF6F9B"/>
    <w:rsid w:val="00D02022"/>
    <w:rsid w:val="00D0232C"/>
    <w:rsid w:val="00D045C2"/>
    <w:rsid w:val="00D04910"/>
    <w:rsid w:val="00D05B9B"/>
    <w:rsid w:val="00D06174"/>
    <w:rsid w:val="00D07B20"/>
    <w:rsid w:val="00D10DEB"/>
    <w:rsid w:val="00D10F11"/>
    <w:rsid w:val="00D133E8"/>
    <w:rsid w:val="00D15ADE"/>
    <w:rsid w:val="00D15F9E"/>
    <w:rsid w:val="00D165F8"/>
    <w:rsid w:val="00D2038B"/>
    <w:rsid w:val="00D20798"/>
    <w:rsid w:val="00D20CFA"/>
    <w:rsid w:val="00D20F3B"/>
    <w:rsid w:val="00D20FF7"/>
    <w:rsid w:val="00D21ACC"/>
    <w:rsid w:val="00D21FE5"/>
    <w:rsid w:val="00D230E9"/>
    <w:rsid w:val="00D24B69"/>
    <w:rsid w:val="00D26A6A"/>
    <w:rsid w:val="00D31898"/>
    <w:rsid w:val="00D31E5A"/>
    <w:rsid w:val="00D377B6"/>
    <w:rsid w:val="00D404DC"/>
    <w:rsid w:val="00D40BBA"/>
    <w:rsid w:val="00D41166"/>
    <w:rsid w:val="00D41B1C"/>
    <w:rsid w:val="00D42929"/>
    <w:rsid w:val="00D42C05"/>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182A"/>
    <w:rsid w:val="00D74A2D"/>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2DD0"/>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4E39"/>
    <w:rsid w:val="00E85BBD"/>
    <w:rsid w:val="00E8666B"/>
    <w:rsid w:val="00E86B41"/>
    <w:rsid w:val="00E92059"/>
    <w:rsid w:val="00E9324D"/>
    <w:rsid w:val="00E957F3"/>
    <w:rsid w:val="00EA26C6"/>
    <w:rsid w:val="00EA2835"/>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DC1"/>
    <w:rsid w:val="00EE4352"/>
    <w:rsid w:val="00EE465F"/>
    <w:rsid w:val="00EE4942"/>
    <w:rsid w:val="00EE5D0D"/>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36BD9"/>
    <w:rsid w:val="00F4037A"/>
    <w:rsid w:val="00F412BA"/>
    <w:rsid w:val="00F42F70"/>
    <w:rsid w:val="00F43075"/>
    <w:rsid w:val="00F44106"/>
    <w:rsid w:val="00F443B3"/>
    <w:rsid w:val="00F4452F"/>
    <w:rsid w:val="00F4533E"/>
    <w:rsid w:val="00F47950"/>
    <w:rsid w:val="00F5038C"/>
    <w:rsid w:val="00F50930"/>
    <w:rsid w:val="00F511F1"/>
    <w:rsid w:val="00F515ED"/>
    <w:rsid w:val="00F531C8"/>
    <w:rsid w:val="00F54C57"/>
    <w:rsid w:val="00F54D75"/>
    <w:rsid w:val="00F55204"/>
    <w:rsid w:val="00F5621E"/>
    <w:rsid w:val="00F56951"/>
    <w:rsid w:val="00F57765"/>
    <w:rsid w:val="00F57AE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612"/>
    <w:rsid w:val="00FA5EB0"/>
    <w:rsid w:val="00FB29D5"/>
    <w:rsid w:val="00FB2B6B"/>
    <w:rsid w:val="00FB35DC"/>
    <w:rsid w:val="00FB5364"/>
    <w:rsid w:val="00FB6CE9"/>
    <w:rsid w:val="00FB6F93"/>
    <w:rsid w:val="00FB70A1"/>
    <w:rsid w:val="00FC0543"/>
    <w:rsid w:val="00FC0B02"/>
    <w:rsid w:val="00FC1DEE"/>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normal,List Paragraph 1,Bullets,List Paragraph (numbered (a)),List Paragraph - 2,List - Bullet Points,Recommendation,List Paragraph1,Bullet List,Table of contents numbered,Indent Paragraph,Main numbered paragraph"/>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normal Char,List Paragraph 1 Char,Bullets Char,List Paragraph (numbered (a)) Char,List Paragraph - 2 Char,List - Bullet Points Char,Recommendation Char,List Paragraph1 Char,Bullet List Char,Indent Paragraph Char"/>
    <w:basedOn w:val="DefaultParagraphFont"/>
    <w:link w:val="ListParagraph"/>
    <w:uiPriority w:val="34"/>
    <w:qFormat/>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47077066">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885562697">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1959752638">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B5E3-79F7-4D70-8D92-3E900AFA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2022-07-05T09:50:00Z</cp:lastPrinted>
  <dcterms:created xsi:type="dcterms:W3CDTF">2022-07-08T07:39:00Z</dcterms:created>
  <dcterms:modified xsi:type="dcterms:W3CDTF">2022-07-08T07:39:00Z</dcterms:modified>
</cp:coreProperties>
</file>