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0B1C2B" w:rsidRDefault="000B1C2B" w:rsidP="000B1C2B">
      <w:pPr>
        <w:outlineLvl w:val="0"/>
        <w:rPr>
          <w:rFonts w:ascii="Arial" w:hAnsi="Arial" w:cs="Arial"/>
          <w:b/>
        </w:rPr>
      </w:pPr>
    </w:p>
    <w:p w:rsidR="000B1C2B" w:rsidRPr="00446109" w:rsidRDefault="000B1C2B" w:rsidP="000B1C2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4610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00254</w:t>
      </w:r>
    </w:p>
    <w:p w:rsidR="000B1C2B" w:rsidRPr="00446109" w:rsidRDefault="000B1C2B" w:rsidP="000B1C2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46109">
        <w:rPr>
          <w:rFonts w:ascii="Arial" w:hAnsi="Arial" w:cs="Arial"/>
          <w:b/>
          <w:lang w:val="en-GB"/>
        </w:rPr>
        <w:t>NATIONAL ASSEMBLY</w:t>
      </w:r>
    </w:p>
    <w:p w:rsidR="000B1C2B" w:rsidRPr="00446109" w:rsidRDefault="000B1C2B" w:rsidP="000B1C2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B1C2B" w:rsidRPr="00446109" w:rsidRDefault="000B1C2B" w:rsidP="000B1C2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46109">
        <w:rPr>
          <w:rFonts w:ascii="Arial" w:hAnsi="Arial" w:cs="Arial"/>
          <w:b/>
          <w:u w:val="single"/>
          <w:lang w:val="en-GB"/>
        </w:rPr>
        <w:t>FOR WRITTEN REPLY</w:t>
      </w:r>
    </w:p>
    <w:p w:rsidR="000B1C2B" w:rsidRPr="00446109" w:rsidRDefault="000B1C2B" w:rsidP="000B1C2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B1C2B" w:rsidRPr="00446109" w:rsidRDefault="000B1C2B" w:rsidP="000B1C2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46109">
        <w:rPr>
          <w:rFonts w:ascii="Arial" w:hAnsi="Arial" w:cs="Arial"/>
          <w:b/>
          <w:u w:val="single"/>
          <w:lang w:val="en-GB"/>
        </w:rPr>
        <w:t>QUESTION 2333</w:t>
      </w:r>
    </w:p>
    <w:p w:rsidR="000B1C2B" w:rsidRPr="00446109" w:rsidRDefault="000B1C2B" w:rsidP="000B1C2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B1C2B" w:rsidRPr="00446109" w:rsidRDefault="000B1C2B" w:rsidP="000B1C2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46109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0B1C2B" w:rsidRPr="00446109" w:rsidRDefault="000B1C2B" w:rsidP="000B1C2B">
      <w:pPr>
        <w:jc w:val="center"/>
        <w:rPr>
          <w:rFonts w:ascii="Arial" w:hAnsi="Arial" w:cs="Arial"/>
          <w:b/>
          <w:u w:val="single"/>
          <w:lang w:val="en-GB"/>
        </w:rPr>
      </w:pPr>
      <w:r w:rsidRPr="00446109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0B1C2B" w:rsidRDefault="000B1C2B" w:rsidP="000B1C2B">
      <w:pPr>
        <w:ind w:left="851" w:hanging="851"/>
        <w:rPr>
          <w:rFonts w:ascii="Arial" w:hAnsi="Arial" w:cs="Arial"/>
          <w:b/>
        </w:rPr>
      </w:pPr>
    </w:p>
    <w:p w:rsidR="000B1C2B" w:rsidRPr="00446109" w:rsidRDefault="000B1C2B" w:rsidP="000B1C2B">
      <w:pPr>
        <w:ind w:left="851" w:hanging="851"/>
        <w:rPr>
          <w:rFonts w:ascii="Arial" w:hAnsi="Arial" w:cs="Arial"/>
        </w:rPr>
      </w:pPr>
      <w:r w:rsidRPr="00446109">
        <w:rPr>
          <w:rFonts w:ascii="Arial" w:hAnsi="Arial" w:cs="Arial"/>
          <w:b/>
        </w:rPr>
        <w:t>2333.</w:t>
      </w:r>
      <w:r w:rsidRPr="00446109">
        <w:rPr>
          <w:rFonts w:ascii="Arial" w:hAnsi="Arial" w:cs="Arial"/>
          <w:b/>
        </w:rPr>
        <w:tab/>
      </w:r>
      <w:proofErr w:type="spellStart"/>
      <w:r w:rsidRPr="00446109">
        <w:rPr>
          <w:rFonts w:ascii="Arial" w:hAnsi="Arial" w:cs="Arial"/>
          <w:b/>
        </w:rPr>
        <w:t>Mr</w:t>
      </w:r>
      <w:proofErr w:type="spellEnd"/>
      <w:r w:rsidRPr="00446109">
        <w:rPr>
          <w:rFonts w:ascii="Arial" w:hAnsi="Arial" w:cs="Arial"/>
          <w:b/>
        </w:rPr>
        <w:t xml:space="preserve"> S </w:t>
      </w:r>
      <w:proofErr w:type="spellStart"/>
      <w:r w:rsidRPr="00446109">
        <w:rPr>
          <w:rFonts w:ascii="Arial" w:hAnsi="Arial" w:cs="Arial"/>
          <w:b/>
        </w:rPr>
        <w:t>Mokgalapa</w:t>
      </w:r>
      <w:proofErr w:type="spellEnd"/>
      <w:r w:rsidRPr="00446109">
        <w:rPr>
          <w:rFonts w:ascii="Arial" w:hAnsi="Arial" w:cs="Arial"/>
          <w:b/>
        </w:rPr>
        <w:t xml:space="preserve"> (DA) to ask the </w:t>
      </w:r>
      <w:r w:rsidRPr="00446109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446109">
        <w:rPr>
          <w:rFonts w:ascii="Arial" w:hAnsi="Arial" w:cs="Arial"/>
          <w:b/>
        </w:rPr>
        <w:t xml:space="preserve"> of Police:</w:t>
      </w:r>
    </w:p>
    <w:p w:rsidR="000B1C2B" w:rsidRDefault="000B1C2B" w:rsidP="000B1C2B">
      <w:pPr>
        <w:jc w:val="both"/>
        <w:rPr>
          <w:rFonts w:ascii="Arial" w:hAnsi="Arial" w:cs="Arial"/>
          <w:iCs/>
        </w:rPr>
      </w:pPr>
    </w:p>
    <w:p w:rsidR="000B1C2B" w:rsidRPr="00446109" w:rsidRDefault="000B1C2B" w:rsidP="000B1C2B">
      <w:pPr>
        <w:jc w:val="both"/>
        <w:rPr>
          <w:rFonts w:ascii="Arial" w:hAnsi="Arial" w:cs="Arial"/>
        </w:rPr>
      </w:pPr>
      <w:r w:rsidRPr="00446109">
        <w:rPr>
          <w:rFonts w:ascii="Arial" w:hAnsi="Arial" w:cs="Arial"/>
          <w:iCs/>
        </w:rPr>
        <w:t>(a) What (</w:t>
      </w:r>
      <w:proofErr w:type="spellStart"/>
      <w:r w:rsidRPr="00446109">
        <w:rPr>
          <w:rFonts w:ascii="Arial" w:hAnsi="Arial" w:cs="Arial"/>
          <w:iCs/>
        </w:rPr>
        <w:t>i</w:t>
      </w:r>
      <w:proofErr w:type="spellEnd"/>
      <w:r w:rsidRPr="00446109">
        <w:rPr>
          <w:rFonts w:ascii="Arial" w:hAnsi="Arial" w:cs="Arial"/>
          <w:iCs/>
        </w:rPr>
        <w:t xml:space="preserve">) are the criteria for and (ii) factors are taken into account when deciding on the determination of a </w:t>
      </w:r>
      <w:r w:rsidRPr="00446109">
        <w:rPr>
          <w:rFonts w:ascii="Arial" w:hAnsi="Arial" w:cs="Arial"/>
        </w:rPr>
        <w:t>police</w:t>
      </w:r>
      <w:r w:rsidRPr="00446109">
        <w:rPr>
          <w:rFonts w:ascii="Arial" w:hAnsi="Arial" w:cs="Arial"/>
          <w:iCs/>
        </w:rPr>
        <w:t xml:space="preserve"> station as being at (</w:t>
      </w:r>
      <w:proofErr w:type="spellStart"/>
      <w:r w:rsidRPr="00446109">
        <w:rPr>
          <w:rFonts w:ascii="Arial" w:hAnsi="Arial" w:cs="Arial"/>
          <w:iCs/>
        </w:rPr>
        <w:t>aa</w:t>
      </w:r>
      <w:proofErr w:type="spellEnd"/>
      <w:r w:rsidRPr="00446109">
        <w:rPr>
          <w:rFonts w:ascii="Arial" w:hAnsi="Arial" w:cs="Arial"/>
          <w:iCs/>
        </w:rPr>
        <w:t xml:space="preserve">) Colonel level or (bb) Brigadier level and (b) what resource allocation implications </w:t>
      </w:r>
      <w:r w:rsidRPr="00446109">
        <w:rPr>
          <w:rFonts w:ascii="Arial" w:hAnsi="Arial" w:cs="Arial"/>
        </w:rPr>
        <w:t>does</w:t>
      </w:r>
      <w:r w:rsidRPr="00446109">
        <w:rPr>
          <w:rFonts w:ascii="Arial" w:hAnsi="Arial" w:cs="Arial"/>
          <w:iCs/>
        </w:rPr>
        <w:t xml:space="preserve"> either determination result in</w:t>
      </w:r>
      <w:r>
        <w:rPr>
          <w:rFonts w:ascii="Arial" w:hAnsi="Arial" w:cs="Arial"/>
        </w:rPr>
        <w:t>?</w:t>
      </w:r>
    </w:p>
    <w:p w:rsidR="000B1C2B" w:rsidRPr="00446109" w:rsidRDefault="000B1C2B" w:rsidP="000B1C2B">
      <w:pPr>
        <w:jc w:val="right"/>
        <w:rPr>
          <w:rFonts w:ascii="Arial" w:hAnsi="Arial" w:cs="Arial"/>
        </w:rPr>
      </w:pPr>
      <w:r w:rsidRPr="00446109">
        <w:rPr>
          <w:rFonts w:ascii="Arial" w:hAnsi="Arial" w:cs="Arial"/>
        </w:rPr>
        <w:t>NW2578E</w:t>
      </w:r>
    </w:p>
    <w:p w:rsidR="000B1C2B" w:rsidRDefault="000B1C2B" w:rsidP="000B1C2B">
      <w:pPr>
        <w:jc w:val="both"/>
        <w:rPr>
          <w:rFonts w:ascii="Arial" w:hAnsi="Arial" w:cs="Arial"/>
          <w:b/>
        </w:rPr>
      </w:pPr>
    </w:p>
    <w:p w:rsidR="000B1C2B" w:rsidRPr="00446109" w:rsidRDefault="000B1C2B" w:rsidP="000B1C2B">
      <w:pPr>
        <w:jc w:val="both"/>
        <w:rPr>
          <w:rFonts w:ascii="Arial" w:hAnsi="Arial" w:cs="Arial"/>
          <w:b/>
        </w:rPr>
      </w:pPr>
      <w:r w:rsidRPr="00446109">
        <w:rPr>
          <w:rFonts w:ascii="Arial" w:hAnsi="Arial" w:cs="Arial"/>
          <w:b/>
        </w:rPr>
        <w:t>REPLY:</w:t>
      </w:r>
    </w:p>
    <w:p w:rsidR="000B1C2B" w:rsidRDefault="000B1C2B" w:rsidP="000B1C2B">
      <w:pPr>
        <w:ind w:left="567" w:hanging="567"/>
        <w:jc w:val="both"/>
        <w:rPr>
          <w:rFonts w:ascii="Arial" w:hAnsi="Arial" w:cs="Arial"/>
        </w:rPr>
      </w:pPr>
    </w:p>
    <w:p w:rsidR="000B1C2B" w:rsidRPr="00FF22FC" w:rsidRDefault="000B1C2B" w:rsidP="000B1C2B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FF22FC">
        <w:rPr>
          <w:rFonts w:ascii="Arial" w:hAnsi="Arial" w:cs="Arial"/>
        </w:rPr>
        <w:t xml:space="preserve"> (a)</w:t>
      </w:r>
      <w:r w:rsidRPr="00FF22FC">
        <w:rPr>
          <w:rFonts w:ascii="Arial" w:eastAsia="PMingLiU" w:hAnsi="Arial" w:cs="Arial"/>
          <w:lang w:val="en-GB"/>
        </w:rPr>
        <w:t>(</w:t>
      </w:r>
      <w:proofErr w:type="spellStart"/>
      <w:r w:rsidRPr="00FF22FC">
        <w:rPr>
          <w:rFonts w:ascii="Arial" w:eastAsia="PMingLiU" w:hAnsi="Arial" w:cs="Arial"/>
          <w:lang w:val="en-GB"/>
        </w:rPr>
        <w:t>i</w:t>
      </w:r>
      <w:proofErr w:type="spellEnd"/>
      <w:r w:rsidRPr="00FF22FC">
        <w:rPr>
          <w:rFonts w:ascii="Arial" w:eastAsia="PMingLiU" w:hAnsi="Arial" w:cs="Arial"/>
          <w:lang w:val="en-GB"/>
        </w:rPr>
        <w:t>) A</w:t>
      </w:r>
      <w:r w:rsidRPr="00FF22FC">
        <w:rPr>
          <w:rFonts w:ascii="Arial" w:eastAsia="PMingLiU" w:hAnsi="Arial" w:cs="Arial"/>
        </w:rPr>
        <w:t xml:space="preserve"> web</w:t>
      </w:r>
      <w:r>
        <w:rPr>
          <w:rFonts w:ascii="Arial" w:eastAsia="PMingLiU" w:hAnsi="Arial" w:cs="Arial"/>
        </w:rPr>
        <w:t>-</w:t>
      </w:r>
      <w:r w:rsidRPr="00FF22FC">
        <w:rPr>
          <w:rFonts w:ascii="Arial" w:eastAsia="PMingLiU" w:hAnsi="Arial" w:cs="Arial"/>
        </w:rPr>
        <w:t>based application system has been developed to calculate the number of human resource posts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per level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that are required to perform the duties associated with police stations</w:t>
      </w:r>
      <w:r>
        <w:rPr>
          <w:rFonts w:ascii="Arial" w:eastAsia="PMingLiU" w:hAnsi="Arial" w:cs="Arial"/>
        </w:rPr>
        <w:t>. T</w:t>
      </w:r>
      <w:r w:rsidRPr="00FF22FC">
        <w:rPr>
          <w:rFonts w:ascii="Arial" w:eastAsia="PMingLiU" w:hAnsi="Arial" w:cs="Arial"/>
        </w:rPr>
        <w:t>he system is called the Theoretical Human Resource Requirement (THRR). The system was developed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whereby ratio analyses and standard times were established for the activities or task</w:t>
      </w:r>
      <w:r>
        <w:rPr>
          <w:rFonts w:ascii="Arial" w:eastAsia="PMingLiU" w:hAnsi="Arial" w:cs="Arial"/>
        </w:rPr>
        <w:t xml:space="preserve">s performed at police stations. </w:t>
      </w:r>
      <w:r w:rsidRPr="00FF22FC">
        <w:rPr>
          <w:rFonts w:ascii="Arial" w:eastAsia="PMingLiU" w:hAnsi="Arial" w:cs="Arial"/>
        </w:rPr>
        <w:t>Direct work measurement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in the form of time studies and activity sampling, as well as indirect work measurement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in the form of analytical estimates, was used to determine standard times for these policing activities or tasks. </w:t>
      </w:r>
      <w:r w:rsidRPr="00FF22FC">
        <w:rPr>
          <w:rFonts w:ascii="Arial" w:hAnsi="Arial" w:cs="Arial"/>
        </w:rPr>
        <w:t xml:space="preserve">The determining of a human resource allocation for police </w:t>
      </w:r>
      <w:r w:rsidRPr="00FF22FC">
        <w:rPr>
          <w:rFonts w:ascii="Arial" w:hAnsi="Arial" w:cs="Arial"/>
        </w:rPr>
        <w:lastRenderedPageBreak/>
        <w:t>stations in the South African Police Service</w:t>
      </w:r>
      <w:r>
        <w:rPr>
          <w:rFonts w:ascii="Arial" w:hAnsi="Arial" w:cs="Arial"/>
        </w:rPr>
        <w:t xml:space="preserve"> (SAPS),</w:t>
      </w:r>
      <w:r w:rsidRPr="00FF22FC">
        <w:rPr>
          <w:rFonts w:ascii="Arial" w:hAnsi="Arial" w:cs="Arial"/>
        </w:rPr>
        <w:t xml:space="preserve"> is a dynamic process</w:t>
      </w:r>
      <w:r>
        <w:rPr>
          <w:rFonts w:ascii="Arial" w:hAnsi="Arial" w:cs="Arial"/>
        </w:rPr>
        <w:t>,</w:t>
      </w:r>
      <w:r w:rsidRPr="00FF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is </w:t>
      </w:r>
      <w:r w:rsidRPr="00FF22FC">
        <w:rPr>
          <w:rFonts w:ascii="Arial" w:hAnsi="Arial" w:cs="Arial"/>
        </w:rPr>
        <w:t xml:space="preserve">influenced by various factors (variables), the internal environment, </w:t>
      </w:r>
      <w:r>
        <w:rPr>
          <w:rFonts w:ascii="Arial" w:hAnsi="Arial" w:cs="Arial"/>
        </w:rPr>
        <w:t>t</w:t>
      </w:r>
      <w:r w:rsidRPr="00FF22FC">
        <w:rPr>
          <w:rFonts w:ascii="Arial" w:hAnsi="Arial" w:cs="Arial"/>
        </w:rPr>
        <w:t>he external environment a</w:t>
      </w:r>
      <w:r>
        <w:rPr>
          <w:rFonts w:ascii="Arial" w:hAnsi="Arial" w:cs="Arial"/>
        </w:rPr>
        <w:t xml:space="preserve">s well as </w:t>
      </w:r>
      <w:r w:rsidRPr="00FF22FC">
        <w:rPr>
          <w:rFonts w:ascii="Arial" w:hAnsi="Arial" w:cs="Arial"/>
        </w:rPr>
        <w:t>taking contingency factors (i.e. absence/leave from duty) into account.</w:t>
      </w:r>
    </w:p>
    <w:p w:rsidR="000B1C2B" w:rsidRPr="00FF22FC" w:rsidRDefault="000B1C2B" w:rsidP="000B1C2B">
      <w:pPr>
        <w:tabs>
          <w:tab w:val="left" w:pos="1134"/>
        </w:tabs>
        <w:spacing w:line="360" w:lineRule="auto"/>
        <w:ind w:left="1134" w:right="-22" w:hanging="1134"/>
        <w:contextualSpacing/>
        <w:jc w:val="both"/>
        <w:rPr>
          <w:rFonts w:ascii="Arial" w:hAnsi="Arial" w:cs="Arial"/>
        </w:rPr>
      </w:pPr>
    </w:p>
    <w:p w:rsidR="000B1C2B" w:rsidRDefault="000B1C2B" w:rsidP="000B1C2B">
      <w:pPr>
        <w:spacing w:line="360" w:lineRule="auto"/>
        <w:ind w:left="567"/>
        <w:jc w:val="both"/>
        <w:rPr>
          <w:rFonts w:ascii="Arial" w:hAnsi="Arial" w:cs="Arial"/>
        </w:rPr>
      </w:pPr>
      <w:r w:rsidRPr="00FF22FC">
        <w:rPr>
          <w:rFonts w:ascii="Arial" w:hAnsi="Arial" w:cs="Arial"/>
        </w:rPr>
        <w:t xml:space="preserve">The level of the station commander is determined according to the </w:t>
      </w:r>
      <w:r w:rsidRPr="00FF22FC">
        <w:rPr>
          <w:rFonts w:ascii="Arial" w:hAnsi="Arial" w:cs="Arial"/>
          <w:i/>
        </w:rPr>
        <w:t>job weight range</w:t>
      </w:r>
      <w:r w:rsidRPr="00FF22FC">
        <w:rPr>
          <w:rFonts w:ascii="Arial" w:hAnsi="Arial" w:cs="Arial"/>
        </w:rPr>
        <w:t xml:space="preserve"> (calculated theoretical ideal number of posts) associated with the level of a station commander post.</w:t>
      </w:r>
      <w:r>
        <w:rPr>
          <w:rFonts w:ascii="Arial" w:hAnsi="Arial" w:cs="Arial"/>
        </w:rPr>
        <w:t xml:space="preserve"> A benchmark exercise was conducted to determine a correlation between the THRR system and the Equate Job Evaluation System, which is </w:t>
      </w:r>
      <w:proofErr w:type="spellStart"/>
      <w:r>
        <w:rPr>
          <w:rFonts w:ascii="Arial" w:hAnsi="Arial" w:cs="Arial"/>
        </w:rPr>
        <w:t>utilised</w:t>
      </w:r>
      <w:proofErr w:type="spellEnd"/>
      <w:r>
        <w:rPr>
          <w:rFonts w:ascii="Arial" w:hAnsi="Arial" w:cs="Arial"/>
        </w:rPr>
        <w:t xml:space="preserve"> for the grading of posts in the broader public service and the outcome thereof, indicates a high correlation (96%) between the two systems. The table below depicts the job weight ranges for station commander level, as determined by the THRR and Equate Job Evaluation Systems:</w:t>
      </w:r>
    </w:p>
    <w:tbl>
      <w:tblPr>
        <w:tblpPr w:leftFromText="180" w:rightFromText="180" w:vertAnchor="text" w:horzAnchor="margin" w:tblpXSpec="center" w:tblpY="290"/>
        <w:tblW w:w="8131" w:type="dxa"/>
        <w:tblLook w:val="04A0" w:firstRow="1" w:lastRow="0" w:firstColumn="1" w:lastColumn="0" w:noHBand="0" w:noVBand="1"/>
      </w:tblPr>
      <w:tblGrid>
        <w:gridCol w:w="1292"/>
        <w:gridCol w:w="812"/>
        <w:gridCol w:w="768"/>
        <w:gridCol w:w="1241"/>
        <w:gridCol w:w="1985"/>
        <w:gridCol w:w="1034"/>
        <w:gridCol w:w="999"/>
      </w:tblGrid>
      <w:tr w:rsidR="000B1C2B" w:rsidRPr="00D9187E" w:rsidTr="00103B95">
        <w:trPr>
          <w:cantSplit/>
          <w:trHeight w:val="48"/>
        </w:trPr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ZA"/>
              </w:rPr>
              <w:t>STATION COMMANDER LEVEL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ZA"/>
              </w:rPr>
              <w:t>JOB WEIGHT RANGE THRR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JOB WEIGHT RANGE EQUATE SYSTEM </w:t>
            </w:r>
          </w:p>
        </w:tc>
      </w:tr>
      <w:tr w:rsidR="000B1C2B" w:rsidRPr="00D9187E" w:rsidTr="00103B95">
        <w:trPr>
          <w:trHeight w:val="300"/>
        </w:trPr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ZA"/>
              </w:rPr>
              <w:t>LOWER LIMIT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ZA"/>
              </w:rPr>
              <w:t>UPPER LIMIT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  <w:t>GRADE              (PUBLIC SERVICE ACT)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  <w:t>GRADE              (POLICE  SERVICE ACT)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  <w:t>MINIMUM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b/>
                <w:color w:val="000000"/>
                <w:sz w:val="16"/>
                <w:szCs w:val="16"/>
                <w:lang w:eastAsia="en-ZA"/>
              </w:rPr>
              <w:t>MAXIMUM</w:t>
            </w:r>
          </w:p>
        </w:tc>
      </w:tr>
      <w:tr w:rsidR="000B1C2B" w:rsidRPr="00D9187E" w:rsidTr="00103B95">
        <w:trPr>
          <w:trHeight w:val="315"/>
        </w:trPr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0B1C2B" w:rsidRPr="00D9187E" w:rsidTr="00103B95">
        <w:trPr>
          <w:cantSplit/>
          <w:trHeight w:val="397"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8 – Captain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BAND C (Captain)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454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506</w:t>
            </w:r>
          </w:p>
        </w:tc>
      </w:tr>
      <w:tr w:rsidR="000B1C2B" w:rsidRPr="00D9187E" w:rsidTr="00103B95">
        <w:trPr>
          <w:cantSplit/>
          <w:trHeight w:val="330"/>
        </w:trPr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10 - Lieutenant Colonel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91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A26797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BAND D (Lieu</w:t>
            </w: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tenant Colonel)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507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559</w:t>
            </w:r>
          </w:p>
        </w:tc>
      </w:tr>
      <w:tr w:rsidR="000B1C2B" w:rsidRPr="00D9187E" w:rsidTr="00103B95">
        <w:trPr>
          <w:trHeight w:val="315"/>
        </w:trPr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611</w:t>
            </w:r>
          </w:p>
        </w:tc>
      </w:tr>
      <w:tr w:rsidR="000B1C2B" w:rsidRPr="00D9187E" w:rsidTr="00103B95">
        <w:trPr>
          <w:cantSplit/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12 – Colonel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181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MMS Band (Colonel)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663</w:t>
            </w:r>
          </w:p>
        </w:tc>
      </w:tr>
      <w:tr w:rsidR="000B1C2B" w:rsidRPr="00D9187E" w:rsidTr="00103B95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664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716</w:t>
            </w:r>
          </w:p>
        </w:tc>
      </w:tr>
      <w:tr w:rsidR="000B1C2B" w:rsidRPr="00D9187E" w:rsidTr="00103B95">
        <w:trPr>
          <w:cantSplit/>
          <w:trHeight w:val="369"/>
        </w:trPr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13 – Brigadier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361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val="en-GB" w:eastAsia="en-ZA"/>
              </w:rPr>
              <w:t>Higher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SMS1 Band (Brigadier)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717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C2B" w:rsidRPr="00D9187E" w:rsidRDefault="000B1C2B" w:rsidP="00103B9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</w:pPr>
            <w:r w:rsidRPr="00D9187E">
              <w:rPr>
                <w:rFonts w:ascii="Arial" w:hAnsi="Arial" w:cs="Arial"/>
                <w:color w:val="000000"/>
                <w:sz w:val="16"/>
                <w:szCs w:val="16"/>
                <w:lang w:eastAsia="en-ZA"/>
              </w:rPr>
              <w:t>769</w:t>
            </w:r>
          </w:p>
        </w:tc>
      </w:tr>
    </w:tbl>
    <w:p w:rsidR="000B1C2B" w:rsidRDefault="000B1C2B" w:rsidP="000B1C2B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0B1C2B" w:rsidRDefault="000B1C2B" w:rsidP="000B1C2B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FF22FC">
        <w:rPr>
          <w:rFonts w:ascii="Arial" w:hAnsi="Arial" w:cs="Arial"/>
        </w:rPr>
        <w:t>(ii)(</w:t>
      </w:r>
      <w:proofErr w:type="spellStart"/>
      <w:proofErr w:type="gramStart"/>
      <w:r w:rsidRPr="00FF22FC">
        <w:rPr>
          <w:rFonts w:ascii="Arial" w:hAnsi="Arial" w:cs="Arial"/>
        </w:rPr>
        <w:t>aa</w:t>
      </w:r>
      <w:proofErr w:type="spellEnd"/>
      <w:proofErr w:type="gramEnd"/>
      <w:r w:rsidRPr="00FF22FC">
        <w:rPr>
          <w:rFonts w:ascii="Arial" w:hAnsi="Arial" w:cs="Arial"/>
        </w:rPr>
        <w:t>)(</w:t>
      </w:r>
      <w:proofErr w:type="gramStart"/>
      <w:r w:rsidRPr="00FF22FC">
        <w:rPr>
          <w:rFonts w:ascii="Arial" w:hAnsi="Arial" w:cs="Arial"/>
        </w:rPr>
        <w:t>bb</w:t>
      </w:r>
      <w:proofErr w:type="gramEnd"/>
      <w:r w:rsidRPr="00FF22F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FF22FC">
        <w:rPr>
          <w:rFonts w:ascii="Arial" w:hAnsi="Arial" w:cs="Arial"/>
        </w:rPr>
        <w:t xml:space="preserve">The weight and grading of the post of </w:t>
      </w:r>
      <w:r>
        <w:rPr>
          <w:rFonts w:ascii="Arial" w:hAnsi="Arial" w:cs="Arial"/>
        </w:rPr>
        <w:t xml:space="preserve">a </w:t>
      </w:r>
      <w:r w:rsidRPr="00FF22FC">
        <w:rPr>
          <w:rFonts w:ascii="Arial" w:hAnsi="Arial" w:cs="Arial"/>
        </w:rPr>
        <w:t>station commander (Colonel and Brigadier included) and the lower-level command structure</w:t>
      </w:r>
      <w:r>
        <w:rPr>
          <w:rFonts w:ascii="Arial" w:hAnsi="Arial" w:cs="Arial"/>
        </w:rPr>
        <w:t>,</w:t>
      </w:r>
      <w:r w:rsidRPr="00FF22FC">
        <w:rPr>
          <w:rFonts w:ascii="Arial" w:hAnsi="Arial" w:cs="Arial"/>
        </w:rPr>
        <w:t xml:space="preserve"> is based on the evaluation of various factors including crime, environmental factors and policing activities</w:t>
      </w:r>
      <w:r>
        <w:rPr>
          <w:rFonts w:ascii="Arial" w:hAnsi="Arial" w:cs="Arial"/>
        </w:rPr>
        <w:t xml:space="preserve">. These </w:t>
      </w:r>
      <w:r w:rsidRPr="00FF22FC">
        <w:rPr>
          <w:rFonts w:ascii="Arial" w:hAnsi="Arial" w:cs="Arial"/>
        </w:rPr>
        <w:t>will have a definite im</w:t>
      </w:r>
      <w:r>
        <w:rPr>
          <w:rFonts w:ascii="Arial" w:hAnsi="Arial" w:cs="Arial"/>
        </w:rPr>
        <w:t>pact on the factors considered:</w:t>
      </w:r>
    </w:p>
    <w:p w:rsidR="000B1C2B" w:rsidRPr="00FF22FC" w:rsidRDefault="000B1C2B" w:rsidP="000B1C2B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eastAsia="PMingLiU" w:hAnsi="Arial" w:cs="Arial"/>
        </w:rPr>
        <w:t xml:space="preserve">Developments in the regulatory framework – in relation to changes </w:t>
      </w:r>
      <w:r>
        <w:rPr>
          <w:rFonts w:ascii="Arial" w:eastAsia="PMingLiU" w:hAnsi="Arial" w:cs="Arial"/>
        </w:rPr>
        <w:t xml:space="preserve">to the </w:t>
      </w:r>
      <w:r w:rsidRPr="00FF22FC">
        <w:rPr>
          <w:rFonts w:ascii="Arial" w:eastAsia="PMingLiU" w:hAnsi="Arial" w:cs="Arial"/>
        </w:rPr>
        <w:t>legislation of the country (By</w:t>
      </w:r>
      <w:r>
        <w:rPr>
          <w:rFonts w:ascii="Arial" w:eastAsia="PMingLiU" w:hAnsi="Arial" w:cs="Arial"/>
        </w:rPr>
        <w:t>-</w:t>
      </w:r>
      <w:r w:rsidRPr="00FF22FC">
        <w:rPr>
          <w:rFonts w:ascii="Arial" w:eastAsia="PMingLiU" w:hAnsi="Arial" w:cs="Arial"/>
        </w:rPr>
        <w:t>laws, Traffic Ordinance, Amendments to Acts/Statutes and all other applicable legislation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that will have a direct impact on policing at local level)</w:t>
      </w:r>
      <w:r>
        <w:rPr>
          <w:rFonts w:ascii="Arial" w:eastAsia="PMingLiU" w:hAnsi="Arial" w:cs="Arial"/>
        </w:rPr>
        <w:t>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eastAsia="PMingLiU" w:hAnsi="Arial" w:cs="Arial"/>
        </w:rPr>
        <w:t xml:space="preserve">Environmental developments/factors - New developments in the </w:t>
      </w:r>
      <w:r w:rsidRPr="00FF22FC">
        <w:rPr>
          <w:rFonts w:ascii="Arial" w:eastAsia="PMingLiU" w:hAnsi="Arial" w:cs="Arial"/>
        </w:rPr>
        <w:lastRenderedPageBreak/>
        <w:t>country in the external environment, for instance: the migration rate, increasing unemployment rate, mushrooming of informal set</w:t>
      </w:r>
      <w:r>
        <w:rPr>
          <w:rFonts w:ascii="Arial" w:eastAsia="PMingLiU" w:hAnsi="Arial" w:cs="Arial"/>
        </w:rPr>
        <w:t>tlements, the integration of un</w:t>
      </w:r>
      <w:r w:rsidRPr="00FF22FC">
        <w:rPr>
          <w:rFonts w:ascii="Arial" w:eastAsia="PMingLiU" w:hAnsi="Arial" w:cs="Arial"/>
        </w:rPr>
        <w:t>documented people into the population density factor and residential and business developments</w:t>
      </w:r>
      <w:r>
        <w:rPr>
          <w:rFonts w:ascii="Arial" w:eastAsia="PMingLiU" w:hAnsi="Arial" w:cs="Arial"/>
        </w:rPr>
        <w:t>,</w:t>
      </w:r>
      <w:r w:rsidRPr="00FF22FC">
        <w:rPr>
          <w:rFonts w:ascii="Arial" w:eastAsia="PMingLiU" w:hAnsi="Arial" w:cs="Arial"/>
        </w:rPr>
        <w:t xml:space="preserve"> are constantly having an impact on policing methods and human resourci</w:t>
      </w:r>
      <w:r>
        <w:rPr>
          <w:rFonts w:ascii="Arial" w:eastAsia="PMingLiU" w:hAnsi="Arial" w:cs="Arial"/>
        </w:rPr>
        <w:t>ng at local level;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proofErr w:type="spellStart"/>
      <w:r w:rsidRPr="00FF22FC">
        <w:rPr>
          <w:rFonts w:ascii="Arial" w:eastAsia="PMingLiU" w:hAnsi="Arial" w:cs="Arial"/>
        </w:rPr>
        <w:t>Organisational</w:t>
      </w:r>
      <w:proofErr w:type="spellEnd"/>
      <w:r w:rsidRPr="00FF22FC">
        <w:rPr>
          <w:rFonts w:ascii="Arial" w:eastAsia="PMingLiU" w:hAnsi="Arial" w:cs="Arial"/>
        </w:rPr>
        <w:t xml:space="preserve"> developments – in relation to the need to enhance </w:t>
      </w:r>
      <w:r>
        <w:rPr>
          <w:rFonts w:ascii="Arial" w:eastAsia="PMingLiU" w:hAnsi="Arial" w:cs="Arial"/>
        </w:rPr>
        <w:t>service delivery at local level;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eastAsia="PMingLiU" w:hAnsi="Arial" w:cs="Arial"/>
        </w:rPr>
        <w:t>Management needs – in relation to functions that must be added at local level policing to ultim</w:t>
      </w:r>
      <w:r>
        <w:rPr>
          <w:rFonts w:ascii="Arial" w:eastAsia="PMingLiU" w:hAnsi="Arial" w:cs="Arial"/>
        </w:rPr>
        <w:t>ately enhance service delivery;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>Norms</w:t>
      </w:r>
      <w:r>
        <w:rPr>
          <w:rFonts w:ascii="Arial" w:hAnsi="Arial" w:cs="Arial"/>
        </w:rPr>
        <w:t>,</w:t>
      </w:r>
      <w:r w:rsidRPr="00FF22FC">
        <w:rPr>
          <w:rFonts w:ascii="Arial" w:hAnsi="Arial" w:cs="Arial"/>
        </w:rPr>
        <w:t xml:space="preserve"> per type of crime and patterns;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>Contingency allowances – rest allowances and absenteeism;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 xml:space="preserve">Demographic layout of a police station area - </w:t>
      </w:r>
      <w:r>
        <w:rPr>
          <w:rFonts w:ascii="Arial" w:hAnsi="Arial" w:cs="Arial"/>
        </w:rPr>
        <w:t>u</w:t>
      </w:r>
      <w:r w:rsidRPr="00FF22FC">
        <w:rPr>
          <w:rFonts w:ascii="Arial" w:hAnsi="Arial" w:cs="Arial"/>
        </w:rPr>
        <w:t>rban/</w:t>
      </w:r>
      <w:r>
        <w:rPr>
          <w:rFonts w:ascii="Arial" w:hAnsi="Arial" w:cs="Arial"/>
        </w:rPr>
        <w:t>r</w:t>
      </w:r>
      <w:r w:rsidRPr="00FF22FC">
        <w:rPr>
          <w:rFonts w:ascii="Arial" w:hAnsi="Arial" w:cs="Arial"/>
        </w:rPr>
        <w:t>ural/</w:t>
      </w:r>
      <w:r>
        <w:rPr>
          <w:rFonts w:ascii="Arial" w:hAnsi="Arial" w:cs="Arial"/>
        </w:rPr>
        <w:t>u</w:t>
      </w:r>
      <w:r w:rsidRPr="00FF22FC">
        <w:rPr>
          <w:rFonts w:ascii="Arial" w:hAnsi="Arial" w:cs="Arial"/>
        </w:rPr>
        <w:t xml:space="preserve">rban </w:t>
      </w:r>
      <w:r>
        <w:rPr>
          <w:rFonts w:ascii="Arial" w:hAnsi="Arial" w:cs="Arial"/>
        </w:rPr>
        <w:t>r</w:t>
      </w:r>
      <w:r w:rsidRPr="00FF22FC">
        <w:rPr>
          <w:rFonts w:ascii="Arial" w:hAnsi="Arial" w:cs="Arial"/>
        </w:rPr>
        <w:t xml:space="preserve">ural </w:t>
      </w:r>
      <w:r>
        <w:rPr>
          <w:rFonts w:ascii="Arial" w:hAnsi="Arial" w:cs="Arial"/>
        </w:rPr>
        <w:t>m</w:t>
      </w:r>
      <w:r w:rsidRPr="00FF22FC">
        <w:rPr>
          <w:rFonts w:ascii="Arial" w:hAnsi="Arial" w:cs="Arial"/>
        </w:rPr>
        <w:t>ix settlement types;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 xml:space="preserve">Infrastructure </w:t>
      </w:r>
      <w:r>
        <w:rPr>
          <w:rFonts w:ascii="Arial" w:hAnsi="Arial" w:cs="Arial"/>
        </w:rPr>
        <w:t xml:space="preserve">in </w:t>
      </w:r>
      <w:r w:rsidRPr="00FF22FC">
        <w:rPr>
          <w:rFonts w:ascii="Arial" w:hAnsi="Arial" w:cs="Arial"/>
        </w:rPr>
        <w:t>a police station area;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>Area size of a police area;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>Population dynamics;</w:t>
      </w:r>
    </w:p>
    <w:p w:rsidR="000B1C2B" w:rsidRPr="00FF22FC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 xml:space="preserve">Police </w:t>
      </w:r>
      <w:r>
        <w:rPr>
          <w:rFonts w:ascii="Arial" w:hAnsi="Arial" w:cs="Arial"/>
        </w:rPr>
        <w:t>station i</w:t>
      </w:r>
      <w:r w:rsidRPr="00FF22FC">
        <w:rPr>
          <w:rFonts w:ascii="Arial" w:hAnsi="Arial" w:cs="Arial"/>
        </w:rPr>
        <w:t>nfrastructure; and</w:t>
      </w:r>
    </w:p>
    <w:p w:rsidR="000B1C2B" w:rsidRPr="007752D2" w:rsidRDefault="000B1C2B" w:rsidP="000B1C2B">
      <w:pPr>
        <w:widowControl w:val="0"/>
        <w:numPr>
          <w:ilvl w:val="2"/>
          <w:numId w:val="16"/>
        </w:numPr>
        <w:tabs>
          <w:tab w:val="left" w:pos="-1440"/>
        </w:tabs>
        <w:autoSpaceDE w:val="0"/>
        <w:autoSpaceDN w:val="0"/>
        <w:adjustRightInd w:val="0"/>
        <w:spacing w:line="360" w:lineRule="auto"/>
        <w:ind w:hanging="742"/>
        <w:jc w:val="both"/>
        <w:rPr>
          <w:rFonts w:ascii="Arial" w:eastAsia="PMingLiU" w:hAnsi="Arial" w:cs="Arial"/>
        </w:rPr>
      </w:pPr>
      <w:r w:rsidRPr="00FF22FC">
        <w:rPr>
          <w:rFonts w:ascii="Arial" w:hAnsi="Arial" w:cs="Arial"/>
        </w:rPr>
        <w:t xml:space="preserve">Distances travelled to courts/places of safety/health </w:t>
      </w:r>
      <w:r>
        <w:rPr>
          <w:rFonts w:ascii="Arial" w:hAnsi="Arial" w:cs="Arial"/>
        </w:rPr>
        <w:t>and forensic laboratories/</w:t>
      </w:r>
      <w:r w:rsidRPr="00FF22FC">
        <w:rPr>
          <w:rFonts w:ascii="Arial" w:hAnsi="Arial" w:cs="Arial"/>
        </w:rPr>
        <w:t>mortuaries and correctional facilities.</w:t>
      </w:r>
    </w:p>
    <w:p w:rsidR="000B1C2B" w:rsidRDefault="000B1C2B" w:rsidP="000B1C2B">
      <w:pPr>
        <w:pStyle w:val="ListParagraph"/>
        <w:spacing w:line="360" w:lineRule="auto"/>
        <w:ind w:hanging="742"/>
        <w:rPr>
          <w:rFonts w:ascii="Arial" w:eastAsia="PMingLiU" w:hAnsi="Arial" w:cs="Arial"/>
        </w:rPr>
      </w:pPr>
    </w:p>
    <w:p w:rsidR="000B1C2B" w:rsidRPr="00D97075" w:rsidRDefault="000B1C2B" w:rsidP="000B1C2B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PMingLiU" w:hAnsi="Arial" w:cs="Arial"/>
        </w:rPr>
      </w:pPr>
      <w:r>
        <w:rPr>
          <w:rFonts w:ascii="Arial" w:eastAsia="Arial Unicode MS" w:hAnsi="Arial" w:cs="Arial"/>
          <w:color w:val="000000"/>
          <w:u w:color="000000"/>
        </w:rPr>
        <w:tab/>
      </w:r>
      <w:r w:rsidRPr="00D97075">
        <w:rPr>
          <w:rFonts w:ascii="Arial" w:eastAsia="Arial Unicode MS" w:hAnsi="Arial" w:cs="Arial"/>
          <w:color w:val="000000"/>
          <w:u w:color="000000"/>
        </w:rPr>
        <w:t xml:space="preserve">The annual </w:t>
      </w:r>
      <w:r>
        <w:rPr>
          <w:rFonts w:ascii="Arial" w:eastAsia="Arial Unicode MS" w:hAnsi="Arial" w:cs="Arial"/>
          <w:color w:val="000000"/>
          <w:u w:color="000000"/>
        </w:rPr>
        <w:t xml:space="preserve">application of the </w:t>
      </w:r>
      <w:r w:rsidRPr="00D97075">
        <w:rPr>
          <w:rFonts w:ascii="Arial" w:eastAsia="Arial Unicode MS" w:hAnsi="Arial" w:cs="Arial"/>
          <w:color w:val="000000"/>
          <w:u w:color="000000"/>
        </w:rPr>
        <w:t>THRR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D97075">
        <w:rPr>
          <w:rFonts w:ascii="Arial" w:eastAsia="Arial Unicode MS" w:hAnsi="Arial" w:cs="Arial"/>
          <w:color w:val="000000"/>
          <w:u w:color="000000"/>
        </w:rPr>
        <w:t>for police stations</w:t>
      </w:r>
      <w:r>
        <w:rPr>
          <w:rFonts w:ascii="Arial" w:eastAsia="Arial Unicode MS" w:hAnsi="Arial" w:cs="Arial"/>
          <w:color w:val="000000"/>
          <w:u w:color="000000"/>
        </w:rPr>
        <w:t>,</w:t>
      </w:r>
      <w:r w:rsidRPr="00D97075">
        <w:rPr>
          <w:rFonts w:ascii="Arial" w:eastAsia="Arial Unicode MS" w:hAnsi="Arial" w:cs="Arial"/>
          <w:color w:val="000000"/>
          <w:u w:color="000000"/>
        </w:rPr>
        <w:t xml:space="preserve"> is essential to determine the personnel requirement in a </w:t>
      </w:r>
      <w:proofErr w:type="spellStart"/>
      <w:r w:rsidRPr="00D97075">
        <w:rPr>
          <w:rFonts w:ascii="Arial" w:eastAsia="Arial Unicode MS" w:hAnsi="Arial" w:cs="Arial"/>
          <w:color w:val="000000"/>
          <w:u w:color="000000"/>
        </w:rPr>
        <w:t>standardised</w:t>
      </w:r>
      <w:proofErr w:type="spellEnd"/>
      <w:r w:rsidRPr="00D97075">
        <w:rPr>
          <w:rFonts w:ascii="Arial" w:eastAsia="Arial Unicode MS" w:hAnsi="Arial" w:cs="Arial"/>
          <w:color w:val="000000"/>
          <w:u w:color="000000"/>
        </w:rPr>
        <w:t xml:space="preserve"> method. This is</w:t>
      </w:r>
      <w:r>
        <w:rPr>
          <w:rFonts w:ascii="Arial" w:eastAsia="Arial Unicode MS" w:hAnsi="Arial" w:cs="Arial"/>
          <w:color w:val="000000"/>
          <w:u w:color="000000"/>
        </w:rPr>
        <w:t>,</w:t>
      </w:r>
      <w:r w:rsidRPr="00D97075">
        <w:rPr>
          <w:rFonts w:ascii="Arial" w:eastAsia="Arial Unicode MS" w:hAnsi="Arial" w:cs="Arial"/>
          <w:color w:val="000000"/>
          <w:u w:color="000000"/>
        </w:rPr>
        <w:t xml:space="preserve"> however</w:t>
      </w:r>
      <w:r>
        <w:rPr>
          <w:rFonts w:ascii="Arial" w:eastAsia="Arial Unicode MS" w:hAnsi="Arial" w:cs="Arial"/>
          <w:color w:val="000000"/>
          <w:u w:color="000000"/>
        </w:rPr>
        <w:t>,</w:t>
      </w:r>
      <w:r w:rsidRPr="00D97075">
        <w:rPr>
          <w:rFonts w:ascii="Arial" w:eastAsia="Arial Unicode MS" w:hAnsi="Arial" w:cs="Arial"/>
          <w:color w:val="000000"/>
          <w:u w:color="000000"/>
        </w:rPr>
        <w:t xml:space="preserve"> affected by the fixed establishment (FE)</w:t>
      </w:r>
      <w:r>
        <w:rPr>
          <w:rFonts w:ascii="Arial" w:eastAsia="Arial Unicode MS" w:hAnsi="Arial" w:cs="Arial"/>
          <w:color w:val="000000"/>
          <w:u w:color="000000"/>
        </w:rPr>
        <w:t>,</w:t>
      </w:r>
      <w:r w:rsidRPr="00D97075">
        <w:rPr>
          <w:rFonts w:ascii="Arial" w:eastAsia="Arial Unicode MS" w:hAnsi="Arial" w:cs="Arial"/>
          <w:color w:val="000000"/>
          <w:u w:color="000000"/>
        </w:rPr>
        <w:t xml:space="preserve"> which is purely dependent on the</w:t>
      </w:r>
      <w:r w:rsidRPr="00D97075">
        <w:rPr>
          <w:rFonts w:ascii="Arial" w:hAnsi="Arial" w:cs="Arial"/>
          <w:bCs/>
          <w:iCs/>
        </w:rPr>
        <w:t xml:space="preserve"> availability of funds</w:t>
      </w:r>
      <w:r>
        <w:rPr>
          <w:rFonts w:ascii="Arial" w:hAnsi="Arial" w:cs="Arial"/>
          <w:bCs/>
          <w:iCs/>
        </w:rPr>
        <w:t>,</w:t>
      </w:r>
      <w:r w:rsidRPr="00D97075">
        <w:rPr>
          <w:rFonts w:ascii="Arial" w:hAnsi="Arial" w:cs="Arial"/>
          <w:bCs/>
          <w:iCs/>
        </w:rPr>
        <w:t xml:space="preserve"> in terms of the current budget and the </w:t>
      </w:r>
      <w:r>
        <w:rPr>
          <w:rFonts w:ascii="Arial" w:hAnsi="Arial" w:cs="Arial"/>
          <w:bCs/>
          <w:iCs/>
        </w:rPr>
        <w:t>Medium Term E</w:t>
      </w:r>
      <w:r w:rsidRPr="00D97075">
        <w:rPr>
          <w:rFonts w:ascii="Arial" w:hAnsi="Arial" w:cs="Arial"/>
          <w:bCs/>
          <w:iCs/>
        </w:rPr>
        <w:t xml:space="preserve">xpenditure </w:t>
      </w:r>
      <w:r>
        <w:rPr>
          <w:rFonts w:ascii="Arial" w:hAnsi="Arial" w:cs="Arial"/>
          <w:bCs/>
          <w:iCs/>
        </w:rPr>
        <w:t>F</w:t>
      </w:r>
      <w:r w:rsidRPr="00D97075">
        <w:rPr>
          <w:rFonts w:ascii="Arial" w:hAnsi="Arial" w:cs="Arial"/>
          <w:bCs/>
          <w:iCs/>
        </w:rPr>
        <w:t>ramework (MTEF). Currently</w:t>
      </w:r>
      <w:r>
        <w:rPr>
          <w:rFonts w:ascii="Arial" w:hAnsi="Arial" w:cs="Arial"/>
          <w:bCs/>
          <w:iCs/>
        </w:rPr>
        <w:t>,</w:t>
      </w:r>
      <w:r w:rsidRPr="00D97075">
        <w:rPr>
          <w:rFonts w:ascii="Arial" w:hAnsi="Arial" w:cs="Arial"/>
          <w:bCs/>
          <w:iCs/>
        </w:rPr>
        <w:t xml:space="preserve"> the SAPS is not able to fund the theoretical requirements for police station</w:t>
      </w:r>
      <w:r>
        <w:rPr>
          <w:rFonts w:ascii="Arial" w:hAnsi="Arial" w:cs="Arial"/>
          <w:bCs/>
          <w:iCs/>
        </w:rPr>
        <w:t>s, due to budgetary constraints.</w:t>
      </w:r>
    </w:p>
    <w:p w:rsidR="000B1C2B" w:rsidRPr="00FF22FC" w:rsidRDefault="000B1C2B" w:rsidP="000B1C2B">
      <w:pPr>
        <w:pStyle w:val="ListParagraph"/>
        <w:spacing w:line="360" w:lineRule="auto"/>
        <w:rPr>
          <w:rFonts w:ascii="Arial" w:hAnsi="Arial" w:cs="Arial"/>
        </w:rPr>
      </w:pPr>
    </w:p>
    <w:p w:rsidR="000B1C2B" w:rsidRDefault="000B1C2B" w:rsidP="000B1C2B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633E5B">
        <w:rPr>
          <w:rFonts w:ascii="Arial" w:hAnsi="Arial" w:cs="Arial"/>
        </w:rPr>
        <w:t>(b</w:t>
      </w:r>
      <w:r w:rsidRPr="007856F7">
        <w:rPr>
          <w:rFonts w:ascii="Arial" w:hAnsi="Arial" w:cs="Arial"/>
        </w:rPr>
        <w:t>)</w:t>
      </w:r>
      <w:r w:rsidRPr="007856F7">
        <w:rPr>
          <w:rFonts w:ascii="Arial" w:hAnsi="Arial" w:cs="Arial"/>
        </w:rPr>
        <w:tab/>
        <w:t xml:space="preserve">Minimum human resource implication at a Colonel </w:t>
      </w:r>
      <w:r>
        <w:rPr>
          <w:rFonts w:ascii="Arial" w:hAnsi="Arial" w:cs="Arial"/>
        </w:rPr>
        <w:t>l</w:t>
      </w:r>
      <w:r w:rsidRPr="007856F7">
        <w:rPr>
          <w:rFonts w:ascii="Arial" w:hAnsi="Arial" w:cs="Arial"/>
        </w:rPr>
        <w:t xml:space="preserve">evel is 181 </w:t>
      </w:r>
      <w:r>
        <w:rPr>
          <w:rFonts w:ascii="Arial" w:hAnsi="Arial" w:cs="Arial"/>
        </w:rPr>
        <w:t xml:space="preserve">personnel </w:t>
      </w:r>
      <w:r w:rsidRPr="007856F7">
        <w:rPr>
          <w:rFonts w:ascii="Arial" w:hAnsi="Arial" w:cs="Arial"/>
        </w:rPr>
        <w:t xml:space="preserve">and the maximum is 360 personnel. </w:t>
      </w:r>
      <w:r>
        <w:rPr>
          <w:rFonts w:ascii="Arial" w:hAnsi="Arial" w:cs="Arial"/>
        </w:rPr>
        <w:t>The m</w:t>
      </w:r>
      <w:r w:rsidRPr="007856F7">
        <w:rPr>
          <w:rFonts w:ascii="Arial" w:hAnsi="Arial" w:cs="Arial"/>
        </w:rPr>
        <w:t xml:space="preserve">inimum human resource implication at a Brigadier </w:t>
      </w:r>
      <w:r>
        <w:rPr>
          <w:rFonts w:ascii="Arial" w:hAnsi="Arial" w:cs="Arial"/>
        </w:rPr>
        <w:t>l</w:t>
      </w:r>
      <w:r w:rsidRPr="007856F7">
        <w:rPr>
          <w:rFonts w:ascii="Arial" w:hAnsi="Arial" w:cs="Arial"/>
        </w:rPr>
        <w:t>evel is 361 and higher.</w:t>
      </w:r>
    </w:p>
    <w:p w:rsidR="000B1C2B" w:rsidRDefault="000B1C2B" w:rsidP="000B1C2B">
      <w:pPr>
        <w:spacing w:line="360" w:lineRule="auto"/>
        <w:ind w:left="720" w:hanging="720"/>
        <w:rPr>
          <w:rFonts w:ascii="Arial" w:hAnsi="Arial" w:cs="Arial"/>
        </w:rPr>
      </w:pPr>
    </w:p>
    <w:p w:rsidR="000B1C2B" w:rsidRPr="00BC4C21" w:rsidRDefault="000B1C2B" w:rsidP="000B1C2B">
      <w:pPr>
        <w:spacing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Most </w:t>
      </w:r>
      <w:r w:rsidRPr="00BC4C21">
        <w:rPr>
          <w:rFonts w:ascii="Arial" w:hAnsi="Arial" w:cs="Arial"/>
          <w:lang w:val="en-GB"/>
        </w:rPr>
        <w:t>of the police stations are barely capacitated at their minimum human resource requirement</w:t>
      </w:r>
      <w:r>
        <w:rPr>
          <w:rFonts w:ascii="Arial" w:hAnsi="Arial" w:cs="Arial"/>
          <w:lang w:val="en-GB"/>
        </w:rPr>
        <w:t>,</w:t>
      </w:r>
      <w:r w:rsidRPr="00BC4C21">
        <w:rPr>
          <w:rFonts w:ascii="Arial" w:hAnsi="Arial" w:cs="Arial"/>
          <w:lang w:val="en-GB"/>
        </w:rPr>
        <w:t xml:space="preserve"> due to budgetary constraints e.g</w:t>
      </w:r>
      <w:r>
        <w:rPr>
          <w:rFonts w:ascii="Arial" w:hAnsi="Arial" w:cs="Arial"/>
          <w:lang w:val="en-GB"/>
        </w:rPr>
        <w:t>.</w:t>
      </w:r>
      <w:r w:rsidRPr="00BC4C21">
        <w:rPr>
          <w:rFonts w:ascii="Arial" w:hAnsi="Arial" w:cs="Arial"/>
          <w:lang w:val="en-GB"/>
        </w:rPr>
        <w:t xml:space="preserve"> a Colonel police station which require</w:t>
      </w:r>
      <w:r>
        <w:rPr>
          <w:rFonts w:ascii="Arial" w:hAnsi="Arial" w:cs="Arial"/>
          <w:lang w:val="en-GB"/>
        </w:rPr>
        <w:t>s</w:t>
      </w:r>
      <w:r w:rsidRPr="00BC4C21">
        <w:rPr>
          <w:rFonts w:ascii="Arial" w:hAnsi="Arial" w:cs="Arial"/>
          <w:lang w:val="en-GB"/>
        </w:rPr>
        <w:t xml:space="preserve"> a minimum of 181 personnel</w:t>
      </w:r>
      <w:r>
        <w:rPr>
          <w:rFonts w:ascii="Arial" w:hAnsi="Arial" w:cs="Arial"/>
          <w:lang w:val="en-GB"/>
        </w:rPr>
        <w:t>,</w:t>
      </w:r>
      <w:r w:rsidRPr="00BC4C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</w:t>
      </w:r>
      <w:r w:rsidRPr="00BC4C21">
        <w:rPr>
          <w:rFonts w:ascii="Arial" w:hAnsi="Arial" w:cs="Arial"/>
          <w:lang w:val="en-GB"/>
        </w:rPr>
        <w:t>currently capacitated at 150.</w:t>
      </w:r>
    </w:p>
    <w:p w:rsidR="000B1C2B" w:rsidRPr="00BC4C21" w:rsidRDefault="000B1C2B" w:rsidP="000B1C2B">
      <w:pPr>
        <w:spacing w:line="360" w:lineRule="auto"/>
        <w:jc w:val="both"/>
        <w:rPr>
          <w:rFonts w:ascii="Arial" w:hAnsi="Arial" w:cs="Arial"/>
          <w:lang w:val="en-GB"/>
        </w:rPr>
      </w:pPr>
    </w:p>
    <w:p w:rsidR="000B1C2B" w:rsidRDefault="000B1C2B" w:rsidP="000B1C2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lang w:val="en-GB"/>
        </w:rPr>
      </w:pPr>
      <w:r w:rsidRPr="00BC4C21">
        <w:rPr>
          <w:rFonts w:ascii="Arial" w:hAnsi="Arial" w:cs="Arial"/>
          <w:lang w:val="en-GB"/>
        </w:rPr>
        <w:t>An analysis of a three</w:t>
      </w:r>
      <w:r>
        <w:rPr>
          <w:rFonts w:ascii="Arial" w:hAnsi="Arial" w:cs="Arial"/>
          <w:lang w:val="en-GB"/>
        </w:rPr>
        <w:t xml:space="preserve"> </w:t>
      </w:r>
      <w:r w:rsidRPr="00BC4C21">
        <w:rPr>
          <w:rFonts w:ascii="Arial" w:hAnsi="Arial" w:cs="Arial"/>
          <w:lang w:val="en-GB"/>
        </w:rPr>
        <w:t>year comparison of police stations</w:t>
      </w:r>
      <w:r>
        <w:rPr>
          <w:rFonts w:ascii="Arial" w:hAnsi="Arial" w:cs="Arial"/>
          <w:lang w:val="en-GB"/>
        </w:rPr>
        <w:t>’</w:t>
      </w:r>
      <w:r w:rsidRPr="00BC4C21">
        <w:rPr>
          <w:rFonts w:ascii="Arial" w:hAnsi="Arial" w:cs="Arial"/>
          <w:lang w:val="en-GB"/>
        </w:rPr>
        <w:t xml:space="preserve"> THRR</w:t>
      </w:r>
      <w:r>
        <w:rPr>
          <w:rFonts w:ascii="Arial" w:hAnsi="Arial" w:cs="Arial"/>
          <w:lang w:val="en-GB"/>
        </w:rPr>
        <w:t xml:space="preserve">, </w:t>
      </w:r>
      <w:r w:rsidRPr="00BC4C21">
        <w:rPr>
          <w:rFonts w:ascii="Arial" w:hAnsi="Arial" w:cs="Arial"/>
          <w:lang w:val="en-GB"/>
        </w:rPr>
        <w:t>must be conducted.</w:t>
      </w:r>
      <w:r w:rsidRPr="00BC4C21">
        <w:rPr>
          <w:rFonts w:ascii="Arial" w:hAnsi="Arial" w:cs="Arial"/>
          <w:bCs/>
          <w:iCs/>
          <w:lang w:val="en-GB"/>
        </w:rPr>
        <w:t xml:space="preserve"> Police stations, whose results </w:t>
      </w:r>
      <w:r>
        <w:rPr>
          <w:rFonts w:ascii="Arial" w:hAnsi="Arial" w:cs="Arial"/>
          <w:bCs/>
          <w:iCs/>
          <w:lang w:val="en-GB"/>
        </w:rPr>
        <w:t xml:space="preserve">are </w:t>
      </w:r>
      <w:r w:rsidRPr="00BC4C21">
        <w:rPr>
          <w:rFonts w:ascii="Arial" w:hAnsi="Arial" w:cs="Arial"/>
          <w:bCs/>
          <w:iCs/>
          <w:lang w:val="en-GB"/>
        </w:rPr>
        <w:t>calculated above the upper limit of its assigned category</w:t>
      </w:r>
      <w:r>
        <w:rPr>
          <w:rFonts w:ascii="Arial" w:hAnsi="Arial" w:cs="Arial"/>
          <w:bCs/>
          <w:iCs/>
          <w:lang w:val="en-GB"/>
        </w:rPr>
        <w:t>,</w:t>
      </w:r>
      <w:r w:rsidRPr="00BC4C21">
        <w:rPr>
          <w:rFonts w:ascii="Arial" w:hAnsi="Arial" w:cs="Arial"/>
          <w:bCs/>
          <w:iCs/>
          <w:lang w:val="en-GB"/>
        </w:rPr>
        <w:t xml:space="preserve"> after a period of three</w:t>
      </w:r>
      <w:r>
        <w:rPr>
          <w:rFonts w:ascii="Arial" w:hAnsi="Arial" w:cs="Arial"/>
          <w:bCs/>
          <w:iCs/>
          <w:lang w:val="en-GB"/>
        </w:rPr>
        <w:t xml:space="preserve"> </w:t>
      </w:r>
      <w:r w:rsidRPr="00BC4C21">
        <w:rPr>
          <w:rFonts w:ascii="Arial" w:hAnsi="Arial" w:cs="Arial"/>
          <w:bCs/>
          <w:iCs/>
          <w:lang w:val="en-GB"/>
        </w:rPr>
        <w:t>consecutive years</w:t>
      </w:r>
      <w:r>
        <w:rPr>
          <w:rFonts w:ascii="Arial" w:hAnsi="Arial" w:cs="Arial"/>
          <w:bCs/>
          <w:iCs/>
          <w:lang w:val="en-GB"/>
        </w:rPr>
        <w:t>,</w:t>
      </w:r>
      <w:r w:rsidRPr="00BC4C21">
        <w:rPr>
          <w:rFonts w:ascii="Arial" w:hAnsi="Arial" w:cs="Arial"/>
          <w:bCs/>
          <w:iCs/>
          <w:lang w:val="en-GB"/>
        </w:rPr>
        <w:t xml:space="preserve"> must be considered for upgrading. The rule is that police station</w:t>
      </w:r>
      <w:r>
        <w:rPr>
          <w:rFonts w:ascii="Arial" w:hAnsi="Arial" w:cs="Arial"/>
          <w:bCs/>
          <w:iCs/>
          <w:lang w:val="en-GB"/>
        </w:rPr>
        <w:t>s</w:t>
      </w:r>
      <w:r w:rsidRPr="00BC4C21">
        <w:rPr>
          <w:rFonts w:ascii="Arial" w:hAnsi="Arial" w:cs="Arial"/>
          <w:bCs/>
          <w:iCs/>
          <w:lang w:val="en-GB"/>
        </w:rPr>
        <w:t xml:space="preserve"> must at least be capacitated to the maximum of their current category</w:t>
      </w:r>
      <w:r>
        <w:rPr>
          <w:rFonts w:ascii="Arial" w:hAnsi="Arial" w:cs="Arial"/>
          <w:bCs/>
          <w:iCs/>
          <w:lang w:val="en-GB"/>
        </w:rPr>
        <w:t>,</w:t>
      </w:r>
      <w:r w:rsidRPr="00BC4C21">
        <w:rPr>
          <w:rFonts w:ascii="Arial" w:hAnsi="Arial" w:cs="Arial"/>
          <w:bCs/>
          <w:iCs/>
          <w:lang w:val="en-GB"/>
        </w:rPr>
        <w:t xml:space="preserve"> before they can be considered for upgrading (bottom-up approach). Due to the fact that the SAPS is not receiving additional posts, most of the qualifying police stations are upgraded without meeting this requirement (top-down approach)</w:t>
      </w:r>
      <w:r>
        <w:rPr>
          <w:rFonts w:ascii="Arial" w:hAnsi="Arial" w:cs="Arial"/>
          <w:bCs/>
          <w:iCs/>
          <w:lang w:val="en-GB"/>
        </w:rPr>
        <w:t>,</w:t>
      </w:r>
      <w:r w:rsidRPr="00BC4C21">
        <w:rPr>
          <w:rFonts w:ascii="Arial" w:hAnsi="Arial" w:cs="Arial"/>
          <w:bCs/>
          <w:iCs/>
          <w:lang w:val="en-GB"/>
        </w:rPr>
        <w:t xml:space="preserve"> hence the majority of police stations are not capaci</w:t>
      </w:r>
      <w:r>
        <w:rPr>
          <w:rFonts w:ascii="Arial" w:hAnsi="Arial" w:cs="Arial"/>
          <w:bCs/>
          <w:iCs/>
          <w:lang w:val="en-GB"/>
        </w:rPr>
        <w:t>t</w:t>
      </w:r>
      <w:r w:rsidRPr="00BC4C21">
        <w:rPr>
          <w:rFonts w:ascii="Arial" w:hAnsi="Arial" w:cs="Arial"/>
          <w:bCs/>
          <w:iCs/>
          <w:lang w:val="en-GB"/>
        </w:rPr>
        <w:t>ated at their minimum requirements.</w:t>
      </w:r>
    </w:p>
    <w:p w:rsidR="000B1C2B" w:rsidRPr="00BC4C21" w:rsidRDefault="000B1C2B" w:rsidP="000B1C2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0B1C2B" w:rsidRDefault="000B1C2B" w:rsidP="000B1C2B">
      <w:pPr>
        <w:ind w:left="720" w:hanging="720"/>
        <w:rPr>
          <w:rFonts w:ascii="Arial" w:hAnsi="Arial" w:cs="Arial"/>
          <w:color w:val="FF0000"/>
        </w:rPr>
      </w:pPr>
    </w:p>
    <w:p w:rsidR="000B1C2B" w:rsidRDefault="000B1C2B" w:rsidP="000B1C2B">
      <w:pPr>
        <w:ind w:left="720" w:hanging="720"/>
        <w:rPr>
          <w:rFonts w:ascii="Arial" w:hAnsi="Arial" w:cs="Arial"/>
          <w:color w:val="FF0000"/>
        </w:rPr>
      </w:pPr>
    </w:p>
    <w:p w:rsidR="000B1C2B" w:rsidRDefault="000B1C2B" w:rsidP="000B1C2B">
      <w:pPr>
        <w:ind w:left="720" w:hanging="720"/>
        <w:rPr>
          <w:rFonts w:ascii="Arial" w:hAnsi="Arial" w:cs="Arial"/>
          <w:color w:val="FF0000"/>
        </w:rPr>
      </w:pPr>
    </w:p>
    <w:p w:rsidR="000B1C2B" w:rsidRDefault="000B1C2B" w:rsidP="000B1C2B">
      <w:pPr>
        <w:ind w:left="720" w:hanging="720"/>
        <w:rPr>
          <w:rFonts w:ascii="Arial" w:hAnsi="Arial" w:cs="Arial"/>
          <w:color w:val="FF0000"/>
        </w:rPr>
      </w:pPr>
    </w:p>
    <w:p w:rsidR="000B1C2B" w:rsidRDefault="000B1C2B" w:rsidP="000B1C2B">
      <w:pPr>
        <w:ind w:left="720" w:hanging="720"/>
        <w:rPr>
          <w:rFonts w:ascii="Arial" w:hAnsi="Arial" w:cs="Arial"/>
          <w:color w:val="FF0000"/>
        </w:rPr>
      </w:pPr>
    </w:p>
    <w:p w:rsidR="000B1C2B" w:rsidRPr="00446109" w:rsidRDefault="000B1C2B" w:rsidP="000B1C2B">
      <w:pPr>
        <w:rPr>
          <w:rFonts w:ascii="Arial" w:hAnsi="Arial" w:cs="Arial"/>
        </w:rPr>
      </w:pPr>
      <w:bookmarkStart w:id="0" w:name="_GoBack"/>
      <w:bookmarkEnd w:id="0"/>
    </w:p>
    <w:p w:rsidR="00DE5B4E" w:rsidRPr="00D2339D" w:rsidRDefault="00DE5B4E" w:rsidP="000B1C2B">
      <w:pPr>
        <w:outlineLvl w:val="0"/>
        <w:rPr>
          <w:rFonts w:ascii="Arial" w:hAnsi="Arial" w:cs="Arial"/>
        </w:rPr>
      </w:pPr>
      <w:r w:rsidRPr="00D2339D">
        <w:rPr>
          <w:rFonts w:ascii="Arial" w:hAnsi="Arial" w:cs="Arial"/>
        </w:rPr>
        <w:t xml:space="preserve"> </w:t>
      </w: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4A" w:rsidRDefault="0027614A" w:rsidP="00020C8A">
      <w:r>
        <w:separator/>
      </w:r>
    </w:p>
  </w:endnote>
  <w:endnote w:type="continuationSeparator" w:id="0">
    <w:p w:rsidR="0027614A" w:rsidRDefault="0027614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4A" w:rsidRDefault="0027614A" w:rsidP="00020C8A">
      <w:r>
        <w:separator/>
      </w:r>
    </w:p>
  </w:footnote>
  <w:footnote w:type="continuationSeparator" w:id="0">
    <w:p w:rsidR="0027614A" w:rsidRDefault="0027614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7614A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2017-10-10T15:40:00Z</dcterms:created>
  <dcterms:modified xsi:type="dcterms:W3CDTF">2017-10-10T15:40:00Z</dcterms:modified>
</cp:coreProperties>
</file>