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70"/>
        <w:rPr>
          <w:rFonts w:ascii="Times New Roman"/>
          <w:sz w:val="20"/>
        </w:rPr>
      </w:pPr>
      <w:r>
        <w:rPr>
          <w:rFonts w:ascii="Times New Roman"/>
          <w:sz w:val="20"/>
        </w:rPr>
        <w:drawing>
          <wp:inline distT="0" distB="0" distL="0" distR="0">
            <wp:extent cx="1321829" cy="737234"/>
            <wp:effectExtent l="0" t="0" r="0" b="0"/>
            <wp:docPr id="1" name="image1.jpeg" descr="http://www.gov.za/3dcoatl.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21829" cy="737234"/>
                    </a:xfrm>
                    <a:prstGeom prst="rect">
                      <a:avLst/>
                    </a:prstGeom>
                  </pic:spPr>
                </pic:pic>
              </a:graphicData>
            </a:graphic>
          </wp:inline>
        </w:drawing>
      </w:r>
      <w:r>
        <w:rPr>
          <w:rFonts w:ascii="Times New Roman"/>
          <w:sz w:val="20"/>
        </w:rPr>
      </w:r>
    </w:p>
    <w:p>
      <w:pPr>
        <w:pStyle w:val="BodyText"/>
        <w:spacing w:before="4"/>
        <w:rPr>
          <w:rFonts w:ascii="Times New Roman"/>
          <w:sz w:val="18"/>
        </w:rPr>
      </w:pPr>
    </w:p>
    <w:p>
      <w:pPr>
        <w:spacing w:before="94"/>
        <w:ind w:left="3251" w:right="3113" w:firstLine="0"/>
        <w:jc w:val="center"/>
        <w:rPr>
          <w:rFonts w:ascii="Arial"/>
          <w:b/>
          <w:sz w:val="22"/>
        </w:rPr>
      </w:pPr>
      <w:r>
        <w:rPr>
          <w:rFonts w:ascii="Arial"/>
          <w:b/>
          <w:sz w:val="22"/>
        </w:rPr>
        <w:t>DEPARTMENT: PUBLIC ENTERPRISES REPUBLIC OF SOUTH AFRICA</w:t>
      </w:r>
    </w:p>
    <w:p>
      <w:pPr>
        <w:pStyle w:val="BodyText"/>
        <w:spacing w:before="1"/>
        <w:rPr>
          <w:rFonts w:ascii="Arial"/>
          <w:b/>
          <w:sz w:val="22"/>
        </w:rPr>
      </w:pPr>
    </w:p>
    <w:p>
      <w:pPr>
        <w:spacing w:before="1"/>
        <w:ind w:left="3534" w:right="3392" w:firstLine="2"/>
        <w:jc w:val="center"/>
        <w:rPr>
          <w:rFonts w:ascii="Arial"/>
          <w:b/>
          <w:sz w:val="22"/>
        </w:rPr>
      </w:pPr>
      <w:r>
        <w:rPr>
          <w:rFonts w:ascii="Arial"/>
          <w:b/>
          <w:sz w:val="22"/>
        </w:rPr>
        <w:t>NATIONAL ASSEMBLY QUESTION FOR WRITTEN REPLY QUESTION NO 2329</w:t>
      </w:r>
    </w:p>
    <w:p>
      <w:pPr>
        <w:pStyle w:val="BodyText"/>
        <w:spacing w:before="9"/>
        <w:rPr>
          <w:rFonts w:ascii="Arial"/>
          <w:b/>
          <w:sz w:val="21"/>
        </w:rPr>
      </w:pPr>
    </w:p>
    <w:p>
      <w:pPr>
        <w:spacing w:before="1"/>
        <w:ind w:left="980" w:right="0" w:firstLine="0"/>
        <w:jc w:val="left"/>
        <w:rPr>
          <w:rFonts w:ascii="Arial"/>
          <w:b/>
          <w:sz w:val="22"/>
        </w:rPr>
      </w:pPr>
      <w:r>
        <w:rPr>
          <w:rFonts w:ascii="Arial"/>
          <w:b/>
          <w:sz w:val="22"/>
          <w:u w:val="thick"/>
        </w:rPr>
        <w:t>QUESTION:</w:t>
      </w:r>
    </w:p>
    <w:p>
      <w:pPr>
        <w:pStyle w:val="BodyText"/>
        <w:spacing w:before="9"/>
        <w:rPr>
          <w:rFonts w:ascii="Arial"/>
          <w:b/>
        </w:rPr>
      </w:pPr>
    </w:p>
    <w:p>
      <w:pPr>
        <w:spacing w:before="0"/>
        <w:ind w:left="980" w:right="0" w:firstLine="0"/>
        <w:jc w:val="left"/>
        <w:rPr>
          <w:b/>
          <w:sz w:val="24"/>
        </w:rPr>
      </w:pPr>
      <w:r>
        <w:rPr>
          <w:b/>
          <w:sz w:val="24"/>
        </w:rPr>
        <w:t>2329. Mr. A G Whitfield (DA) to ask the Minister of Public Enterprises:</w:t>
      </w:r>
    </w:p>
    <w:p>
      <w:pPr>
        <w:pStyle w:val="BodyText"/>
        <w:spacing w:before="1"/>
        <w:rPr>
          <w:b/>
          <w:sz w:val="23"/>
        </w:rPr>
      </w:pPr>
    </w:p>
    <w:p>
      <w:pPr>
        <w:pStyle w:val="ListParagraph"/>
        <w:numPr>
          <w:ilvl w:val="0"/>
          <w:numId w:val="1"/>
        </w:numPr>
        <w:tabs>
          <w:tab w:pos="2421" w:val="left" w:leader="none"/>
        </w:tabs>
        <w:spacing w:line="240" w:lineRule="auto" w:before="0" w:after="0"/>
        <w:ind w:left="2420" w:right="838" w:hanging="720"/>
        <w:jc w:val="both"/>
        <w:rPr>
          <w:sz w:val="24"/>
        </w:rPr>
      </w:pPr>
      <w:r>
        <w:rPr>
          <w:sz w:val="24"/>
        </w:rPr>
        <w:t>What (a) is the total number of private logistics companies contracted to provide transport services for manganese ore to the port of Port Elizabeth, (ii) volume of manganese ore is transported by road, (b) are the details of the logistics companies transporting manganese ore including the total number of trucks used by each company, (c) is the total value of the contracts for transporting manganese ore by road and (d) is the frequency rate of trucks arriving with manganese ore in the port of Port Elizabeth for each financial year since 1 April</w:t>
      </w:r>
      <w:r>
        <w:rPr>
          <w:spacing w:val="-2"/>
          <w:sz w:val="24"/>
        </w:rPr>
        <w:t> </w:t>
      </w:r>
      <w:r>
        <w:rPr>
          <w:sz w:val="24"/>
        </w:rPr>
        <w:t>2015;</w:t>
      </w:r>
    </w:p>
    <w:p>
      <w:pPr>
        <w:pStyle w:val="BodyText"/>
        <w:spacing w:before="3"/>
        <w:rPr>
          <w:sz w:val="23"/>
        </w:rPr>
      </w:pPr>
    </w:p>
    <w:p>
      <w:pPr>
        <w:pStyle w:val="ListParagraph"/>
        <w:numPr>
          <w:ilvl w:val="0"/>
          <w:numId w:val="1"/>
        </w:numPr>
        <w:tabs>
          <w:tab w:pos="2421" w:val="left" w:leader="none"/>
        </w:tabs>
        <w:spacing w:line="240" w:lineRule="auto" w:before="0" w:after="0"/>
        <w:ind w:left="2420" w:right="839" w:hanging="720"/>
        <w:jc w:val="both"/>
        <w:rPr>
          <w:sz w:val="24"/>
        </w:rPr>
      </w:pPr>
      <w:r>
        <w:rPr>
          <w:sz w:val="24"/>
        </w:rPr>
        <w:t>What is the (a) total number of trains used to transport manganese ore to the port of Port Elizabeth, (b) volume of manganese ore that is transported by rail, (c) frequency of trains arriving with manganese ore in Port Elizabeth and (d) total cost to the department of transporting manganese ore by rail to the port of Port Elizabeth for each financial year since 1 April</w:t>
      </w:r>
      <w:r>
        <w:rPr>
          <w:spacing w:val="-8"/>
          <w:sz w:val="24"/>
        </w:rPr>
        <w:t> </w:t>
      </w:r>
      <w:r>
        <w:rPr>
          <w:sz w:val="24"/>
        </w:rPr>
        <w:t>2015?</w:t>
      </w:r>
    </w:p>
    <w:p>
      <w:pPr>
        <w:spacing w:after="0" w:line="240" w:lineRule="auto"/>
        <w:jc w:val="both"/>
        <w:rPr>
          <w:sz w:val="24"/>
        </w:rPr>
        <w:sectPr>
          <w:footerReference w:type="default" r:id="rId5"/>
          <w:type w:val="continuous"/>
          <w:pgSz w:w="12240" w:h="15840"/>
          <w:pgMar w:footer="674" w:top="1100" w:bottom="860" w:left="820" w:right="960"/>
          <w:pgNumType w:start="1"/>
        </w:sectPr>
      </w:pPr>
    </w:p>
    <w:p>
      <w:pPr>
        <w:spacing w:before="74"/>
        <w:ind w:left="980" w:right="0" w:firstLine="0"/>
        <w:jc w:val="left"/>
        <w:rPr>
          <w:b/>
          <w:sz w:val="22"/>
        </w:rPr>
      </w:pPr>
      <w:r>
        <w:rPr>
          <w:b/>
          <w:sz w:val="22"/>
          <w:u w:val="thick"/>
        </w:rPr>
        <w:t>REPLY:</w:t>
      </w:r>
    </w:p>
    <w:p>
      <w:pPr>
        <w:pStyle w:val="BodyText"/>
        <w:spacing w:before="10"/>
        <w:rPr>
          <w:b/>
          <w:sz w:val="14"/>
        </w:rPr>
      </w:pPr>
    </w:p>
    <w:p>
      <w:pPr>
        <w:spacing w:before="101"/>
        <w:ind w:left="553" w:right="0" w:firstLine="0"/>
        <w:jc w:val="left"/>
        <w:rPr>
          <w:b/>
          <w:sz w:val="22"/>
        </w:rPr>
      </w:pPr>
      <w:r>
        <w:rPr>
          <w:b/>
          <w:sz w:val="22"/>
        </w:rPr>
        <w:t>According to the information received from Transnet:</w:t>
      </w:r>
    </w:p>
    <w:p>
      <w:pPr>
        <w:pStyle w:val="BodyText"/>
        <w:spacing w:before="5"/>
        <w:rPr>
          <w:b/>
          <w:sz w:val="23"/>
        </w:r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6"/>
        <w:gridCol w:w="3404"/>
        <w:gridCol w:w="3118"/>
        <w:gridCol w:w="2552"/>
      </w:tblGrid>
      <w:tr>
        <w:trPr>
          <w:trHeight w:val="241" w:hRule="atLeast"/>
        </w:trPr>
        <w:tc>
          <w:tcPr>
            <w:tcW w:w="10210" w:type="dxa"/>
            <w:gridSpan w:val="4"/>
            <w:shd w:val="clear" w:color="auto" w:fill="ADAAAA"/>
          </w:tcPr>
          <w:p>
            <w:pPr>
              <w:pStyle w:val="TableParagraph"/>
              <w:spacing w:line="222" w:lineRule="exact"/>
              <w:ind w:left="2454" w:right="2443"/>
              <w:jc w:val="center"/>
              <w:rPr>
                <w:b/>
                <w:sz w:val="20"/>
              </w:rPr>
            </w:pPr>
            <w:r>
              <w:rPr>
                <w:b/>
                <w:sz w:val="20"/>
              </w:rPr>
              <w:t>REPLY TO NA PARLIAMENTARY QUESTION No. 2329</w:t>
            </w:r>
          </w:p>
        </w:tc>
      </w:tr>
      <w:tr>
        <w:trPr>
          <w:trHeight w:val="481" w:hRule="atLeast"/>
        </w:trPr>
        <w:tc>
          <w:tcPr>
            <w:tcW w:w="1136" w:type="dxa"/>
            <w:tcBorders>
              <w:top w:val="single" w:sz="4" w:space="0" w:color="000000"/>
            </w:tcBorders>
            <w:shd w:val="clear" w:color="auto" w:fill="ADAAAA"/>
          </w:tcPr>
          <w:p>
            <w:pPr>
              <w:pStyle w:val="TableParagraph"/>
              <w:spacing w:line="240" w:lineRule="exact" w:before="6"/>
              <w:rPr>
                <w:b/>
                <w:sz w:val="20"/>
              </w:rPr>
            </w:pPr>
            <w:r>
              <w:rPr>
                <w:b/>
                <w:w w:val="95"/>
                <w:sz w:val="20"/>
              </w:rPr>
              <w:t>Question </w:t>
            </w:r>
            <w:r>
              <w:rPr>
                <w:b/>
                <w:sz w:val="20"/>
              </w:rPr>
              <w:t>No.</w:t>
            </w:r>
          </w:p>
        </w:tc>
        <w:tc>
          <w:tcPr>
            <w:tcW w:w="3404" w:type="dxa"/>
            <w:shd w:val="clear" w:color="auto" w:fill="ADAAAA"/>
          </w:tcPr>
          <w:p>
            <w:pPr>
              <w:pStyle w:val="TableParagraph"/>
              <w:spacing w:line="240" w:lineRule="exact"/>
              <w:ind w:left="1230" w:right="1215"/>
              <w:jc w:val="center"/>
              <w:rPr>
                <w:b/>
                <w:sz w:val="20"/>
              </w:rPr>
            </w:pPr>
            <w:r>
              <w:rPr>
                <w:b/>
                <w:sz w:val="20"/>
              </w:rPr>
              <w:t>Question</w:t>
            </w:r>
          </w:p>
        </w:tc>
        <w:tc>
          <w:tcPr>
            <w:tcW w:w="5670" w:type="dxa"/>
            <w:gridSpan w:val="2"/>
            <w:shd w:val="clear" w:color="auto" w:fill="ADAAAA"/>
          </w:tcPr>
          <w:p>
            <w:pPr>
              <w:pStyle w:val="TableParagraph"/>
              <w:spacing w:line="240" w:lineRule="exact"/>
              <w:ind w:left="2329" w:right="2314"/>
              <w:jc w:val="center"/>
              <w:rPr>
                <w:b/>
                <w:sz w:val="20"/>
              </w:rPr>
            </w:pPr>
            <w:r>
              <w:rPr>
                <w:b/>
                <w:sz w:val="20"/>
              </w:rPr>
              <w:t>Response</w:t>
            </w:r>
          </w:p>
        </w:tc>
      </w:tr>
      <w:tr>
        <w:trPr>
          <w:trHeight w:val="1440" w:hRule="atLeast"/>
        </w:trPr>
        <w:tc>
          <w:tcPr>
            <w:tcW w:w="1136" w:type="dxa"/>
            <w:vMerge w:val="restart"/>
            <w:tcBorders>
              <w:right w:val="single" w:sz="12" w:space="0" w:color="000000"/>
            </w:tcBorders>
          </w:tcPr>
          <w:p>
            <w:pPr>
              <w:pStyle w:val="TableParagraph"/>
              <w:spacing w:line="236" w:lineRule="exact"/>
              <w:ind w:left="25"/>
              <w:jc w:val="center"/>
              <w:rPr>
                <w:sz w:val="20"/>
              </w:rPr>
            </w:pPr>
            <w:r>
              <w:rPr>
                <w:w w:val="99"/>
                <w:sz w:val="20"/>
              </w:rPr>
              <w:t>1</w:t>
            </w:r>
          </w:p>
        </w:tc>
        <w:tc>
          <w:tcPr>
            <w:tcW w:w="3404" w:type="dxa"/>
            <w:tcBorders>
              <w:bottom w:val="single" w:sz="4" w:space="0" w:color="000000"/>
            </w:tcBorders>
          </w:tcPr>
          <w:p>
            <w:pPr>
              <w:pStyle w:val="TableParagraph"/>
              <w:ind w:right="46"/>
              <w:rPr>
                <w:sz w:val="20"/>
              </w:rPr>
            </w:pPr>
            <w:r>
              <w:rPr>
                <w:sz w:val="20"/>
              </w:rPr>
              <w:t>What (a) (i) is the total number of private logistics companies contracted to provide transport services for Manganese Ore to the port of Port Elizabeth?</w:t>
            </w:r>
          </w:p>
        </w:tc>
        <w:tc>
          <w:tcPr>
            <w:tcW w:w="5670" w:type="dxa"/>
            <w:gridSpan w:val="2"/>
            <w:tcBorders>
              <w:bottom w:val="single" w:sz="4" w:space="0" w:color="000000"/>
            </w:tcBorders>
          </w:tcPr>
          <w:p>
            <w:pPr>
              <w:pStyle w:val="TableParagraph"/>
              <w:spacing w:line="236" w:lineRule="exact"/>
              <w:rPr>
                <w:sz w:val="20"/>
              </w:rPr>
            </w:pPr>
            <w:r>
              <w:rPr>
                <w:b/>
                <w:sz w:val="20"/>
              </w:rPr>
              <w:t>Total No</w:t>
            </w:r>
            <w:r>
              <w:rPr>
                <w:sz w:val="20"/>
              </w:rPr>
              <w:t>: 4</w:t>
            </w:r>
          </w:p>
        </w:tc>
      </w:tr>
      <w:tr>
        <w:trPr>
          <w:trHeight w:val="1207" w:hRule="atLeast"/>
        </w:trPr>
        <w:tc>
          <w:tcPr>
            <w:tcW w:w="1136" w:type="dxa"/>
            <w:vMerge/>
            <w:tcBorders>
              <w:top w:val="nil"/>
              <w:right w:val="single" w:sz="12" w:space="0" w:color="000000"/>
            </w:tcBorders>
          </w:tcPr>
          <w:p>
            <w:pPr>
              <w:rPr>
                <w:sz w:val="2"/>
                <w:szCs w:val="2"/>
              </w:rPr>
            </w:pPr>
          </w:p>
        </w:tc>
        <w:tc>
          <w:tcPr>
            <w:tcW w:w="3404" w:type="dxa"/>
            <w:tcBorders>
              <w:top w:val="single" w:sz="4" w:space="0" w:color="000000"/>
              <w:bottom w:val="single" w:sz="4" w:space="0" w:color="000000"/>
            </w:tcBorders>
          </w:tcPr>
          <w:p>
            <w:pPr>
              <w:pStyle w:val="TableParagraph"/>
              <w:spacing w:before="3"/>
              <w:ind w:right="46"/>
              <w:rPr>
                <w:sz w:val="20"/>
              </w:rPr>
            </w:pPr>
            <w:r>
              <w:rPr>
                <w:sz w:val="20"/>
              </w:rPr>
              <w:t>What (a) (ii) volume of manganese ore is transported by road?</w:t>
            </w:r>
          </w:p>
        </w:tc>
        <w:tc>
          <w:tcPr>
            <w:tcW w:w="5670" w:type="dxa"/>
            <w:gridSpan w:val="2"/>
            <w:tcBorders>
              <w:top w:val="single" w:sz="4" w:space="0" w:color="000000"/>
              <w:bottom w:val="single" w:sz="4" w:space="0" w:color="000000"/>
            </w:tcBorders>
          </w:tcPr>
          <w:p>
            <w:pPr>
              <w:pStyle w:val="TableParagraph"/>
              <w:spacing w:before="3"/>
              <w:rPr>
                <w:sz w:val="20"/>
              </w:rPr>
            </w:pPr>
            <w:r>
              <w:rPr>
                <w:b/>
                <w:sz w:val="20"/>
              </w:rPr>
              <w:t>Volume</w:t>
            </w:r>
            <w:r>
              <w:rPr>
                <w:sz w:val="20"/>
              </w:rPr>
              <w:t>:</w:t>
            </w:r>
          </w:p>
          <w:p>
            <w:pPr>
              <w:pStyle w:val="TableParagraph"/>
              <w:spacing w:line="241" w:lineRule="exact" w:before="1"/>
              <w:rPr>
                <w:sz w:val="20"/>
              </w:rPr>
            </w:pPr>
            <w:r>
              <w:rPr>
                <w:sz w:val="20"/>
              </w:rPr>
              <w:t>Year:18/19: 500 000 Tonnes</w:t>
            </w:r>
          </w:p>
          <w:p>
            <w:pPr>
              <w:pStyle w:val="TableParagraph"/>
              <w:spacing w:line="241" w:lineRule="exact"/>
              <w:rPr>
                <w:sz w:val="20"/>
              </w:rPr>
            </w:pPr>
            <w:r>
              <w:rPr>
                <w:sz w:val="20"/>
              </w:rPr>
              <w:t>Year: 19/20: 2,100 000</w:t>
            </w:r>
            <w:r>
              <w:rPr>
                <w:spacing w:val="-17"/>
                <w:sz w:val="20"/>
              </w:rPr>
              <w:t> </w:t>
            </w:r>
            <w:r>
              <w:rPr>
                <w:sz w:val="20"/>
              </w:rPr>
              <w:t>Tonnes</w:t>
            </w:r>
          </w:p>
          <w:p>
            <w:pPr>
              <w:pStyle w:val="TableParagraph"/>
              <w:spacing w:before="2"/>
              <w:rPr>
                <w:sz w:val="20"/>
              </w:rPr>
            </w:pPr>
            <w:r>
              <w:rPr>
                <w:sz w:val="20"/>
              </w:rPr>
              <w:t>Year: 20/21: 3,500 000</w:t>
            </w:r>
            <w:r>
              <w:rPr>
                <w:spacing w:val="-17"/>
                <w:sz w:val="20"/>
              </w:rPr>
              <w:t> </w:t>
            </w:r>
            <w:r>
              <w:rPr>
                <w:sz w:val="20"/>
              </w:rPr>
              <w:t>Tonnes</w:t>
            </w:r>
          </w:p>
        </w:tc>
      </w:tr>
      <w:tr>
        <w:trPr>
          <w:trHeight w:val="289" w:hRule="atLeast"/>
        </w:trPr>
        <w:tc>
          <w:tcPr>
            <w:tcW w:w="1136" w:type="dxa"/>
            <w:vMerge/>
            <w:tcBorders>
              <w:top w:val="nil"/>
              <w:right w:val="single" w:sz="12" w:space="0" w:color="000000"/>
            </w:tcBorders>
          </w:tcPr>
          <w:p>
            <w:pPr>
              <w:rPr>
                <w:sz w:val="2"/>
                <w:szCs w:val="2"/>
              </w:rPr>
            </w:pPr>
          </w:p>
        </w:tc>
        <w:tc>
          <w:tcPr>
            <w:tcW w:w="3404" w:type="dxa"/>
            <w:vMerge w:val="restart"/>
            <w:tcBorders>
              <w:top w:val="single" w:sz="4" w:space="0" w:color="000000"/>
              <w:bottom w:val="single" w:sz="4" w:space="0" w:color="000000"/>
            </w:tcBorders>
          </w:tcPr>
          <w:p>
            <w:pPr>
              <w:pStyle w:val="TableParagraph"/>
              <w:spacing w:before="3"/>
              <w:ind w:right="247"/>
              <w:rPr>
                <w:sz w:val="20"/>
              </w:rPr>
            </w:pPr>
            <w:r>
              <w:rPr>
                <w:sz w:val="20"/>
              </w:rPr>
              <w:t>What (b) are the details of the logistics companies transporting manganese ore including the total number of trucks used by each company?</w:t>
            </w:r>
          </w:p>
        </w:tc>
        <w:tc>
          <w:tcPr>
            <w:tcW w:w="3118" w:type="dxa"/>
            <w:tcBorders>
              <w:top w:val="single" w:sz="4" w:space="0" w:color="000000"/>
              <w:bottom w:val="single" w:sz="4" w:space="0" w:color="000000"/>
              <w:right w:val="single" w:sz="4" w:space="0" w:color="000000"/>
            </w:tcBorders>
            <w:shd w:val="clear" w:color="auto" w:fill="ADAAAA"/>
          </w:tcPr>
          <w:p>
            <w:pPr>
              <w:pStyle w:val="TableParagraph"/>
              <w:spacing w:before="3"/>
              <w:rPr>
                <w:b/>
                <w:sz w:val="20"/>
              </w:rPr>
            </w:pPr>
            <w:r>
              <w:rPr>
                <w:b/>
                <w:sz w:val="20"/>
              </w:rPr>
              <w:t>Name of Company</w:t>
            </w:r>
          </w:p>
        </w:tc>
        <w:tc>
          <w:tcPr>
            <w:tcW w:w="2552" w:type="dxa"/>
            <w:tcBorders>
              <w:top w:val="single" w:sz="4" w:space="0" w:color="000000"/>
              <w:left w:val="single" w:sz="4" w:space="0" w:color="000000"/>
              <w:bottom w:val="single" w:sz="4" w:space="0" w:color="000000"/>
            </w:tcBorders>
            <w:shd w:val="clear" w:color="auto" w:fill="ADAAAA"/>
          </w:tcPr>
          <w:p>
            <w:pPr>
              <w:pStyle w:val="TableParagraph"/>
              <w:spacing w:before="3"/>
              <w:ind w:left="112"/>
              <w:rPr>
                <w:b/>
                <w:sz w:val="20"/>
              </w:rPr>
            </w:pPr>
            <w:r>
              <w:rPr>
                <w:b/>
                <w:sz w:val="20"/>
              </w:rPr>
              <w:t>Number of trucks used</w:t>
            </w:r>
          </w:p>
        </w:tc>
      </w:tr>
      <w:tr>
        <w:trPr>
          <w:trHeight w:val="1448" w:hRule="atLeast"/>
        </w:trPr>
        <w:tc>
          <w:tcPr>
            <w:tcW w:w="1136" w:type="dxa"/>
            <w:vMerge/>
            <w:tcBorders>
              <w:top w:val="nil"/>
              <w:right w:val="single" w:sz="12" w:space="0" w:color="000000"/>
            </w:tcBorders>
          </w:tcPr>
          <w:p>
            <w:pPr>
              <w:rPr>
                <w:sz w:val="2"/>
                <w:szCs w:val="2"/>
              </w:rPr>
            </w:pPr>
          </w:p>
        </w:tc>
        <w:tc>
          <w:tcPr>
            <w:tcW w:w="3404" w:type="dxa"/>
            <w:vMerge/>
            <w:tcBorders>
              <w:top w:val="nil"/>
              <w:bottom w:val="single" w:sz="4" w:space="0" w:color="000000"/>
            </w:tcBorders>
          </w:tcPr>
          <w:p>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pPr>
              <w:pStyle w:val="TableParagraph"/>
              <w:numPr>
                <w:ilvl w:val="0"/>
                <w:numId w:val="2"/>
              </w:numPr>
              <w:tabs>
                <w:tab w:pos="359" w:val="left" w:leader="none"/>
              </w:tabs>
              <w:spacing w:line="241" w:lineRule="exact" w:before="6" w:after="0"/>
              <w:ind w:left="358" w:right="0" w:hanging="247"/>
              <w:jc w:val="left"/>
              <w:rPr>
                <w:sz w:val="20"/>
              </w:rPr>
            </w:pPr>
            <w:r>
              <w:rPr>
                <w:sz w:val="20"/>
              </w:rPr>
              <w:t>Tradekor</w:t>
            </w:r>
          </w:p>
          <w:p>
            <w:pPr>
              <w:pStyle w:val="TableParagraph"/>
              <w:numPr>
                <w:ilvl w:val="0"/>
                <w:numId w:val="2"/>
              </w:numPr>
              <w:tabs>
                <w:tab w:pos="359" w:val="left" w:leader="none"/>
              </w:tabs>
              <w:spacing w:line="241" w:lineRule="exact" w:before="0" w:after="0"/>
              <w:ind w:left="358" w:right="0" w:hanging="247"/>
              <w:jc w:val="left"/>
              <w:rPr>
                <w:sz w:val="20"/>
              </w:rPr>
            </w:pPr>
            <w:r>
              <w:rPr>
                <w:sz w:val="20"/>
              </w:rPr>
              <w:t>Autoforce</w:t>
            </w:r>
          </w:p>
          <w:p>
            <w:pPr>
              <w:pStyle w:val="TableParagraph"/>
              <w:numPr>
                <w:ilvl w:val="0"/>
                <w:numId w:val="2"/>
              </w:numPr>
              <w:tabs>
                <w:tab w:pos="359" w:val="left" w:leader="none"/>
              </w:tabs>
              <w:spacing w:line="241" w:lineRule="exact" w:before="1" w:after="0"/>
              <w:ind w:left="358" w:right="0" w:hanging="247"/>
              <w:jc w:val="left"/>
              <w:rPr>
                <w:sz w:val="20"/>
              </w:rPr>
            </w:pPr>
            <w:r>
              <w:rPr>
                <w:sz w:val="20"/>
              </w:rPr>
              <w:t>Black Magic</w:t>
            </w:r>
          </w:p>
          <w:p>
            <w:pPr>
              <w:pStyle w:val="TableParagraph"/>
              <w:numPr>
                <w:ilvl w:val="0"/>
                <w:numId w:val="2"/>
              </w:numPr>
              <w:tabs>
                <w:tab w:pos="359" w:val="left" w:leader="none"/>
              </w:tabs>
              <w:spacing w:line="241" w:lineRule="exact" w:before="0" w:after="0"/>
              <w:ind w:left="358" w:right="0" w:hanging="247"/>
              <w:jc w:val="left"/>
              <w:rPr>
                <w:sz w:val="20"/>
              </w:rPr>
            </w:pPr>
            <w:r>
              <w:rPr>
                <w:sz w:val="20"/>
              </w:rPr>
              <w:t>Nexus</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241" w:lineRule="exact" w:before="6"/>
              <w:ind w:left="112"/>
              <w:rPr>
                <w:sz w:val="20"/>
              </w:rPr>
            </w:pPr>
            <w:r>
              <w:rPr>
                <w:sz w:val="20"/>
              </w:rPr>
              <w:t>1)</w:t>
            </w:r>
            <w:r>
              <w:rPr>
                <w:spacing w:val="-4"/>
                <w:sz w:val="20"/>
              </w:rPr>
              <w:t> </w:t>
            </w:r>
            <w:r>
              <w:rPr>
                <w:sz w:val="20"/>
              </w:rPr>
              <w:t>200</w:t>
            </w:r>
          </w:p>
          <w:p>
            <w:pPr>
              <w:pStyle w:val="TableParagraph"/>
              <w:spacing w:line="241" w:lineRule="exact"/>
              <w:ind w:left="112"/>
              <w:rPr>
                <w:sz w:val="20"/>
              </w:rPr>
            </w:pPr>
            <w:r>
              <w:rPr>
                <w:sz w:val="20"/>
              </w:rPr>
              <w:t>2)</w:t>
            </w:r>
            <w:r>
              <w:rPr>
                <w:spacing w:val="-4"/>
                <w:sz w:val="20"/>
              </w:rPr>
              <w:t> </w:t>
            </w:r>
            <w:r>
              <w:rPr>
                <w:sz w:val="20"/>
              </w:rPr>
              <w:t>100</w:t>
            </w:r>
          </w:p>
          <w:p>
            <w:pPr>
              <w:pStyle w:val="TableParagraph"/>
              <w:spacing w:line="241" w:lineRule="exact" w:before="1"/>
              <w:ind w:left="112"/>
              <w:rPr>
                <w:sz w:val="20"/>
              </w:rPr>
            </w:pPr>
            <w:r>
              <w:rPr>
                <w:sz w:val="20"/>
              </w:rPr>
              <w:t>3)</w:t>
            </w:r>
            <w:r>
              <w:rPr>
                <w:spacing w:val="-4"/>
                <w:sz w:val="20"/>
              </w:rPr>
              <w:t> </w:t>
            </w:r>
            <w:r>
              <w:rPr>
                <w:sz w:val="20"/>
              </w:rPr>
              <w:t>150</w:t>
            </w:r>
          </w:p>
          <w:p>
            <w:pPr>
              <w:pStyle w:val="TableParagraph"/>
              <w:spacing w:line="241" w:lineRule="exact"/>
              <w:ind w:left="112"/>
              <w:rPr>
                <w:sz w:val="20"/>
              </w:rPr>
            </w:pPr>
            <w:r>
              <w:rPr>
                <w:sz w:val="20"/>
              </w:rPr>
              <w:t>4)</w:t>
            </w:r>
            <w:r>
              <w:rPr>
                <w:spacing w:val="-4"/>
                <w:sz w:val="20"/>
              </w:rPr>
              <w:t> </w:t>
            </w:r>
            <w:r>
              <w:rPr>
                <w:sz w:val="20"/>
              </w:rPr>
              <w:t>120</w:t>
            </w:r>
          </w:p>
        </w:tc>
      </w:tr>
      <w:tr>
        <w:trPr>
          <w:trHeight w:val="966" w:hRule="atLeast"/>
        </w:trPr>
        <w:tc>
          <w:tcPr>
            <w:tcW w:w="1136" w:type="dxa"/>
            <w:vMerge/>
            <w:tcBorders>
              <w:top w:val="nil"/>
              <w:right w:val="single" w:sz="12" w:space="0" w:color="000000"/>
            </w:tcBorders>
          </w:tcPr>
          <w:p>
            <w:pPr>
              <w:rPr>
                <w:sz w:val="2"/>
                <w:szCs w:val="2"/>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spacing w:before="3"/>
              <w:ind w:left="112" w:right="92"/>
              <w:rPr>
                <w:sz w:val="20"/>
              </w:rPr>
            </w:pPr>
            <w:r>
              <w:rPr>
                <w:sz w:val="20"/>
              </w:rPr>
              <w:t>What (c) is the total value of the contracts for transporting manganese ore by road?</w:t>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
              <w:ind w:left="112"/>
              <w:rPr>
                <w:sz w:val="20"/>
              </w:rPr>
            </w:pPr>
            <w:r>
              <w:rPr>
                <w:sz w:val="20"/>
              </w:rPr>
              <w:t>R 5 100 000(incl. Vat)</w:t>
            </w:r>
          </w:p>
        </w:tc>
      </w:tr>
      <w:tr>
        <w:trPr>
          <w:trHeight w:val="1931" w:hRule="atLeast"/>
        </w:trPr>
        <w:tc>
          <w:tcPr>
            <w:tcW w:w="1136" w:type="dxa"/>
            <w:vMerge/>
            <w:tcBorders>
              <w:top w:val="nil"/>
              <w:right w:val="single" w:sz="12" w:space="0" w:color="000000"/>
            </w:tcBorders>
          </w:tcPr>
          <w:p>
            <w:pPr>
              <w:rPr>
                <w:sz w:val="2"/>
                <w:szCs w:val="2"/>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spacing w:before="3"/>
              <w:ind w:left="112" w:right="92"/>
              <w:rPr>
                <w:sz w:val="20"/>
              </w:rPr>
            </w:pPr>
            <w:r>
              <w:rPr>
                <w:sz w:val="20"/>
              </w:rPr>
              <w:t>and what (d) is the frequency rate of trucks arriving with manganese ore in the port of Port Elizabeth for each financial year since 1 April 2015?</w:t>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
              <w:ind w:left="112"/>
              <w:rPr>
                <w:sz w:val="20"/>
              </w:rPr>
            </w:pPr>
            <w:r>
              <w:rPr>
                <w:sz w:val="20"/>
              </w:rPr>
              <w:t>April 2015: 30 - 50 Truck per</w:t>
            </w:r>
            <w:r>
              <w:rPr>
                <w:spacing w:val="-14"/>
                <w:sz w:val="20"/>
              </w:rPr>
              <w:t> </w:t>
            </w:r>
            <w:r>
              <w:rPr>
                <w:sz w:val="20"/>
              </w:rPr>
              <w:t>day</w:t>
            </w:r>
          </w:p>
          <w:p>
            <w:pPr>
              <w:pStyle w:val="TableParagraph"/>
              <w:spacing w:line="241" w:lineRule="exact" w:before="2"/>
              <w:ind w:left="112"/>
              <w:rPr>
                <w:sz w:val="20"/>
              </w:rPr>
            </w:pPr>
            <w:r>
              <w:rPr>
                <w:sz w:val="20"/>
              </w:rPr>
              <w:t>April 2016: 30 - 50 Truck per</w:t>
            </w:r>
            <w:r>
              <w:rPr>
                <w:spacing w:val="-13"/>
                <w:sz w:val="20"/>
              </w:rPr>
              <w:t> </w:t>
            </w:r>
            <w:r>
              <w:rPr>
                <w:sz w:val="20"/>
              </w:rPr>
              <w:t>day</w:t>
            </w:r>
          </w:p>
          <w:p>
            <w:pPr>
              <w:pStyle w:val="TableParagraph"/>
              <w:spacing w:line="241" w:lineRule="exact"/>
              <w:ind w:left="112"/>
              <w:rPr>
                <w:sz w:val="20"/>
              </w:rPr>
            </w:pPr>
            <w:r>
              <w:rPr>
                <w:sz w:val="20"/>
              </w:rPr>
              <w:t>April 2017: 30 - 50 Truck per</w:t>
            </w:r>
            <w:r>
              <w:rPr>
                <w:spacing w:val="-14"/>
                <w:sz w:val="20"/>
              </w:rPr>
              <w:t> </w:t>
            </w:r>
            <w:r>
              <w:rPr>
                <w:sz w:val="20"/>
              </w:rPr>
              <w:t>day</w:t>
            </w:r>
          </w:p>
          <w:p>
            <w:pPr>
              <w:pStyle w:val="TableParagraph"/>
              <w:spacing w:before="1"/>
              <w:ind w:left="112"/>
              <w:rPr>
                <w:sz w:val="20"/>
              </w:rPr>
            </w:pPr>
            <w:r>
              <w:rPr>
                <w:sz w:val="20"/>
              </w:rPr>
              <w:t>April 2018: 30 - 50 Truck per</w:t>
            </w:r>
            <w:r>
              <w:rPr>
                <w:spacing w:val="-14"/>
                <w:sz w:val="20"/>
              </w:rPr>
              <w:t> </w:t>
            </w:r>
            <w:r>
              <w:rPr>
                <w:sz w:val="20"/>
              </w:rPr>
              <w:t>day</w:t>
            </w:r>
          </w:p>
          <w:p>
            <w:pPr>
              <w:pStyle w:val="TableParagraph"/>
              <w:spacing w:line="241" w:lineRule="exact" w:before="1"/>
              <w:ind w:left="112"/>
              <w:rPr>
                <w:sz w:val="20"/>
              </w:rPr>
            </w:pPr>
            <w:r>
              <w:rPr>
                <w:sz w:val="20"/>
              </w:rPr>
              <w:t>April 2019: 30 - 50 Truck per</w:t>
            </w:r>
            <w:r>
              <w:rPr>
                <w:spacing w:val="-14"/>
                <w:sz w:val="20"/>
              </w:rPr>
              <w:t> </w:t>
            </w:r>
            <w:r>
              <w:rPr>
                <w:sz w:val="20"/>
              </w:rPr>
              <w:t>day</w:t>
            </w:r>
          </w:p>
          <w:p>
            <w:pPr>
              <w:pStyle w:val="TableParagraph"/>
              <w:spacing w:line="241" w:lineRule="exact"/>
              <w:ind w:left="112"/>
              <w:rPr>
                <w:sz w:val="20"/>
              </w:rPr>
            </w:pPr>
            <w:r>
              <w:rPr>
                <w:sz w:val="20"/>
              </w:rPr>
              <w:t>April 2020: 10 - 15 Truck per</w:t>
            </w:r>
            <w:r>
              <w:rPr>
                <w:spacing w:val="-14"/>
                <w:sz w:val="20"/>
              </w:rPr>
              <w:t> </w:t>
            </w:r>
            <w:r>
              <w:rPr>
                <w:sz w:val="20"/>
              </w:rPr>
              <w:t>day</w:t>
            </w:r>
          </w:p>
          <w:p>
            <w:pPr>
              <w:pStyle w:val="TableParagraph"/>
              <w:spacing w:before="1"/>
              <w:ind w:left="112"/>
              <w:rPr>
                <w:sz w:val="20"/>
              </w:rPr>
            </w:pPr>
            <w:r>
              <w:rPr>
                <w:sz w:val="20"/>
              </w:rPr>
              <w:t>April 2021: 10 - 15 Truck per</w:t>
            </w:r>
            <w:r>
              <w:rPr>
                <w:spacing w:val="-14"/>
                <w:sz w:val="20"/>
              </w:rPr>
              <w:t> </w:t>
            </w:r>
            <w:r>
              <w:rPr>
                <w:sz w:val="20"/>
              </w:rPr>
              <w:t>day</w:t>
            </w:r>
          </w:p>
        </w:tc>
      </w:tr>
      <w:tr>
        <w:trPr>
          <w:trHeight w:val="1448" w:hRule="atLeast"/>
        </w:trPr>
        <w:tc>
          <w:tcPr>
            <w:tcW w:w="1136" w:type="dxa"/>
            <w:vMerge w:val="restart"/>
          </w:tcPr>
          <w:p>
            <w:pPr>
              <w:pStyle w:val="TableParagraph"/>
              <w:spacing w:before="3"/>
              <w:ind w:left="20"/>
              <w:jc w:val="center"/>
              <w:rPr>
                <w:sz w:val="20"/>
              </w:rPr>
            </w:pPr>
            <w:r>
              <w:rPr>
                <w:w w:val="99"/>
                <w:sz w:val="20"/>
              </w:rPr>
              <w:t>2</w:t>
            </w:r>
          </w:p>
        </w:tc>
        <w:tc>
          <w:tcPr>
            <w:tcW w:w="3404" w:type="dxa"/>
            <w:tcBorders>
              <w:top w:val="single" w:sz="4" w:space="0" w:color="000000"/>
              <w:bottom w:val="single" w:sz="4" w:space="0" w:color="000000"/>
            </w:tcBorders>
          </w:tcPr>
          <w:p>
            <w:pPr>
              <w:pStyle w:val="TableParagraph"/>
              <w:spacing w:before="3"/>
              <w:ind w:right="46"/>
              <w:rPr>
                <w:sz w:val="20"/>
              </w:rPr>
            </w:pPr>
            <w:r>
              <w:rPr>
                <w:sz w:val="20"/>
              </w:rPr>
              <w:t>What is the (a) total number of trains used to transport manganese ore to the port of Port Elizabeth?</w:t>
            </w:r>
          </w:p>
        </w:tc>
        <w:tc>
          <w:tcPr>
            <w:tcW w:w="5670" w:type="dxa"/>
            <w:gridSpan w:val="2"/>
            <w:tcBorders>
              <w:top w:val="single" w:sz="4" w:space="0" w:color="000000"/>
              <w:bottom w:val="single" w:sz="4" w:space="0" w:color="000000"/>
            </w:tcBorders>
          </w:tcPr>
          <w:p>
            <w:pPr>
              <w:pStyle w:val="TableParagraph"/>
              <w:spacing w:before="3"/>
              <w:rPr>
                <w:sz w:val="20"/>
              </w:rPr>
            </w:pPr>
            <w:r>
              <w:rPr>
                <w:b/>
                <w:sz w:val="20"/>
              </w:rPr>
              <w:t>Total</w:t>
            </w:r>
            <w:r>
              <w:rPr>
                <w:b/>
                <w:spacing w:val="-5"/>
                <w:sz w:val="20"/>
              </w:rPr>
              <w:t> </w:t>
            </w:r>
            <w:r>
              <w:rPr>
                <w:b/>
                <w:sz w:val="20"/>
              </w:rPr>
              <w:t>No</w:t>
            </w:r>
            <w:r>
              <w:rPr>
                <w:sz w:val="20"/>
              </w:rPr>
              <w:t>:</w:t>
            </w:r>
          </w:p>
          <w:p>
            <w:pPr>
              <w:pStyle w:val="TableParagraph"/>
              <w:spacing w:before="1"/>
              <w:ind w:right="566"/>
              <w:rPr>
                <w:b/>
                <w:sz w:val="20"/>
              </w:rPr>
            </w:pPr>
            <w:r>
              <w:rPr>
                <w:sz w:val="20"/>
              </w:rPr>
              <w:t>1 187 trains (2020/21) </w:t>
            </w:r>
            <w:r>
              <w:rPr>
                <w:b/>
                <w:sz w:val="20"/>
              </w:rPr>
              <w:t>COVID-19 pandemic</w:t>
            </w:r>
            <w:r>
              <w:rPr>
                <w:b/>
                <w:spacing w:val="-18"/>
                <w:sz w:val="20"/>
              </w:rPr>
              <w:t> </w:t>
            </w:r>
            <w:r>
              <w:rPr>
                <w:b/>
                <w:sz w:val="20"/>
              </w:rPr>
              <w:t>reduced capacity.</w:t>
            </w:r>
          </w:p>
          <w:p>
            <w:pPr>
              <w:pStyle w:val="TableParagraph"/>
              <w:ind w:right="131"/>
              <w:rPr>
                <w:sz w:val="20"/>
              </w:rPr>
            </w:pPr>
            <w:r>
              <w:rPr>
                <w:sz w:val="20"/>
                <w:u w:val="single"/>
              </w:rPr>
              <w:t>+</w:t>
            </w:r>
            <w:r>
              <w:rPr>
                <w:sz w:val="20"/>
              </w:rPr>
              <w:t> 1400 trains (2019/20) Capacity restricted due to current rail infrastructure. Plans underway to increase capacity</w:t>
            </w:r>
          </w:p>
        </w:tc>
      </w:tr>
      <w:tr>
        <w:trPr>
          <w:trHeight w:val="1689" w:hRule="atLeast"/>
        </w:trPr>
        <w:tc>
          <w:tcPr>
            <w:tcW w:w="1136" w:type="dxa"/>
            <w:vMerge/>
            <w:tcBorders>
              <w:top w:val="nil"/>
            </w:tcBorders>
          </w:tcPr>
          <w:p>
            <w:pPr>
              <w:rPr>
                <w:sz w:val="2"/>
                <w:szCs w:val="2"/>
              </w:rPr>
            </w:pPr>
          </w:p>
        </w:tc>
        <w:tc>
          <w:tcPr>
            <w:tcW w:w="3404" w:type="dxa"/>
            <w:tcBorders>
              <w:top w:val="single" w:sz="4" w:space="0" w:color="000000"/>
              <w:bottom w:val="single" w:sz="4" w:space="0" w:color="000000"/>
            </w:tcBorders>
          </w:tcPr>
          <w:p>
            <w:pPr>
              <w:pStyle w:val="TableParagraph"/>
              <w:spacing w:before="3"/>
              <w:ind w:right="46"/>
              <w:rPr>
                <w:sz w:val="20"/>
              </w:rPr>
            </w:pPr>
            <w:r>
              <w:rPr>
                <w:sz w:val="20"/>
              </w:rPr>
              <w:t>What is the (b) volume of manganese ore that is transported by rail?</w:t>
            </w:r>
          </w:p>
        </w:tc>
        <w:tc>
          <w:tcPr>
            <w:tcW w:w="5670" w:type="dxa"/>
            <w:gridSpan w:val="2"/>
            <w:tcBorders>
              <w:top w:val="single" w:sz="4" w:space="0" w:color="000000"/>
              <w:bottom w:val="single" w:sz="4" w:space="0" w:color="000000"/>
            </w:tcBorders>
          </w:tcPr>
          <w:p>
            <w:pPr>
              <w:pStyle w:val="TableParagraph"/>
              <w:spacing w:before="3"/>
              <w:rPr>
                <w:sz w:val="20"/>
              </w:rPr>
            </w:pPr>
            <w:r>
              <w:rPr>
                <w:b/>
                <w:sz w:val="20"/>
              </w:rPr>
              <w:t>Volume</w:t>
            </w:r>
            <w:r>
              <w:rPr>
                <w:sz w:val="20"/>
              </w:rPr>
              <w:t>:</w:t>
            </w:r>
          </w:p>
          <w:p>
            <w:pPr>
              <w:pStyle w:val="TableParagraph"/>
              <w:spacing w:before="2"/>
              <w:rPr>
                <w:b/>
                <w:sz w:val="20"/>
              </w:rPr>
            </w:pPr>
            <w:r>
              <w:rPr>
                <w:sz w:val="20"/>
              </w:rPr>
              <w:t>7 776 861 tons (2020/21) </w:t>
            </w:r>
            <w:r>
              <w:rPr>
                <w:b/>
                <w:sz w:val="20"/>
              </w:rPr>
              <w:t>COVID-19 pandemic</w:t>
            </w:r>
            <w:r>
              <w:rPr>
                <w:b/>
                <w:spacing w:val="-19"/>
                <w:sz w:val="20"/>
              </w:rPr>
              <w:t> </w:t>
            </w:r>
            <w:r>
              <w:rPr>
                <w:b/>
                <w:sz w:val="20"/>
              </w:rPr>
              <w:t>reduced capacity</w:t>
            </w:r>
          </w:p>
          <w:p>
            <w:pPr>
              <w:pStyle w:val="TableParagraph"/>
              <w:ind w:right="739"/>
              <w:jc w:val="both"/>
              <w:rPr>
                <w:sz w:val="20"/>
              </w:rPr>
            </w:pPr>
            <w:r>
              <w:rPr>
                <w:sz w:val="20"/>
                <w:u w:val="single"/>
              </w:rPr>
              <w:t>+</w:t>
            </w:r>
            <w:r>
              <w:rPr>
                <w:sz w:val="20"/>
              </w:rPr>
              <w:t> 9 200 000 tons (2019/20) Capacity restricted due</w:t>
            </w:r>
            <w:r>
              <w:rPr>
                <w:spacing w:val="-27"/>
                <w:sz w:val="20"/>
              </w:rPr>
              <w:t> </w:t>
            </w:r>
            <w:r>
              <w:rPr>
                <w:sz w:val="20"/>
              </w:rPr>
              <w:t>to current rail infrastructure. Plans underway to increase capacity</w:t>
            </w:r>
          </w:p>
        </w:tc>
      </w:tr>
      <w:tr>
        <w:trPr>
          <w:trHeight w:val="966" w:hRule="atLeast"/>
        </w:trPr>
        <w:tc>
          <w:tcPr>
            <w:tcW w:w="1136" w:type="dxa"/>
            <w:vMerge/>
            <w:tcBorders>
              <w:top w:val="nil"/>
            </w:tcBorders>
          </w:tcPr>
          <w:p>
            <w:pPr>
              <w:rPr>
                <w:sz w:val="2"/>
                <w:szCs w:val="2"/>
              </w:rPr>
            </w:pPr>
          </w:p>
        </w:tc>
        <w:tc>
          <w:tcPr>
            <w:tcW w:w="3404" w:type="dxa"/>
            <w:tcBorders>
              <w:top w:val="single" w:sz="4" w:space="0" w:color="000000"/>
              <w:bottom w:val="single" w:sz="4" w:space="0" w:color="000000"/>
            </w:tcBorders>
          </w:tcPr>
          <w:p>
            <w:pPr>
              <w:pStyle w:val="TableParagraph"/>
              <w:spacing w:before="3"/>
              <w:ind w:right="46"/>
              <w:rPr>
                <w:sz w:val="20"/>
              </w:rPr>
            </w:pPr>
            <w:r>
              <w:rPr>
                <w:sz w:val="20"/>
              </w:rPr>
              <w:t>What is the (c) frequency of trains arriving with manganese ore in Port Elizabeth?</w:t>
            </w:r>
          </w:p>
        </w:tc>
        <w:tc>
          <w:tcPr>
            <w:tcW w:w="5670" w:type="dxa"/>
            <w:gridSpan w:val="2"/>
            <w:tcBorders>
              <w:top w:val="single" w:sz="4" w:space="0" w:color="000000"/>
              <w:bottom w:val="single" w:sz="4" w:space="0" w:color="000000"/>
            </w:tcBorders>
          </w:tcPr>
          <w:p>
            <w:pPr>
              <w:pStyle w:val="TableParagraph"/>
              <w:spacing w:before="3"/>
              <w:rPr>
                <w:sz w:val="20"/>
              </w:rPr>
            </w:pPr>
            <w:r>
              <w:rPr>
                <w:b/>
                <w:sz w:val="20"/>
              </w:rPr>
              <w:t>Frequency: </w:t>
            </w:r>
            <w:r>
              <w:rPr>
                <w:sz w:val="20"/>
              </w:rPr>
              <w:t>4/5 trains daily carrying 6552 tons per train</w:t>
            </w:r>
          </w:p>
        </w:tc>
      </w:tr>
    </w:tbl>
    <w:p>
      <w:pPr>
        <w:spacing w:after="0"/>
        <w:rPr>
          <w:sz w:val="20"/>
        </w:rPr>
        <w:sectPr>
          <w:pgSz w:w="12240" w:h="15840"/>
          <w:pgMar w:header="0" w:footer="674" w:top="920" w:bottom="940" w:left="820" w:right="960"/>
        </w:sectPr>
      </w:pPr>
    </w:p>
    <w:tbl>
      <w:tblPr>
        <w:tblW w:w="0" w:type="auto"/>
        <w:jc w:val="left"/>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6"/>
        <w:gridCol w:w="3404"/>
        <w:gridCol w:w="5670"/>
      </w:tblGrid>
      <w:tr>
        <w:trPr>
          <w:trHeight w:val="1931" w:hRule="atLeast"/>
        </w:trPr>
        <w:tc>
          <w:tcPr>
            <w:tcW w:w="1136" w:type="dxa"/>
            <w:tcBorders>
              <w:top w:val="nil"/>
            </w:tcBorders>
          </w:tcPr>
          <w:p>
            <w:pPr>
              <w:pStyle w:val="TableParagraph"/>
              <w:ind w:left="0"/>
              <w:rPr>
                <w:rFonts w:ascii="Times New Roman"/>
                <w:sz w:val="18"/>
              </w:rPr>
            </w:pPr>
          </w:p>
        </w:tc>
        <w:tc>
          <w:tcPr>
            <w:tcW w:w="3404" w:type="dxa"/>
            <w:tcBorders>
              <w:top w:val="nil"/>
            </w:tcBorders>
          </w:tcPr>
          <w:p>
            <w:pPr>
              <w:pStyle w:val="TableParagraph"/>
              <w:spacing w:line="235" w:lineRule="auto"/>
              <w:ind w:right="128"/>
              <w:rPr>
                <w:sz w:val="20"/>
              </w:rPr>
            </w:pPr>
            <w:r>
              <w:rPr>
                <w:sz w:val="20"/>
              </w:rPr>
              <w:t>and what is the (d) total cost to</w:t>
            </w:r>
            <w:r>
              <w:rPr>
                <w:spacing w:val="-19"/>
                <w:sz w:val="20"/>
              </w:rPr>
              <w:t> </w:t>
            </w:r>
            <w:r>
              <w:rPr>
                <w:sz w:val="20"/>
              </w:rPr>
              <w:t>the department (</w:t>
            </w:r>
            <w:r>
              <w:rPr>
                <w:i/>
                <w:sz w:val="21"/>
              </w:rPr>
              <w:t>Transnet not the department</w:t>
            </w:r>
            <w:r>
              <w:rPr>
                <w:sz w:val="20"/>
              </w:rPr>
              <w:t>) of transporting manganese ore by rail to the port of Port Elizabeth for each financial year since 1 April</w:t>
            </w:r>
            <w:r>
              <w:rPr>
                <w:spacing w:val="-2"/>
                <w:sz w:val="20"/>
              </w:rPr>
              <w:t> </w:t>
            </w:r>
            <w:r>
              <w:rPr>
                <w:sz w:val="20"/>
              </w:rPr>
              <w:t>2015?</w:t>
            </w:r>
          </w:p>
        </w:tc>
        <w:tc>
          <w:tcPr>
            <w:tcW w:w="5670" w:type="dxa"/>
            <w:tcBorders>
              <w:top w:val="single" w:sz="4" w:space="0" w:color="000000"/>
            </w:tcBorders>
          </w:tcPr>
          <w:p>
            <w:pPr>
              <w:pStyle w:val="TableParagraph"/>
              <w:tabs>
                <w:tab w:pos="1504" w:val="left" w:leader="none"/>
              </w:tabs>
              <w:spacing w:line="232" w:lineRule="exact"/>
              <w:rPr>
                <w:sz w:val="20"/>
              </w:rPr>
            </w:pPr>
            <w:r>
              <w:rPr>
                <w:sz w:val="20"/>
              </w:rPr>
              <w:t>April</w:t>
            </w:r>
            <w:r>
              <w:rPr>
                <w:spacing w:val="-3"/>
                <w:sz w:val="20"/>
              </w:rPr>
              <w:t> </w:t>
            </w:r>
            <w:r>
              <w:rPr>
                <w:sz w:val="20"/>
              </w:rPr>
              <w:t>2015:</w:t>
            </w:r>
            <w:r>
              <w:rPr>
                <w:spacing w:val="-3"/>
                <w:sz w:val="20"/>
              </w:rPr>
              <w:t> </w:t>
            </w:r>
            <w:r>
              <w:rPr>
                <w:sz w:val="20"/>
              </w:rPr>
              <w:t>R</w:t>
              <w:tab/>
              <w:t>942 694 147 (Excl.</w:t>
            </w:r>
            <w:r>
              <w:rPr>
                <w:spacing w:val="-2"/>
                <w:sz w:val="20"/>
              </w:rPr>
              <w:t> </w:t>
            </w:r>
            <w:r>
              <w:rPr>
                <w:sz w:val="20"/>
              </w:rPr>
              <w:t>Vat)</w:t>
            </w:r>
          </w:p>
          <w:p>
            <w:pPr>
              <w:pStyle w:val="TableParagraph"/>
              <w:spacing w:line="241" w:lineRule="exact" w:before="1"/>
              <w:rPr>
                <w:sz w:val="20"/>
              </w:rPr>
            </w:pPr>
            <w:r>
              <w:rPr>
                <w:sz w:val="20"/>
              </w:rPr>
              <w:t>April 2016: R 1 258 868</w:t>
            </w:r>
            <w:r>
              <w:rPr>
                <w:spacing w:val="-12"/>
                <w:sz w:val="20"/>
              </w:rPr>
              <w:t> </w:t>
            </w:r>
            <w:r>
              <w:rPr>
                <w:sz w:val="20"/>
              </w:rPr>
              <w:t>403</w:t>
            </w:r>
          </w:p>
          <w:p>
            <w:pPr>
              <w:pStyle w:val="TableParagraph"/>
              <w:spacing w:line="241" w:lineRule="exact"/>
              <w:rPr>
                <w:sz w:val="20"/>
              </w:rPr>
            </w:pPr>
            <w:r>
              <w:rPr>
                <w:sz w:val="20"/>
              </w:rPr>
              <w:t>April 2017: R 1 333 216</w:t>
            </w:r>
            <w:r>
              <w:rPr>
                <w:spacing w:val="-12"/>
                <w:sz w:val="20"/>
              </w:rPr>
              <w:t> </w:t>
            </w:r>
            <w:r>
              <w:rPr>
                <w:sz w:val="20"/>
              </w:rPr>
              <w:t>868</w:t>
            </w:r>
          </w:p>
          <w:p>
            <w:pPr>
              <w:pStyle w:val="TableParagraph"/>
              <w:spacing w:before="1"/>
              <w:rPr>
                <w:sz w:val="20"/>
              </w:rPr>
            </w:pPr>
            <w:r>
              <w:rPr>
                <w:sz w:val="20"/>
              </w:rPr>
              <w:t>April 2018: R 1 466 192</w:t>
            </w:r>
            <w:r>
              <w:rPr>
                <w:spacing w:val="-12"/>
                <w:sz w:val="20"/>
              </w:rPr>
              <w:t> </w:t>
            </w:r>
            <w:r>
              <w:rPr>
                <w:sz w:val="20"/>
              </w:rPr>
              <w:t>336</w:t>
            </w:r>
          </w:p>
          <w:p>
            <w:pPr>
              <w:pStyle w:val="TableParagraph"/>
              <w:spacing w:line="241" w:lineRule="exact" w:before="1"/>
              <w:rPr>
                <w:sz w:val="20"/>
              </w:rPr>
            </w:pPr>
            <w:r>
              <w:rPr>
                <w:sz w:val="20"/>
              </w:rPr>
              <w:t>April 2019: R 1 757 581</w:t>
            </w:r>
            <w:r>
              <w:rPr>
                <w:spacing w:val="-12"/>
                <w:sz w:val="20"/>
              </w:rPr>
              <w:t> </w:t>
            </w:r>
            <w:r>
              <w:rPr>
                <w:sz w:val="20"/>
              </w:rPr>
              <w:t>402</w:t>
            </w:r>
          </w:p>
          <w:p>
            <w:pPr>
              <w:pStyle w:val="TableParagraph"/>
              <w:spacing w:line="241" w:lineRule="exact"/>
              <w:rPr>
                <w:sz w:val="20"/>
              </w:rPr>
            </w:pPr>
            <w:r>
              <w:rPr>
                <w:sz w:val="20"/>
              </w:rPr>
              <w:t>April 2020: R 2 478 138</w:t>
            </w:r>
            <w:r>
              <w:rPr>
                <w:spacing w:val="-12"/>
                <w:sz w:val="20"/>
              </w:rPr>
              <w:t> </w:t>
            </w:r>
            <w:r>
              <w:rPr>
                <w:sz w:val="20"/>
              </w:rPr>
              <w:t>165</w:t>
            </w:r>
          </w:p>
          <w:p>
            <w:pPr>
              <w:pStyle w:val="TableParagraph"/>
              <w:spacing w:before="1"/>
              <w:rPr>
                <w:sz w:val="20"/>
              </w:rPr>
            </w:pPr>
            <w:r>
              <w:rPr>
                <w:sz w:val="20"/>
              </w:rPr>
              <w:t>April 2021: R 2 547 559</w:t>
            </w:r>
            <w:r>
              <w:rPr>
                <w:spacing w:val="-9"/>
                <w:sz w:val="20"/>
              </w:rPr>
              <w:t> </w:t>
            </w:r>
            <w:r>
              <w:rPr>
                <w:sz w:val="20"/>
              </w:rPr>
              <w:t>998</w:t>
            </w:r>
          </w:p>
        </w:tc>
      </w:tr>
    </w:tbl>
    <w:sectPr>
      <w:pgSz w:w="12240" w:h="15840"/>
      <w:pgMar w:header="0" w:footer="674" w:top="1000" w:bottom="860" w:left="8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13.099976pt;margin-top:743.322632pt;width:12pt;height:15.3pt;mso-position-horizontal-relative:page;mso-position-vertical-relative:page;z-index:-25187123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58" w:hanging="247"/>
        <w:jc w:val="left"/>
      </w:pPr>
      <w:rPr>
        <w:rFonts w:hint="default" w:ascii="Tahoma" w:hAnsi="Tahoma" w:eastAsia="Tahoma" w:cs="Tahoma"/>
        <w:spacing w:val="-1"/>
        <w:w w:val="99"/>
        <w:sz w:val="20"/>
        <w:szCs w:val="20"/>
        <w:lang w:val="en-US" w:eastAsia="en-US" w:bidi="en-US"/>
      </w:rPr>
    </w:lvl>
    <w:lvl w:ilvl="1">
      <w:start w:val="0"/>
      <w:numFmt w:val="bullet"/>
      <w:lvlText w:val="•"/>
      <w:lvlJc w:val="left"/>
      <w:pPr>
        <w:ind w:left="634" w:hanging="247"/>
      </w:pPr>
      <w:rPr>
        <w:rFonts w:hint="default"/>
        <w:lang w:val="en-US" w:eastAsia="en-US" w:bidi="en-US"/>
      </w:rPr>
    </w:lvl>
    <w:lvl w:ilvl="2">
      <w:start w:val="0"/>
      <w:numFmt w:val="bullet"/>
      <w:lvlText w:val="•"/>
      <w:lvlJc w:val="left"/>
      <w:pPr>
        <w:ind w:left="909" w:hanging="247"/>
      </w:pPr>
      <w:rPr>
        <w:rFonts w:hint="default"/>
        <w:lang w:val="en-US" w:eastAsia="en-US" w:bidi="en-US"/>
      </w:rPr>
    </w:lvl>
    <w:lvl w:ilvl="3">
      <w:start w:val="0"/>
      <w:numFmt w:val="bullet"/>
      <w:lvlText w:val="•"/>
      <w:lvlJc w:val="left"/>
      <w:pPr>
        <w:ind w:left="1184" w:hanging="247"/>
      </w:pPr>
      <w:rPr>
        <w:rFonts w:hint="default"/>
        <w:lang w:val="en-US" w:eastAsia="en-US" w:bidi="en-US"/>
      </w:rPr>
    </w:lvl>
    <w:lvl w:ilvl="4">
      <w:start w:val="0"/>
      <w:numFmt w:val="bullet"/>
      <w:lvlText w:val="•"/>
      <w:lvlJc w:val="left"/>
      <w:pPr>
        <w:ind w:left="1459" w:hanging="247"/>
      </w:pPr>
      <w:rPr>
        <w:rFonts w:hint="default"/>
        <w:lang w:val="en-US" w:eastAsia="en-US" w:bidi="en-US"/>
      </w:rPr>
    </w:lvl>
    <w:lvl w:ilvl="5">
      <w:start w:val="0"/>
      <w:numFmt w:val="bullet"/>
      <w:lvlText w:val="•"/>
      <w:lvlJc w:val="left"/>
      <w:pPr>
        <w:ind w:left="1734" w:hanging="247"/>
      </w:pPr>
      <w:rPr>
        <w:rFonts w:hint="default"/>
        <w:lang w:val="en-US" w:eastAsia="en-US" w:bidi="en-US"/>
      </w:rPr>
    </w:lvl>
    <w:lvl w:ilvl="6">
      <w:start w:val="0"/>
      <w:numFmt w:val="bullet"/>
      <w:lvlText w:val="•"/>
      <w:lvlJc w:val="left"/>
      <w:pPr>
        <w:ind w:left="2008" w:hanging="247"/>
      </w:pPr>
      <w:rPr>
        <w:rFonts w:hint="default"/>
        <w:lang w:val="en-US" w:eastAsia="en-US" w:bidi="en-US"/>
      </w:rPr>
    </w:lvl>
    <w:lvl w:ilvl="7">
      <w:start w:val="0"/>
      <w:numFmt w:val="bullet"/>
      <w:lvlText w:val="•"/>
      <w:lvlJc w:val="left"/>
      <w:pPr>
        <w:ind w:left="2283" w:hanging="247"/>
      </w:pPr>
      <w:rPr>
        <w:rFonts w:hint="default"/>
        <w:lang w:val="en-US" w:eastAsia="en-US" w:bidi="en-US"/>
      </w:rPr>
    </w:lvl>
    <w:lvl w:ilvl="8">
      <w:start w:val="0"/>
      <w:numFmt w:val="bullet"/>
      <w:lvlText w:val="•"/>
      <w:lvlJc w:val="left"/>
      <w:pPr>
        <w:ind w:left="2558" w:hanging="247"/>
      </w:pPr>
      <w:rPr>
        <w:rFonts w:hint="default"/>
        <w:lang w:val="en-US" w:eastAsia="en-US" w:bidi="en-US"/>
      </w:rPr>
    </w:lvl>
  </w:abstractNum>
  <w:abstractNum w:abstractNumId="0">
    <w:multiLevelType w:val="hybridMultilevel"/>
    <w:lvl w:ilvl="0">
      <w:start w:val="1"/>
      <w:numFmt w:val="decimal"/>
      <w:lvlText w:val="(%1)"/>
      <w:lvlJc w:val="left"/>
      <w:pPr>
        <w:ind w:left="2420" w:hanging="720"/>
        <w:jc w:val="left"/>
      </w:pPr>
      <w:rPr>
        <w:rFonts w:hint="default" w:ascii="Tahoma" w:hAnsi="Tahoma" w:eastAsia="Tahoma" w:cs="Tahoma"/>
        <w:spacing w:val="-27"/>
        <w:w w:val="100"/>
        <w:sz w:val="24"/>
        <w:szCs w:val="24"/>
        <w:lang w:val="en-US" w:eastAsia="en-US" w:bidi="en-US"/>
      </w:rPr>
    </w:lvl>
    <w:lvl w:ilvl="1">
      <w:start w:val="0"/>
      <w:numFmt w:val="bullet"/>
      <w:lvlText w:val="•"/>
      <w:lvlJc w:val="left"/>
      <w:pPr>
        <w:ind w:left="3224" w:hanging="720"/>
      </w:pPr>
      <w:rPr>
        <w:rFonts w:hint="default"/>
        <w:lang w:val="en-US" w:eastAsia="en-US" w:bidi="en-US"/>
      </w:rPr>
    </w:lvl>
    <w:lvl w:ilvl="2">
      <w:start w:val="0"/>
      <w:numFmt w:val="bullet"/>
      <w:lvlText w:val="•"/>
      <w:lvlJc w:val="left"/>
      <w:pPr>
        <w:ind w:left="4028" w:hanging="720"/>
      </w:pPr>
      <w:rPr>
        <w:rFonts w:hint="default"/>
        <w:lang w:val="en-US" w:eastAsia="en-US" w:bidi="en-US"/>
      </w:rPr>
    </w:lvl>
    <w:lvl w:ilvl="3">
      <w:start w:val="0"/>
      <w:numFmt w:val="bullet"/>
      <w:lvlText w:val="•"/>
      <w:lvlJc w:val="left"/>
      <w:pPr>
        <w:ind w:left="4832" w:hanging="720"/>
      </w:pPr>
      <w:rPr>
        <w:rFonts w:hint="default"/>
        <w:lang w:val="en-US" w:eastAsia="en-US" w:bidi="en-US"/>
      </w:rPr>
    </w:lvl>
    <w:lvl w:ilvl="4">
      <w:start w:val="0"/>
      <w:numFmt w:val="bullet"/>
      <w:lvlText w:val="•"/>
      <w:lvlJc w:val="left"/>
      <w:pPr>
        <w:ind w:left="5636" w:hanging="720"/>
      </w:pPr>
      <w:rPr>
        <w:rFonts w:hint="default"/>
        <w:lang w:val="en-US" w:eastAsia="en-US" w:bidi="en-US"/>
      </w:rPr>
    </w:lvl>
    <w:lvl w:ilvl="5">
      <w:start w:val="0"/>
      <w:numFmt w:val="bullet"/>
      <w:lvlText w:val="•"/>
      <w:lvlJc w:val="left"/>
      <w:pPr>
        <w:ind w:left="6440" w:hanging="720"/>
      </w:pPr>
      <w:rPr>
        <w:rFonts w:hint="default"/>
        <w:lang w:val="en-US" w:eastAsia="en-US" w:bidi="en-US"/>
      </w:rPr>
    </w:lvl>
    <w:lvl w:ilvl="6">
      <w:start w:val="0"/>
      <w:numFmt w:val="bullet"/>
      <w:lvlText w:val="•"/>
      <w:lvlJc w:val="left"/>
      <w:pPr>
        <w:ind w:left="7244" w:hanging="720"/>
      </w:pPr>
      <w:rPr>
        <w:rFonts w:hint="default"/>
        <w:lang w:val="en-US" w:eastAsia="en-US" w:bidi="en-US"/>
      </w:rPr>
    </w:lvl>
    <w:lvl w:ilvl="7">
      <w:start w:val="0"/>
      <w:numFmt w:val="bullet"/>
      <w:lvlText w:val="•"/>
      <w:lvlJc w:val="left"/>
      <w:pPr>
        <w:ind w:left="8048" w:hanging="720"/>
      </w:pPr>
      <w:rPr>
        <w:rFonts w:hint="default"/>
        <w:lang w:val="en-US" w:eastAsia="en-US" w:bidi="en-US"/>
      </w:rPr>
    </w:lvl>
    <w:lvl w:ilvl="8">
      <w:start w:val="0"/>
      <w:numFmt w:val="bullet"/>
      <w:lvlText w:val="•"/>
      <w:lvlJc w:val="left"/>
      <w:pPr>
        <w:ind w:left="8852" w:hanging="7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4"/>
      <w:szCs w:val="24"/>
      <w:lang w:val="en-US" w:eastAsia="en-US" w:bidi="en-US"/>
    </w:rPr>
  </w:style>
  <w:style w:styleId="ListParagraph" w:type="paragraph">
    <w:name w:val="List Paragraph"/>
    <w:basedOn w:val="Normal"/>
    <w:uiPriority w:val="1"/>
    <w:qFormat/>
    <w:pPr>
      <w:ind w:left="2420" w:right="838" w:hanging="720"/>
      <w:jc w:val="both"/>
    </w:pPr>
    <w:rPr>
      <w:rFonts w:ascii="Tahoma" w:hAnsi="Tahoma" w:eastAsia="Tahoma" w:cs="Tahoma"/>
      <w:lang w:val="en-US" w:eastAsia="en-US" w:bidi="en-US"/>
    </w:rPr>
  </w:style>
  <w:style w:styleId="TableParagraph" w:type="paragraph">
    <w:name w:val="Table Paragraph"/>
    <w:basedOn w:val="Normal"/>
    <w:uiPriority w:val="1"/>
    <w:qFormat/>
    <w:pPr>
      <w:ind w:left="107"/>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mandiwanas</dc:creator>
  <dc:title>NATIONAL ASSEMBLY</dc:title>
  <dcterms:created xsi:type="dcterms:W3CDTF">2022-01-12T11:30:04Z</dcterms:created>
  <dcterms:modified xsi:type="dcterms:W3CDTF">2022-01-12T11:30:04Z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2022-01-12T00:00:00Z</vt:filetime>
  </property>
</Properties>
</file>