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351010"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7E6F52" w:rsidRPr="00486D73" w:rsidRDefault="00B70947" w:rsidP="00486D73">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C87CB9">
        <w:rPr>
          <w:rFonts w:cs="Arial"/>
          <w:b/>
          <w:szCs w:val="24"/>
          <w:lang w:val="en-US"/>
        </w:rPr>
        <w:t>2320</w:t>
      </w:r>
      <w:r w:rsidR="002C0533">
        <w:rPr>
          <w:rFonts w:cs="Arial"/>
          <w:b/>
          <w:szCs w:val="24"/>
          <w:lang w:val="en-US"/>
        </w:rPr>
        <w:t xml:space="preserve"> </w:t>
      </w:r>
      <w:r w:rsidR="00EC354B">
        <w:rPr>
          <w:rFonts w:cs="Arial"/>
          <w:b/>
          <w:szCs w:val="24"/>
          <w:lang w:val="en-US"/>
        </w:rPr>
        <w:t>[</w:t>
      </w:r>
      <w:r w:rsidR="00C87CB9">
        <w:rPr>
          <w:rFonts w:cs="Arial"/>
          <w:b/>
          <w:szCs w:val="24"/>
          <w:lang w:val="en-US"/>
        </w:rPr>
        <w:t>NW2738</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C87CB9" w:rsidRPr="0047769C" w:rsidRDefault="00C87CB9" w:rsidP="00C87CB9">
      <w:pPr>
        <w:spacing w:before="100" w:beforeAutospacing="1" w:after="100" w:afterAutospacing="1"/>
        <w:ind w:left="540" w:right="26" w:hanging="540"/>
        <w:jc w:val="both"/>
        <w:rPr>
          <w:rFonts w:cs="Arial"/>
          <w:szCs w:val="24"/>
        </w:rPr>
      </w:pPr>
      <w:r w:rsidRPr="0047769C">
        <w:rPr>
          <w:rFonts w:cs="Arial"/>
          <w:b/>
          <w:bCs/>
          <w:szCs w:val="24"/>
        </w:rPr>
        <w:t>2320.</w:t>
      </w:r>
      <w:r w:rsidRPr="0047769C">
        <w:rPr>
          <w:rFonts w:cs="Arial"/>
          <w:b/>
          <w:bCs/>
          <w:szCs w:val="24"/>
        </w:rPr>
        <w:tab/>
        <w:t xml:space="preserve">Mrs C </w:t>
      </w:r>
      <w:proofErr w:type="spellStart"/>
      <w:r w:rsidRPr="0047769C">
        <w:rPr>
          <w:rFonts w:cs="Arial"/>
          <w:b/>
          <w:bCs/>
          <w:szCs w:val="24"/>
        </w:rPr>
        <w:t>C</w:t>
      </w:r>
      <w:proofErr w:type="spellEnd"/>
      <w:r w:rsidRPr="0047769C">
        <w:rPr>
          <w:rFonts w:cs="Arial"/>
          <w:b/>
          <w:bCs/>
          <w:szCs w:val="24"/>
        </w:rPr>
        <w:t xml:space="preserve"> S </w:t>
      </w:r>
      <w:proofErr w:type="spellStart"/>
      <w:r w:rsidRPr="0047769C">
        <w:rPr>
          <w:rFonts w:cs="Arial"/>
          <w:b/>
          <w:bCs/>
          <w:szCs w:val="24"/>
        </w:rPr>
        <w:t>Motsepe</w:t>
      </w:r>
      <w:proofErr w:type="spellEnd"/>
      <w:r w:rsidRPr="0047769C">
        <w:rPr>
          <w:rFonts w:cs="Arial"/>
          <w:b/>
          <w:bCs/>
          <w:szCs w:val="24"/>
        </w:rPr>
        <w:t xml:space="preserve"> (EFF) to ask the Minister of Employment and Labour</w:t>
      </w:r>
      <w:r w:rsidR="00351010" w:rsidRPr="0047769C">
        <w:rPr>
          <w:rFonts w:cs="Arial"/>
          <w:b/>
          <w:bCs/>
          <w:szCs w:val="24"/>
        </w:rPr>
        <w:fldChar w:fldCharType="begin"/>
      </w:r>
      <w:r w:rsidRPr="0047769C">
        <w:rPr>
          <w:rFonts w:cs="Arial"/>
        </w:rPr>
        <w:instrText xml:space="preserve"> XE "</w:instrText>
      </w:r>
      <w:r w:rsidRPr="0047769C">
        <w:rPr>
          <w:rFonts w:cs="Arial"/>
          <w:b/>
          <w:szCs w:val="24"/>
          <w:lang w:eastAsia="en-ZA"/>
        </w:rPr>
        <w:instrText>Employment and Labour</w:instrText>
      </w:r>
      <w:r w:rsidRPr="0047769C">
        <w:rPr>
          <w:rFonts w:cs="Arial"/>
        </w:rPr>
        <w:instrText xml:space="preserve">" </w:instrText>
      </w:r>
      <w:r w:rsidR="00351010" w:rsidRPr="0047769C">
        <w:rPr>
          <w:rFonts w:cs="Arial"/>
          <w:b/>
          <w:bCs/>
          <w:szCs w:val="24"/>
        </w:rPr>
        <w:fldChar w:fldCharType="end"/>
      </w:r>
      <w:r w:rsidRPr="0047769C">
        <w:rPr>
          <w:rFonts w:cs="Arial"/>
          <w:b/>
          <w:bCs/>
          <w:szCs w:val="24"/>
        </w:rPr>
        <w:t>:</w:t>
      </w:r>
    </w:p>
    <w:p w:rsidR="00C87CB9" w:rsidRPr="0047769C" w:rsidRDefault="00C87CB9" w:rsidP="00486D73">
      <w:pPr>
        <w:pBdr>
          <w:bottom w:val="single" w:sz="6" w:space="1" w:color="auto"/>
        </w:pBdr>
        <w:spacing w:before="100" w:beforeAutospacing="1" w:after="100" w:afterAutospacing="1"/>
        <w:ind w:right="28"/>
        <w:jc w:val="both"/>
        <w:rPr>
          <w:rFonts w:cs="Arial"/>
          <w:sz w:val="20"/>
        </w:rPr>
      </w:pPr>
      <w:r w:rsidRPr="0047769C">
        <w:rPr>
          <w:rFonts w:cs="Arial"/>
          <w:szCs w:val="24"/>
        </w:rPr>
        <w:t>Whether his department has undertaken a study to ascertain if there are still retailers who pay their workers less than R3 500 per month; if not, what is the position in this regard; if so, (a) how widespread is the exploitative practice and (b) what are the names of the retailers?</w:t>
      </w:r>
      <w:r w:rsidRPr="0047769C">
        <w:rPr>
          <w:rFonts w:cs="Arial"/>
          <w:b/>
          <w:szCs w:val="24"/>
        </w:rPr>
        <w:tab/>
      </w:r>
      <w:r w:rsidRPr="0047769C">
        <w:rPr>
          <w:rFonts w:cs="Arial"/>
          <w:b/>
          <w:szCs w:val="24"/>
        </w:rPr>
        <w:tab/>
      </w:r>
      <w:r w:rsidRPr="0047769C">
        <w:rPr>
          <w:rFonts w:cs="Arial"/>
          <w:b/>
          <w:szCs w:val="24"/>
        </w:rPr>
        <w:tab/>
      </w:r>
      <w:r w:rsidRPr="0047769C">
        <w:rPr>
          <w:rFonts w:cs="Arial"/>
          <w:b/>
          <w:szCs w:val="24"/>
        </w:rPr>
        <w:tab/>
      </w:r>
      <w:r w:rsidRPr="0047769C">
        <w:rPr>
          <w:rFonts w:cs="Arial"/>
          <w:b/>
          <w:szCs w:val="24"/>
        </w:rPr>
        <w:tab/>
      </w:r>
      <w:r w:rsidRPr="0047769C">
        <w:rPr>
          <w:rFonts w:cs="Arial"/>
          <w:b/>
          <w:szCs w:val="24"/>
        </w:rPr>
        <w:tab/>
      </w:r>
      <w:r w:rsidRPr="0047769C">
        <w:rPr>
          <w:rFonts w:cs="Arial"/>
          <w:b/>
          <w:szCs w:val="24"/>
        </w:rPr>
        <w:tab/>
      </w:r>
      <w:r w:rsidRPr="0047769C">
        <w:rPr>
          <w:rFonts w:cs="Arial"/>
          <w:b/>
          <w:szCs w:val="24"/>
        </w:rPr>
        <w:tab/>
      </w:r>
      <w:r w:rsidRPr="0047769C">
        <w:rPr>
          <w:rFonts w:cs="Arial"/>
          <w:sz w:val="20"/>
        </w:rPr>
        <w:t>NW2738E</w:t>
      </w:r>
    </w:p>
    <w:p w:rsidR="00E9712C" w:rsidRDefault="00102EE2" w:rsidP="0047769C">
      <w:pPr>
        <w:jc w:val="both"/>
        <w:rPr>
          <w:rFonts w:eastAsia="Calibri" w:cs="Arial"/>
          <w:b/>
          <w:color w:val="000000" w:themeColor="text1"/>
          <w:szCs w:val="24"/>
          <w:lang w:val="en-ZA"/>
        </w:rPr>
      </w:pPr>
      <w:r w:rsidRPr="0047769C">
        <w:rPr>
          <w:rFonts w:eastAsia="Calibri" w:cs="Arial"/>
          <w:b/>
          <w:color w:val="000000" w:themeColor="text1"/>
          <w:szCs w:val="24"/>
          <w:lang w:val="en-ZA"/>
        </w:rPr>
        <w:t>REPLY:</w:t>
      </w:r>
    </w:p>
    <w:p w:rsidR="00E9712C" w:rsidRDefault="00E9712C" w:rsidP="0047769C">
      <w:pPr>
        <w:jc w:val="both"/>
        <w:rPr>
          <w:rFonts w:eastAsia="Calibri" w:cs="Arial"/>
          <w:b/>
          <w:color w:val="000000" w:themeColor="text1"/>
          <w:szCs w:val="24"/>
          <w:lang w:val="en-ZA"/>
        </w:rPr>
      </w:pPr>
    </w:p>
    <w:p w:rsidR="00486D73" w:rsidRPr="0047769C" w:rsidRDefault="00486D73" w:rsidP="00E9712C">
      <w:pPr>
        <w:ind w:left="720" w:firstLine="70"/>
        <w:jc w:val="both"/>
        <w:rPr>
          <w:rFonts w:cs="Arial"/>
          <w:color w:val="000000" w:themeColor="text1"/>
          <w:szCs w:val="24"/>
        </w:rPr>
      </w:pPr>
      <w:r w:rsidRPr="0047769C">
        <w:rPr>
          <w:rFonts w:cs="Arial"/>
          <w:color w:val="000000" w:themeColor="text1"/>
          <w:szCs w:val="24"/>
        </w:rPr>
        <w:t xml:space="preserve">I think it’s important to explain firstly that the legislated national minimum wage (NMW) is not R3500 per month but R23.19 per hour payable for the numbers of ordinary hours worked. </w:t>
      </w:r>
    </w:p>
    <w:p w:rsidR="00486D73" w:rsidRPr="0047769C" w:rsidRDefault="00486D73" w:rsidP="0047769C">
      <w:pPr>
        <w:jc w:val="both"/>
        <w:rPr>
          <w:rFonts w:cs="Arial"/>
          <w:color w:val="000000" w:themeColor="text1"/>
          <w:szCs w:val="24"/>
        </w:rPr>
      </w:pPr>
    </w:p>
    <w:p w:rsidR="00486D73" w:rsidRPr="0047769C" w:rsidRDefault="00486D73" w:rsidP="00E9712C">
      <w:pPr>
        <w:ind w:left="720"/>
        <w:jc w:val="both"/>
        <w:rPr>
          <w:rFonts w:cs="Arial"/>
          <w:color w:val="000000" w:themeColor="text1"/>
          <w:szCs w:val="24"/>
        </w:rPr>
      </w:pPr>
      <w:r w:rsidRPr="0047769C">
        <w:rPr>
          <w:rFonts w:cs="Arial"/>
          <w:color w:val="000000" w:themeColor="text1"/>
          <w:szCs w:val="24"/>
        </w:rPr>
        <w:t>The NMW Act requires the NMW Commission to review the NMW annually and to make recommendations to me on any adjustment of the NMW. In undertaking this function, the Commission is expected to annually undertake a research in order to gain insights on changes to working hours, employment, wages and non-compliance as a result of changes in the NMW.</w:t>
      </w:r>
    </w:p>
    <w:p w:rsidR="00486D73" w:rsidRPr="0047769C" w:rsidRDefault="00486D73" w:rsidP="0047769C">
      <w:pPr>
        <w:jc w:val="both"/>
        <w:rPr>
          <w:rFonts w:cs="Arial"/>
          <w:color w:val="000000" w:themeColor="text1"/>
          <w:szCs w:val="24"/>
        </w:rPr>
      </w:pPr>
    </w:p>
    <w:p w:rsidR="00486D73" w:rsidRPr="0047769C" w:rsidRDefault="00486D73" w:rsidP="00E9712C">
      <w:pPr>
        <w:ind w:left="720"/>
        <w:jc w:val="both"/>
        <w:rPr>
          <w:rFonts w:cs="Arial"/>
          <w:color w:val="000000" w:themeColor="text1"/>
          <w:szCs w:val="24"/>
        </w:rPr>
      </w:pPr>
      <w:r w:rsidRPr="0047769C">
        <w:rPr>
          <w:rFonts w:cs="Arial"/>
          <w:color w:val="000000" w:themeColor="text1"/>
          <w:szCs w:val="24"/>
        </w:rPr>
        <w:t xml:space="preserve">The latest quantitative research shows that the average level of NMW non-compliance in 2020Q1, before the NMW was adjusted, was 35.8, meaning that approximately 36% of all workers were paid below the NMW. A year later, in 2021Q1, this number remained much the same, at 36.2. In 2020, the NMW was adjusted by 3.8%, and wages appeared to have risen by roughly this amount for those who remained employed in 2021Q1, meaning that the overall rate of non-compliance remained stable. However, the researchers found that the depth of violation did fall over the period, suggesting that for those workers earning below the NMW, wages increased in real terms, but not all the way up to the NMW. </w:t>
      </w:r>
    </w:p>
    <w:p w:rsidR="00486D73" w:rsidRPr="0047769C" w:rsidRDefault="00486D73" w:rsidP="0047769C">
      <w:pPr>
        <w:jc w:val="both"/>
        <w:rPr>
          <w:rFonts w:cs="Arial"/>
          <w:color w:val="000000" w:themeColor="text1"/>
          <w:szCs w:val="24"/>
        </w:rPr>
      </w:pPr>
    </w:p>
    <w:p w:rsidR="006D5EE6" w:rsidRPr="0047769C" w:rsidRDefault="00486D73" w:rsidP="00E9712C">
      <w:pPr>
        <w:ind w:left="720"/>
        <w:jc w:val="both"/>
        <w:rPr>
          <w:rFonts w:cs="Arial"/>
          <w:color w:val="000000" w:themeColor="text1"/>
          <w:szCs w:val="24"/>
        </w:rPr>
      </w:pPr>
      <w:proofErr w:type="gramStart"/>
      <w:r w:rsidRPr="0047769C">
        <w:rPr>
          <w:rFonts w:cs="Arial"/>
          <w:color w:val="000000" w:themeColor="text1"/>
          <w:szCs w:val="24"/>
        </w:rPr>
        <w:lastRenderedPageBreak/>
        <w:t>The research report further shows that across industry categories there was a substantial variation in rates of NMW violation.</w:t>
      </w:r>
      <w:proofErr w:type="gramEnd"/>
      <w:r w:rsidRPr="0047769C">
        <w:rPr>
          <w:rFonts w:cs="Arial"/>
          <w:color w:val="000000" w:themeColor="text1"/>
          <w:szCs w:val="24"/>
        </w:rPr>
        <w:t xml:space="preserve"> Agriculture had the largest proportion of sub-NMW earners, and this appears to have increased over the period. Construction, Wholesale and Retail Trade, and Domestic Work, all had rates of violation close to 45%, and these remained relatively unchanged. Levels of violation appeared to have also risen in Finance, and Transport.</w:t>
      </w:r>
    </w:p>
    <w:p w:rsidR="00204CF1" w:rsidRPr="0047769C" w:rsidRDefault="00204CF1" w:rsidP="0047769C">
      <w:pPr>
        <w:pStyle w:val="Default"/>
        <w:jc w:val="both"/>
        <w:rPr>
          <w:rFonts w:ascii="Arial" w:hAnsi="Arial" w:cs="Arial"/>
          <w:b/>
          <w:bCs/>
          <w:color w:val="000000" w:themeColor="text1"/>
        </w:rPr>
      </w:pPr>
    </w:p>
    <w:p w:rsidR="0047769C" w:rsidRPr="0047769C" w:rsidRDefault="0047769C" w:rsidP="00E9712C">
      <w:pPr>
        <w:ind w:left="720"/>
        <w:jc w:val="both"/>
        <w:rPr>
          <w:rFonts w:cs="Arial"/>
          <w:color w:val="000000" w:themeColor="text1"/>
          <w:szCs w:val="24"/>
          <w:lang w:val="en-ZA"/>
        </w:rPr>
      </w:pPr>
      <w:r w:rsidRPr="0047769C">
        <w:rPr>
          <w:rFonts w:cs="Arial"/>
          <w:bCs/>
          <w:color w:val="000000" w:themeColor="text1"/>
          <w:szCs w:val="24"/>
        </w:rPr>
        <w:t>It is important to indicate however that the quantitative</w:t>
      </w:r>
      <w:r w:rsidRPr="0047769C">
        <w:rPr>
          <w:rFonts w:cs="Arial"/>
          <w:b/>
          <w:bCs/>
          <w:color w:val="000000" w:themeColor="text1"/>
          <w:szCs w:val="24"/>
        </w:rPr>
        <w:t xml:space="preserve"> </w:t>
      </w:r>
      <w:r w:rsidRPr="0047769C">
        <w:rPr>
          <w:rFonts w:cs="Arial"/>
          <w:color w:val="000000" w:themeColor="text1"/>
          <w:szCs w:val="24"/>
        </w:rPr>
        <w:t xml:space="preserve">research looks at changes to working hours, employment, wages and non-compliance as a result of changes in the NMW across different sectors and not on individual companies. </w:t>
      </w:r>
    </w:p>
    <w:p w:rsidR="0047769C" w:rsidRDefault="0047769C" w:rsidP="0047769C">
      <w:pPr>
        <w:pStyle w:val="Default"/>
        <w:jc w:val="both"/>
        <w:rPr>
          <w:b/>
          <w:bCs/>
        </w:rPr>
      </w:pPr>
    </w:p>
    <w:p w:rsidR="00AB2059" w:rsidRDefault="00AB2059" w:rsidP="0047769C">
      <w:pPr>
        <w:pStyle w:val="Default"/>
        <w:jc w:val="both"/>
        <w:rPr>
          <w:b/>
          <w:bCs/>
        </w:rPr>
      </w:pPr>
    </w:p>
    <w:p w:rsidR="00AB2059" w:rsidRPr="0047769C" w:rsidRDefault="00AB2059" w:rsidP="00E9712C">
      <w:pPr>
        <w:pStyle w:val="Default"/>
        <w:ind w:firstLine="720"/>
        <w:jc w:val="both"/>
        <w:rPr>
          <w:b/>
          <w:bCs/>
        </w:rPr>
      </w:pPr>
      <w:r>
        <w:rPr>
          <w:b/>
          <w:bCs/>
        </w:rPr>
        <w:t>END</w:t>
      </w:r>
    </w:p>
    <w:sectPr w:rsidR="00AB2059" w:rsidRPr="0047769C"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EA6" w:rsidRDefault="00BF3EA6" w:rsidP="00646E39">
      <w:r>
        <w:separator/>
      </w:r>
    </w:p>
  </w:endnote>
  <w:endnote w:type="continuationSeparator" w:id="0">
    <w:p w:rsidR="00BF3EA6" w:rsidRDefault="00BF3EA6"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351010">
    <w:pPr>
      <w:pStyle w:val="Footer"/>
      <w:jc w:val="center"/>
    </w:pPr>
    <w:r>
      <w:fldChar w:fldCharType="begin"/>
    </w:r>
    <w:r w:rsidR="00646E39">
      <w:instrText xml:space="preserve"> PAGE   \* MERGEFORMAT </w:instrText>
    </w:r>
    <w:r>
      <w:fldChar w:fldCharType="separate"/>
    </w:r>
    <w:r w:rsidR="00027E94">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EA6" w:rsidRDefault="00BF3EA6" w:rsidP="00646E39">
      <w:r>
        <w:separator/>
      </w:r>
    </w:p>
  </w:footnote>
  <w:footnote w:type="continuationSeparator" w:id="0">
    <w:p w:rsidR="00BF3EA6" w:rsidRDefault="00BF3EA6"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04D21"/>
    <w:rsid w:val="0002334E"/>
    <w:rsid w:val="00027E94"/>
    <w:rsid w:val="0003208E"/>
    <w:rsid w:val="000428FC"/>
    <w:rsid w:val="0004639E"/>
    <w:rsid w:val="00053D39"/>
    <w:rsid w:val="00054F50"/>
    <w:rsid w:val="0006078F"/>
    <w:rsid w:val="00060BC9"/>
    <w:rsid w:val="00070E30"/>
    <w:rsid w:val="000A415E"/>
    <w:rsid w:val="000B46BB"/>
    <w:rsid w:val="000E3E84"/>
    <w:rsid w:val="00102EE2"/>
    <w:rsid w:val="001160E8"/>
    <w:rsid w:val="00132042"/>
    <w:rsid w:val="0013744A"/>
    <w:rsid w:val="00146B10"/>
    <w:rsid w:val="001872A7"/>
    <w:rsid w:val="00197D8E"/>
    <w:rsid w:val="001D59F6"/>
    <w:rsid w:val="00204CF1"/>
    <w:rsid w:val="002064B8"/>
    <w:rsid w:val="00210A29"/>
    <w:rsid w:val="00210E97"/>
    <w:rsid w:val="002244FC"/>
    <w:rsid w:val="00227098"/>
    <w:rsid w:val="0024010C"/>
    <w:rsid w:val="00266E5A"/>
    <w:rsid w:val="002864BC"/>
    <w:rsid w:val="00287415"/>
    <w:rsid w:val="002A5795"/>
    <w:rsid w:val="002C0533"/>
    <w:rsid w:val="002C2046"/>
    <w:rsid w:val="002D0FC7"/>
    <w:rsid w:val="002D38A3"/>
    <w:rsid w:val="002E1C5F"/>
    <w:rsid w:val="002E29A3"/>
    <w:rsid w:val="002E2FA2"/>
    <w:rsid w:val="003037F2"/>
    <w:rsid w:val="00303EA7"/>
    <w:rsid w:val="00303FE9"/>
    <w:rsid w:val="00337B29"/>
    <w:rsid w:val="00343169"/>
    <w:rsid w:val="00343B6D"/>
    <w:rsid w:val="00351010"/>
    <w:rsid w:val="00356381"/>
    <w:rsid w:val="003855C4"/>
    <w:rsid w:val="003946AA"/>
    <w:rsid w:val="0039754E"/>
    <w:rsid w:val="003B09BF"/>
    <w:rsid w:val="003C2B89"/>
    <w:rsid w:val="003C4F07"/>
    <w:rsid w:val="003C538B"/>
    <w:rsid w:val="003E7F6C"/>
    <w:rsid w:val="003F2860"/>
    <w:rsid w:val="0041333B"/>
    <w:rsid w:val="00464D0D"/>
    <w:rsid w:val="00472A7F"/>
    <w:rsid w:val="00473D97"/>
    <w:rsid w:val="0047769C"/>
    <w:rsid w:val="00486D73"/>
    <w:rsid w:val="00491D11"/>
    <w:rsid w:val="00491FC8"/>
    <w:rsid w:val="004945A0"/>
    <w:rsid w:val="004A20FB"/>
    <w:rsid w:val="004B0E63"/>
    <w:rsid w:val="004B134A"/>
    <w:rsid w:val="004D1B84"/>
    <w:rsid w:val="004D3E5D"/>
    <w:rsid w:val="004D7AAE"/>
    <w:rsid w:val="004F066C"/>
    <w:rsid w:val="00503D24"/>
    <w:rsid w:val="0051244B"/>
    <w:rsid w:val="005136D8"/>
    <w:rsid w:val="00530005"/>
    <w:rsid w:val="00531FBB"/>
    <w:rsid w:val="0054189F"/>
    <w:rsid w:val="005454F7"/>
    <w:rsid w:val="00551E1A"/>
    <w:rsid w:val="0057390A"/>
    <w:rsid w:val="005A270F"/>
    <w:rsid w:val="005B0B22"/>
    <w:rsid w:val="005D4CB3"/>
    <w:rsid w:val="005D4FC4"/>
    <w:rsid w:val="00604BB8"/>
    <w:rsid w:val="00611C65"/>
    <w:rsid w:val="00617024"/>
    <w:rsid w:val="00624906"/>
    <w:rsid w:val="00646E39"/>
    <w:rsid w:val="00682242"/>
    <w:rsid w:val="00683A8C"/>
    <w:rsid w:val="006A3CC4"/>
    <w:rsid w:val="006B2322"/>
    <w:rsid w:val="006B3814"/>
    <w:rsid w:val="006B59F9"/>
    <w:rsid w:val="006B5A19"/>
    <w:rsid w:val="006B66A3"/>
    <w:rsid w:val="006D24EA"/>
    <w:rsid w:val="006D5EE6"/>
    <w:rsid w:val="00701F0B"/>
    <w:rsid w:val="00704C46"/>
    <w:rsid w:val="00720156"/>
    <w:rsid w:val="00723C32"/>
    <w:rsid w:val="00736601"/>
    <w:rsid w:val="007426A8"/>
    <w:rsid w:val="00747C60"/>
    <w:rsid w:val="00760FB3"/>
    <w:rsid w:val="00762E2C"/>
    <w:rsid w:val="00773011"/>
    <w:rsid w:val="0079403B"/>
    <w:rsid w:val="007951B2"/>
    <w:rsid w:val="007B5AD1"/>
    <w:rsid w:val="007B7129"/>
    <w:rsid w:val="007C6261"/>
    <w:rsid w:val="007D1A78"/>
    <w:rsid w:val="007D51CE"/>
    <w:rsid w:val="007D67F5"/>
    <w:rsid w:val="007D7ABD"/>
    <w:rsid w:val="007E3ECB"/>
    <w:rsid w:val="007E6F52"/>
    <w:rsid w:val="007F7723"/>
    <w:rsid w:val="008106C5"/>
    <w:rsid w:val="00810C11"/>
    <w:rsid w:val="008402E5"/>
    <w:rsid w:val="0084624F"/>
    <w:rsid w:val="0084742A"/>
    <w:rsid w:val="00850ACE"/>
    <w:rsid w:val="00884C10"/>
    <w:rsid w:val="0088630C"/>
    <w:rsid w:val="0089052F"/>
    <w:rsid w:val="008F7E17"/>
    <w:rsid w:val="0090416E"/>
    <w:rsid w:val="00913C59"/>
    <w:rsid w:val="00917A69"/>
    <w:rsid w:val="0093224E"/>
    <w:rsid w:val="00933E1F"/>
    <w:rsid w:val="009357A9"/>
    <w:rsid w:val="00961B84"/>
    <w:rsid w:val="009B0C6D"/>
    <w:rsid w:val="009B14B2"/>
    <w:rsid w:val="009B779E"/>
    <w:rsid w:val="009D7180"/>
    <w:rsid w:val="009E7E58"/>
    <w:rsid w:val="009F46AD"/>
    <w:rsid w:val="009F48F8"/>
    <w:rsid w:val="00A178BD"/>
    <w:rsid w:val="00A17A42"/>
    <w:rsid w:val="00A21ED3"/>
    <w:rsid w:val="00A32CCC"/>
    <w:rsid w:val="00A55C17"/>
    <w:rsid w:val="00A601AA"/>
    <w:rsid w:val="00A67EE2"/>
    <w:rsid w:val="00A76353"/>
    <w:rsid w:val="00AA30CC"/>
    <w:rsid w:val="00AB08D2"/>
    <w:rsid w:val="00AB2059"/>
    <w:rsid w:val="00AB7EDD"/>
    <w:rsid w:val="00AC0747"/>
    <w:rsid w:val="00AC170C"/>
    <w:rsid w:val="00AD3FB5"/>
    <w:rsid w:val="00AD7C35"/>
    <w:rsid w:val="00AE027F"/>
    <w:rsid w:val="00AF5608"/>
    <w:rsid w:val="00B0592D"/>
    <w:rsid w:val="00B371F7"/>
    <w:rsid w:val="00B4092E"/>
    <w:rsid w:val="00B506F8"/>
    <w:rsid w:val="00B609C2"/>
    <w:rsid w:val="00B6152D"/>
    <w:rsid w:val="00B66D4B"/>
    <w:rsid w:val="00B70947"/>
    <w:rsid w:val="00B711C5"/>
    <w:rsid w:val="00B86FFB"/>
    <w:rsid w:val="00BB0477"/>
    <w:rsid w:val="00BB75DA"/>
    <w:rsid w:val="00BC26EE"/>
    <w:rsid w:val="00BF3EA6"/>
    <w:rsid w:val="00C0505E"/>
    <w:rsid w:val="00C15480"/>
    <w:rsid w:val="00C42429"/>
    <w:rsid w:val="00C60A5C"/>
    <w:rsid w:val="00C65555"/>
    <w:rsid w:val="00C75C93"/>
    <w:rsid w:val="00C87CB9"/>
    <w:rsid w:val="00CB1F54"/>
    <w:rsid w:val="00CB422B"/>
    <w:rsid w:val="00CC4066"/>
    <w:rsid w:val="00CE4338"/>
    <w:rsid w:val="00CF0FEF"/>
    <w:rsid w:val="00CF6C77"/>
    <w:rsid w:val="00D13158"/>
    <w:rsid w:val="00D20103"/>
    <w:rsid w:val="00D208A6"/>
    <w:rsid w:val="00D46D12"/>
    <w:rsid w:val="00D64996"/>
    <w:rsid w:val="00D66930"/>
    <w:rsid w:val="00D80CCA"/>
    <w:rsid w:val="00D833A0"/>
    <w:rsid w:val="00D91831"/>
    <w:rsid w:val="00DC4EA3"/>
    <w:rsid w:val="00E26639"/>
    <w:rsid w:val="00E335AE"/>
    <w:rsid w:val="00E46C6E"/>
    <w:rsid w:val="00E47DA5"/>
    <w:rsid w:val="00E516AA"/>
    <w:rsid w:val="00E55DE4"/>
    <w:rsid w:val="00E60511"/>
    <w:rsid w:val="00E62F07"/>
    <w:rsid w:val="00E65D3A"/>
    <w:rsid w:val="00E7319D"/>
    <w:rsid w:val="00E83359"/>
    <w:rsid w:val="00E87985"/>
    <w:rsid w:val="00E91253"/>
    <w:rsid w:val="00E91284"/>
    <w:rsid w:val="00E95CE7"/>
    <w:rsid w:val="00E9712C"/>
    <w:rsid w:val="00E97A32"/>
    <w:rsid w:val="00EB549B"/>
    <w:rsid w:val="00EB7C76"/>
    <w:rsid w:val="00EC354B"/>
    <w:rsid w:val="00EC6A69"/>
    <w:rsid w:val="00F05E66"/>
    <w:rsid w:val="00F23BE7"/>
    <w:rsid w:val="00F32F6D"/>
    <w:rsid w:val="00F43048"/>
    <w:rsid w:val="00F4621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19979789">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QUESTION NUMBER: 2320 [NW2738E]</vt:lpstr>
      <vt:lpstr/>
    </vt:vector>
  </TitlesOfParts>
  <Company>NDPW</Company>
  <LinksUpToDate>false</LinksUpToDate>
  <CharactersWithSpaces>2751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2022-06-27T08:59:00Z</dcterms:created>
  <dcterms:modified xsi:type="dcterms:W3CDTF">2022-06-27T08:59:00Z</dcterms:modified>
</cp:coreProperties>
</file>