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4F2126"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13580">
        <w:rPr>
          <w:u w:val="none"/>
        </w:rPr>
        <w:t>2</w:t>
      </w:r>
      <w:r w:rsidR="00C53E25">
        <w:rPr>
          <w:u w:val="none"/>
        </w:rPr>
        <w:t>31</w:t>
      </w:r>
      <w:r w:rsidR="0013301D">
        <w:rPr>
          <w:u w:val="none"/>
        </w:rPr>
        <w:t>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53E25">
        <w:rPr>
          <w:rFonts w:ascii="Arial" w:hAnsi="Arial" w:cs="Arial"/>
          <w:b/>
          <w:bCs/>
        </w:rPr>
        <w:t>MONDAY</w:t>
      </w:r>
      <w:r w:rsidR="00DE7532">
        <w:rPr>
          <w:rFonts w:ascii="Arial" w:hAnsi="Arial" w:cs="Arial"/>
          <w:b/>
          <w:bCs/>
        </w:rPr>
        <w:t xml:space="preserve">, </w:t>
      </w:r>
      <w:r w:rsidR="00C53E25">
        <w:rPr>
          <w:rFonts w:ascii="Arial" w:hAnsi="Arial" w:cs="Arial"/>
          <w:b/>
          <w:bCs/>
        </w:rPr>
        <w:t xml:space="preserve">14 AUGUST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DD20A9">
        <w:rPr>
          <w:u w:val="none"/>
        </w:rPr>
        <w:t>2</w:t>
      </w:r>
      <w:r w:rsidR="00C53E25">
        <w:rPr>
          <w:u w:val="none"/>
        </w:rPr>
        <w:t>6</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13301D" w:rsidP="00157E48">
      <w:pPr>
        <w:spacing w:line="320" w:lineRule="exact"/>
        <w:jc w:val="both"/>
        <w:rPr>
          <w:rFonts w:ascii="Arial" w:hAnsi="Arial" w:cs="Arial"/>
          <w:b/>
          <w:lang w:val="en-ZA"/>
        </w:rPr>
      </w:pPr>
      <w:r w:rsidRPr="0013301D">
        <w:rPr>
          <w:rFonts w:ascii="Arial" w:hAnsi="Arial" w:cs="Arial"/>
          <w:b/>
          <w:lang w:val="en-ZA"/>
        </w:rPr>
        <w:t>2315.</w:t>
      </w:r>
      <w:r w:rsidRPr="0013301D">
        <w:rPr>
          <w:rFonts w:ascii="Arial" w:hAnsi="Arial" w:cs="Arial"/>
          <w:b/>
          <w:lang w:val="en-ZA"/>
        </w:rPr>
        <w:tab/>
        <w:t>Mr M W Rabotapi (DA) to ask the Minister of Home Affairs:</w:t>
      </w:r>
    </w:p>
    <w:p w:rsidR="00157E48" w:rsidRPr="00157E48" w:rsidRDefault="00157E48" w:rsidP="00157E48">
      <w:pPr>
        <w:spacing w:line="320" w:lineRule="exact"/>
        <w:jc w:val="both"/>
        <w:rPr>
          <w:rFonts w:ascii="Arial" w:hAnsi="Arial" w:cs="Arial"/>
          <w:b/>
          <w:lang w:val="en-ZA"/>
        </w:rPr>
      </w:pPr>
    </w:p>
    <w:p w:rsidR="00C02879" w:rsidRDefault="0013301D" w:rsidP="0013301D">
      <w:pPr>
        <w:spacing w:line="320" w:lineRule="exact"/>
        <w:jc w:val="both"/>
        <w:rPr>
          <w:rFonts w:ascii="Arial" w:hAnsi="Arial" w:cs="Arial"/>
          <w:lang w:val="en-US"/>
        </w:rPr>
      </w:pPr>
      <w:r w:rsidRPr="0013301D">
        <w:rPr>
          <w:rFonts w:ascii="Arial" w:hAnsi="Arial" w:cs="Arial"/>
          <w:lang w:val="en-ZA"/>
        </w:rPr>
        <w:t>With reference to his reply to question 1758 on 12 July 2017, (a) what is the total monthly expenditure for the internal security officer protecting the Head of the Department of Home Affairs, including (i) salary, (ii) benefits, (iii) over-time payment, (iv) incidentals and (v) other costs, (b) on what date was the threat and risk analysis conducted and (c) how often is the situation reviewed?</w:t>
      </w:r>
      <w:r w:rsidRPr="0013301D">
        <w:rPr>
          <w:rFonts w:ascii="Arial" w:hAnsi="Arial" w:cs="Arial"/>
          <w:lang w:val="en-ZA"/>
        </w:rPr>
        <w:tab/>
      </w:r>
      <w:r w:rsidRPr="0013301D">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0077448D">
        <w:rPr>
          <w:rFonts w:ascii="Arial" w:hAnsi="Arial" w:cs="Arial"/>
          <w:lang w:val="en-ZA"/>
        </w:rPr>
        <w:tab/>
      </w:r>
      <w:r w:rsidRPr="0013301D">
        <w:rPr>
          <w:rFonts w:ascii="Arial" w:hAnsi="Arial" w:cs="Arial"/>
          <w:lang w:val="en-ZA"/>
        </w:rPr>
        <w:t>NW2560E</w:t>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DD61D3" w:rsidRPr="00DD61D3" w:rsidRDefault="00DD61D3" w:rsidP="00DD61D3">
      <w:pPr>
        <w:tabs>
          <w:tab w:val="left" w:pos="567"/>
        </w:tabs>
        <w:spacing w:line="320" w:lineRule="exact"/>
        <w:ind w:left="567" w:hanging="567"/>
        <w:jc w:val="both"/>
        <w:rPr>
          <w:rFonts w:ascii="Arial" w:hAnsi="Arial" w:cs="Arial"/>
        </w:rPr>
      </w:pPr>
      <w:r w:rsidRPr="00DD61D3">
        <w:rPr>
          <w:rFonts w:ascii="Arial" w:hAnsi="Arial" w:cs="Arial"/>
        </w:rPr>
        <w:t xml:space="preserve">(a) </w:t>
      </w:r>
      <w:r>
        <w:rPr>
          <w:rFonts w:ascii="Arial" w:hAnsi="Arial" w:cs="Arial"/>
        </w:rPr>
        <w:tab/>
      </w:r>
      <w:r w:rsidRPr="00DD61D3">
        <w:rPr>
          <w:rFonts w:ascii="Arial" w:hAnsi="Arial" w:cs="Arial"/>
        </w:rPr>
        <w:t>The total monthly expenditure for the internal security officer protecting the Head of the Department of Home Affairs is R48 869.09, including</w:t>
      </w:r>
      <w:r>
        <w:rPr>
          <w:rFonts w:ascii="Arial" w:hAnsi="Arial" w:cs="Arial"/>
        </w:rPr>
        <w:t xml:space="preserve">: </w:t>
      </w:r>
      <w:r w:rsidRPr="00DD61D3">
        <w:rPr>
          <w:rFonts w:ascii="Arial" w:hAnsi="Arial" w:cs="Arial"/>
        </w:rPr>
        <w:t xml:space="preserve"> </w:t>
      </w:r>
    </w:p>
    <w:p w:rsidR="00DD61D3" w:rsidRPr="00DD61D3" w:rsidRDefault="00DD61D3" w:rsidP="00DD61D3">
      <w:pPr>
        <w:tabs>
          <w:tab w:val="left" w:pos="432"/>
          <w:tab w:val="left" w:pos="864"/>
        </w:tabs>
        <w:spacing w:line="320" w:lineRule="exact"/>
        <w:jc w:val="both"/>
        <w:rPr>
          <w:rFonts w:ascii="Arial" w:hAnsi="Arial" w:cs="Arial"/>
        </w:rPr>
      </w:pPr>
    </w:p>
    <w:p w:rsidR="00DD61D3" w:rsidRPr="00DD61D3" w:rsidRDefault="00DD61D3" w:rsidP="00DD61D3">
      <w:pPr>
        <w:tabs>
          <w:tab w:val="left" w:pos="993"/>
        </w:tabs>
        <w:spacing w:line="320" w:lineRule="exact"/>
        <w:ind w:left="567"/>
        <w:jc w:val="both"/>
        <w:rPr>
          <w:rFonts w:ascii="Arial" w:hAnsi="Arial" w:cs="Arial"/>
        </w:rPr>
      </w:pPr>
      <w:r w:rsidRPr="00DD61D3">
        <w:rPr>
          <w:rFonts w:ascii="Arial" w:hAnsi="Arial" w:cs="Arial"/>
        </w:rPr>
        <w:t xml:space="preserve">(i) </w:t>
      </w:r>
      <w:r>
        <w:rPr>
          <w:rFonts w:ascii="Arial" w:hAnsi="Arial" w:cs="Arial"/>
        </w:rPr>
        <w:tab/>
      </w:r>
      <w:r w:rsidRPr="00DD61D3">
        <w:rPr>
          <w:rFonts w:ascii="Arial" w:hAnsi="Arial" w:cs="Arial"/>
        </w:rPr>
        <w:t>Salary, [R36 385.00]</w:t>
      </w:r>
    </w:p>
    <w:p w:rsidR="00DD61D3" w:rsidRPr="00DD61D3" w:rsidRDefault="00DD61D3" w:rsidP="00DD61D3">
      <w:pPr>
        <w:tabs>
          <w:tab w:val="left" w:pos="993"/>
        </w:tabs>
        <w:spacing w:line="320" w:lineRule="exact"/>
        <w:ind w:left="567"/>
        <w:jc w:val="both"/>
        <w:rPr>
          <w:rFonts w:ascii="Arial" w:hAnsi="Arial" w:cs="Arial"/>
        </w:rPr>
      </w:pPr>
      <w:r w:rsidRPr="00DD61D3">
        <w:rPr>
          <w:rFonts w:ascii="Arial" w:hAnsi="Arial" w:cs="Arial"/>
        </w:rPr>
        <w:t>(ii)</w:t>
      </w:r>
      <w:r>
        <w:rPr>
          <w:rFonts w:ascii="Arial" w:hAnsi="Arial" w:cs="Arial"/>
        </w:rPr>
        <w:tab/>
      </w:r>
      <w:r w:rsidRPr="00DD61D3">
        <w:rPr>
          <w:rFonts w:ascii="Arial" w:hAnsi="Arial" w:cs="Arial"/>
        </w:rPr>
        <w:t xml:space="preserve">Benefits, [R4 343.12 (pension)]  </w:t>
      </w:r>
    </w:p>
    <w:p w:rsidR="00DD61D3" w:rsidRPr="00DD61D3" w:rsidRDefault="00DD61D3" w:rsidP="00DD61D3">
      <w:pPr>
        <w:tabs>
          <w:tab w:val="left" w:pos="993"/>
        </w:tabs>
        <w:spacing w:line="320" w:lineRule="exact"/>
        <w:ind w:left="567"/>
        <w:jc w:val="both"/>
        <w:rPr>
          <w:rFonts w:ascii="Arial" w:hAnsi="Arial" w:cs="Arial"/>
        </w:rPr>
      </w:pPr>
      <w:r w:rsidRPr="00DD61D3">
        <w:rPr>
          <w:rFonts w:ascii="Arial" w:hAnsi="Arial" w:cs="Arial"/>
        </w:rPr>
        <w:t>(iii)</w:t>
      </w:r>
      <w:r>
        <w:rPr>
          <w:rFonts w:ascii="Arial" w:hAnsi="Arial" w:cs="Arial"/>
        </w:rPr>
        <w:tab/>
      </w:r>
      <w:r w:rsidRPr="00DD61D3">
        <w:rPr>
          <w:rFonts w:ascii="Arial" w:hAnsi="Arial" w:cs="Arial"/>
        </w:rPr>
        <w:t xml:space="preserve">Over-time payment, [R5 960.12] </w:t>
      </w:r>
    </w:p>
    <w:p w:rsidR="00DD61D3" w:rsidRPr="00DD61D3" w:rsidRDefault="00DD61D3" w:rsidP="00DD61D3">
      <w:pPr>
        <w:tabs>
          <w:tab w:val="left" w:pos="993"/>
        </w:tabs>
        <w:spacing w:line="320" w:lineRule="exact"/>
        <w:ind w:left="567"/>
        <w:jc w:val="both"/>
        <w:rPr>
          <w:rFonts w:ascii="Arial" w:hAnsi="Arial" w:cs="Arial"/>
        </w:rPr>
      </w:pPr>
      <w:r w:rsidRPr="00DD61D3">
        <w:rPr>
          <w:rFonts w:ascii="Arial" w:hAnsi="Arial" w:cs="Arial"/>
        </w:rPr>
        <w:t xml:space="preserve">(iv) </w:t>
      </w:r>
      <w:r>
        <w:rPr>
          <w:rFonts w:ascii="Arial" w:hAnsi="Arial" w:cs="Arial"/>
        </w:rPr>
        <w:tab/>
      </w:r>
      <w:r w:rsidRPr="00DD61D3">
        <w:rPr>
          <w:rFonts w:ascii="Arial" w:hAnsi="Arial" w:cs="Arial"/>
        </w:rPr>
        <w:t>Incidentals, [R0.00]</w:t>
      </w:r>
    </w:p>
    <w:p w:rsidR="00DD61D3" w:rsidRPr="00DD61D3" w:rsidRDefault="00DD61D3" w:rsidP="00DD61D3">
      <w:pPr>
        <w:tabs>
          <w:tab w:val="left" w:pos="993"/>
        </w:tabs>
        <w:spacing w:line="320" w:lineRule="exact"/>
        <w:ind w:left="567"/>
        <w:jc w:val="both"/>
        <w:rPr>
          <w:rFonts w:ascii="Arial" w:hAnsi="Arial" w:cs="Arial"/>
        </w:rPr>
      </w:pPr>
      <w:r w:rsidRPr="00DD61D3">
        <w:rPr>
          <w:rFonts w:ascii="Arial" w:hAnsi="Arial" w:cs="Arial"/>
        </w:rPr>
        <w:t xml:space="preserve">(v) </w:t>
      </w:r>
      <w:r>
        <w:rPr>
          <w:rFonts w:ascii="Arial" w:hAnsi="Arial" w:cs="Arial"/>
        </w:rPr>
        <w:tab/>
      </w:r>
      <w:r w:rsidRPr="00DD61D3">
        <w:rPr>
          <w:rFonts w:ascii="Arial" w:hAnsi="Arial" w:cs="Arial"/>
        </w:rPr>
        <w:t>Other costs, [R2 180.85  (standby/role playing allowance)]</w:t>
      </w:r>
    </w:p>
    <w:p w:rsidR="00DD61D3" w:rsidRPr="00DD61D3" w:rsidRDefault="00DD61D3" w:rsidP="00DD61D3">
      <w:pPr>
        <w:tabs>
          <w:tab w:val="left" w:pos="432"/>
          <w:tab w:val="left" w:pos="864"/>
        </w:tabs>
        <w:spacing w:line="320" w:lineRule="exact"/>
        <w:jc w:val="both"/>
        <w:rPr>
          <w:rFonts w:ascii="Arial" w:hAnsi="Arial" w:cs="Arial"/>
        </w:rPr>
      </w:pPr>
    </w:p>
    <w:p w:rsidR="00DD61D3" w:rsidRPr="00DD61D3" w:rsidRDefault="00DD61D3" w:rsidP="00DD61D3">
      <w:pPr>
        <w:tabs>
          <w:tab w:val="left" w:pos="567"/>
          <w:tab w:val="left" w:pos="864"/>
        </w:tabs>
        <w:spacing w:line="320" w:lineRule="exact"/>
        <w:ind w:left="567" w:hanging="567"/>
        <w:jc w:val="both"/>
        <w:rPr>
          <w:rFonts w:ascii="Arial" w:hAnsi="Arial" w:cs="Arial"/>
        </w:rPr>
      </w:pPr>
      <w:r w:rsidRPr="00DD61D3">
        <w:rPr>
          <w:rFonts w:ascii="Arial" w:hAnsi="Arial" w:cs="Arial"/>
        </w:rPr>
        <w:t>(b)</w:t>
      </w:r>
      <w:r>
        <w:rPr>
          <w:rFonts w:ascii="Arial" w:hAnsi="Arial" w:cs="Arial"/>
        </w:rPr>
        <w:tab/>
      </w:r>
      <w:r w:rsidRPr="00DD61D3">
        <w:rPr>
          <w:rFonts w:ascii="Arial" w:hAnsi="Arial" w:cs="Arial"/>
        </w:rPr>
        <w:t>The threat and risk analysis was conducted in February 2016</w:t>
      </w:r>
      <w:r>
        <w:rPr>
          <w:rFonts w:ascii="Arial" w:hAnsi="Arial" w:cs="Arial"/>
        </w:rPr>
        <w:t>.</w:t>
      </w:r>
      <w:r w:rsidRPr="00DD61D3">
        <w:rPr>
          <w:rFonts w:ascii="Arial" w:hAnsi="Arial" w:cs="Arial"/>
        </w:rPr>
        <w:t xml:space="preserve"> </w:t>
      </w:r>
    </w:p>
    <w:p w:rsidR="00DD61D3" w:rsidRPr="00DD61D3" w:rsidRDefault="00DD61D3" w:rsidP="00DD61D3">
      <w:pPr>
        <w:tabs>
          <w:tab w:val="left" w:pos="432"/>
          <w:tab w:val="left" w:pos="864"/>
        </w:tabs>
        <w:spacing w:line="320" w:lineRule="exact"/>
        <w:jc w:val="both"/>
        <w:rPr>
          <w:rFonts w:ascii="Arial" w:hAnsi="Arial" w:cs="Arial"/>
        </w:rPr>
      </w:pPr>
    </w:p>
    <w:p w:rsidR="00AC39B0" w:rsidRDefault="00DD61D3" w:rsidP="00DD61D3">
      <w:pPr>
        <w:tabs>
          <w:tab w:val="left" w:pos="567"/>
        </w:tabs>
        <w:spacing w:line="320" w:lineRule="exact"/>
        <w:ind w:left="567" w:hanging="567"/>
        <w:jc w:val="both"/>
        <w:rPr>
          <w:rFonts w:ascii="Arial" w:hAnsi="Arial" w:cs="Arial"/>
        </w:rPr>
      </w:pPr>
      <w:r w:rsidRPr="00DD61D3">
        <w:rPr>
          <w:rFonts w:ascii="Arial" w:hAnsi="Arial" w:cs="Arial"/>
        </w:rPr>
        <w:t>(c)</w:t>
      </w:r>
      <w:r>
        <w:rPr>
          <w:rFonts w:ascii="Arial" w:hAnsi="Arial" w:cs="Arial"/>
        </w:rPr>
        <w:tab/>
      </w:r>
      <w:r w:rsidRPr="00DD61D3">
        <w:rPr>
          <w:rFonts w:ascii="Arial" w:hAnsi="Arial" w:cs="Arial"/>
        </w:rPr>
        <w:t xml:space="preserve">The situation is reviewed annually, unless a need arises to deviate from the </w:t>
      </w:r>
      <w:r>
        <w:rPr>
          <w:rFonts w:ascii="Arial" w:hAnsi="Arial" w:cs="Arial"/>
        </w:rPr>
        <w:t xml:space="preserve">established </w:t>
      </w:r>
      <w:r w:rsidRPr="00DD61D3">
        <w:rPr>
          <w:rFonts w:ascii="Arial" w:hAnsi="Arial" w:cs="Arial"/>
        </w:rPr>
        <w:t>annual</w:t>
      </w:r>
      <w:r>
        <w:rPr>
          <w:rFonts w:ascii="Arial" w:hAnsi="Arial" w:cs="Arial"/>
        </w:rPr>
        <w:t xml:space="preserve"> </w:t>
      </w:r>
      <w:r w:rsidRPr="00DD61D3">
        <w:rPr>
          <w:rFonts w:ascii="Arial" w:hAnsi="Arial" w:cs="Arial"/>
        </w:rPr>
        <w:t>review.</w:t>
      </w:r>
    </w:p>
    <w:p w:rsidR="0013301D" w:rsidRDefault="0013301D" w:rsidP="00C3335E">
      <w:pPr>
        <w:tabs>
          <w:tab w:val="left" w:pos="432"/>
          <w:tab w:val="left" w:pos="864"/>
        </w:tabs>
        <w:spacing w:line="320" w:lineRule="exact"/>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748" w:rsidRDefault="000C4748">
      <w:r>
        <w:separator/>
      </w:r>
    </w:p>
  </w:endnote>
  <w:endnote w:type="continuationSeparator" w:id="0">
    <w:p w:rsidR="000C4748" w:rsidRDefault="000C4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748" w:rsidRDefault="000C4748">
      <w:r>
        <w:separator/>
      </w:r>
    </w:p>
  </w:footnote>
  <w:footnote w:type="continuationSeparator" w:id="0">
    <w:p w:rsidR="000C4748" w:rsidRDefault="000C4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1D3">
      <w:rPr>
        <w:rStyle w:val="PageNumber"/>
        <w:noProof/>
      </w:rPr>
      <w:t>2</w:t>
    </w:r>
    <w:r>
      <w:rPr>
        <w:rStyle w:val="PageNumber"/>
      </w:rPr>
      <w:fldChar w:fldCharType="end"/>
    </w:r>
  </w:p>
  <w:p w:rsidR="00AE703D" w:rsidRDefault="00AE7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9"/>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3"/>
  </w:num>
  <w:num w:numId="35">
    <w:abstractNumId w:val="1"/>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4748"/>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3C8"/>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01D"/>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644D"/>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2AC"/>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126"/>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309"/>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580"/>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2A7"/>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48D"/>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27630"/>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7D9"/>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25"/>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6E"/>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D61D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06"/>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AE19-1CD3-4DEF-804F-E9F0FA7D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2017-08-17T12:51:00Z</cp:lastPrinted>
  <dcterms:created xsi:type="dcterms:W3CDTF">2017-08-30T12:08:00Z</dcterms:created>
  <dcterms:modified xsi:type="dcterms:W3CDTF">2017-08-30T12:08:00Z</dcterms:modified>
</cp:coreProperties>
</file>