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AC5FA9" w:rsidRDefault="00AC5FA9" w:rsidP="00BE13C3">
      <w:pPr>
        <w:ind w:left="540" w:hanging="540"/>
        <w:rPr>
          <w:rFonts w:cs="Arial"/>
        </w:rPr>
      </w:pPr>
    </w:p>
    <w:p w:rsidR="00AC5FA9" w:rsidRDefault="00AC5FA9" w:rsidP="00BE13C3">
      <w:pPr>
        <w:ind w:left="540" w:hanging="540"/>
        <w:rPr>
          <w:rFonts w:cs="Arial"/>
        </w:rPr>
      </w:pPr>
    </w:p>
    <w:p w:rsidR="00AC5FA9" w:rsidRDefault="0044133B" w:rsidP="00AC5FA9">
      <w:pPr>
        <w:ind w:left="540" w:hanging="540"/>
        <w:jc w:val="center"/>
        <w:rPr>
          <w:rFonts w:cs="Arial"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620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A9" w:rsidRPr="00AC5FA9" w:rsidRDefault="00AC5FA9" w:rsidP="00AC5FA9">
      <w:pPr>
        <w:jc w:val="center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>JUSTICE AND CORRECTIONAL SERVICES</w:t>
      </w:r>
    </w:p>
    <w:p w:rsidR="00AC5FA9" w:rsidRPr="00AC5FA9" w:rsidRDefault="00AC5FA9" w:rsidP="00AC5FA9">
      <w:pPr>
        <w:jc w:val="center"/>
        <w:outlineLvl w:val="0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>REPUBLIC OF SOUTH AFRICA</w:t>
      </w:r>
    </w:p>
    <w:p w:rsidR="00AC5FA9" w:rsidRPr="00AC5FA9" w:rsidRDefault="00AC5FA9" w:rsidP="00AC5FA9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BE13C3" w:rsidRPr="00AC5FA9" w:rsidRDefault="00AC5FA9" w:rsidP="00AC5FA9">
      <w:pPr>
        <w:spacing w:line="360" w:lineRule="auto"/>
        <w:rPr>
          <w:rFonts w:cs="Arial"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>NATIONAL ASSEMBLY</w:t>
      </w:r>
    </w:p>
    <w:p w:rsidR="007734D1" w:rsidRPr="00AC5FA9" w:rsidRDefault="00AC5FA9" w:rsidP="00AC5FA9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 xml:space="preserve">QUESTION </w:t>
      </w:r>
      <w:r w:rsidR="007734D1" w:rsidRPr="00AC5FA9">
        <w:rPr>
          <w:rFonts w:cs="Arial"/>
          <w:b/>
          <w:sz w:val="24"/>
          <w:szCs w:val="24"/>
        </w:rPr>
        <w:t xml:space="preserve">FOR </w:t>
      </w:r>
      <w:r w:rsidRPr="00AC5FA9">
        <w:rPr>
          <w:rFonts w:cs="Arial"/>
          <w:b/>
          <w:sz w:val="24"/>
          <w:szCs w:val="24"/>
        </w:rPr>
        <w:t>WRITTEN</w:t>
      </w:r>
      <w:r w:rsidR="007734D1" w:rsidRPr="00AC5FA9">
        <w:rPr>
          <w:rFonts w:cs="Arial"/>
          <w:b/>
          <w:sz w:val="24"/>
          <w:szCs w:val="24"/>
        </w:rPr>
        <w:t xml:space="preserve"> REPLY</w:t>
      </w:r>
    </w:p>
    <w:p w:rsidR="007734D1" w:rsidRPr="00AC5FA9" w:rsidRDefault="00AC5FA9" w:rsidP="00AC5FA9">
      <w:pPr>
        <w:spacing w:line="360" w:lineRule="auto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 xml:space="preserve">PARLIAMENTARY </w:t>
      </w:r>
      <w:r w:rsidR="007734D1" w:rsidRPr="00AC5FA9">
        <w:rPr>
          <w:rFonts w:cs="Arial"/>
          <w:b/>
          <w:sz w:val="24"/>
          <w:szCs w:val="24"/>
        </w:rPr>
        <w:t>QUESTION NO:2311</w:t>
      </w:r>
    </w:p>
    <w:p w:rsidR="00AC5FA9" w:rsidRPr="00AC5FA9" w:rsidRDefault="00AC5FA9" w:rsidP="00AC5FA9">
      <w:pPr>
        <w:spacing w:line="360" w:lineRule="auto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>DATE OF QUESTION: 09 JUNE 2023</w:t>
      </w:r>
    </w:p>
    <w:p w:rsidR="00AC5FA9" w:rsidRPr="00AC5FA9" w:rsidRDefault="00AC5FA9" w:rsidP="00AC5FA9">
      <w:pPr>
        <w:spacing w:line="360" w:lineRule="auto"/>
        <w:rPr>
          <w:rFonts w:cs="Arial"/>
          <w:b/>
          <w:sz w:val="24"/>
          <w:szCs w:val="24"/>
        </w:rPr>
      </w:pPr>
      <w:r w:rsidRPr="00AC5FA9">
        <w:rPr>
          <w:rFonts w:cs="Arial"/>
          <w:b/>
          <w:sz w:val="24"/>
          <w:szCs w:val="24"/>
        </w:rPr>
        <w:t>DATE OF SUBMISSION: 23 JUNE 2023</w:t>
      </w:r>
    </w:p>
    <w:p w:rsidR="007734D1" w:rsidRPr="00350946" w:rsidRDefault="007734D1" w:rsidP="007734D1">
      <w:pPr>
        <w:jc w:val="both"/>
        <w:rPr>
          <w:rFonts w:cs="Arial"/>
          <w:sz w:val="24"/>
          <w:szCs w:val="24"/>
        </w:rPr>
      </w:pPr>
    </w:p>
    <w:p w:rsidR="007734D1" w:rsidRPr="001E7D39" w:rsidRDefault="007734D1" w:rsidP="007734D1">
      <w:pPr>
        <w:spacing w:before="100" w:beforeAutospacing="1" w:after="100" w:afterAutospacing="1"/>
        <w:jc w:val="both"/>
        <w:rPr>
          <w:rFonts w:eastAsia="Calibri" w:cs="Arial"/>
          <w:b/>
          <w:bCs/>
          <w:color w:val="000000"/>
          <w:sz w:val="24"/>
          <w:szCs w:val="24"/>
          <w:lang w:val="en-US"/>
        </w:rPr>
      </w:pPr>
      <w:r>
        <w:rPr>
          <w:rFonts w:eastAsia="Calibri" w:cs="Arial"/>
          <w:b/>
          <w:bCs/>
          <w:color w:val="000000"/>
          <w:sz w:val="24"/>
          <w:szCs w:val="24"/>
          <w:lang w:val="en-US"/>
        </w:rPr>
        <w:t>Mrs Y.</w:t>
      </w:r>
      <w:r w:rsidRPr="001E7D39">
        <w:rPr>
          <w:rFonts w:eastAsia="Calibri" w:cs="Arial"/>
          <w:b/>
          <w:bCs/>
          <w:color w:val="000000"/>
          <w:sz w:val="24"/>
          <w:szCs w:val="24"/>
          <w:lang w:val="en-US"/>
        </w:rPr>
        <w:t>N Yako (EFF) to ask the Minister of Justice and Correctional Services</w:t>
      </w:r>
      <w:r w:rsidRPr="001E7D39">
        <w:rPr>
          <w:rFonts w:eastAsia="Calibri" w:cs="Arial"/>
          <w:b/>
          <w:bCs/>
          <w:color w:val="000000"/>
          <w:sz w:val="24"/>
          <w:szCs w:val="24"/>
          <w:lang w:val="en-US"/>
        </w:rPr>
        <w:fldChar w:fldCharType="begin"/>
      </w:r>
      <w:r w:rsidRPr="001E7D39">
        <w:rPr>
          <w:rFonts w:eastAsia="Calibri" w:cs="Arial"/>
        </w:rPr>
        <w:instrText xml:space="preserve"> XE "</w:instrText>
      </w:r>
      <w:r w:rsidRPr="001E7D39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Pr="001E7D39">
        <w:rPr>
          <w:rFonts w:eastAsia="Calibri" w:cs="Arial"/>
        </w:rPr>
        <w:instrText xml:space="preserve">" </w:instrText>
      </w:r>
      <w:r w:rsidRPr="001E7D39">
        <w:rPr>
          <w:rFonts w:eastAsia="Calibri" w:cs="Arial"/>
          <w:b/>
          <w:bCs/>
          <w:color w:val="000000"/>
          <w:sz w:val="24"/>
          <w:szCs w:val="24"/>
          <w:lang w:val="en-US"/>
        </w:rPr>
        <w:fldChar w:fldCharType="end"/>
      </w:r>
      <w:r w:rsidRPr="001E7D39">
        <w:rPr>
          <w:rFonts w:eastAsia="Calibri" w:cs="Arial"/>
          <w:b/>
          <w:bCs/>
          <w:color w:val="000000"/>
          <w:sz w:val="24"/>
          <w:szCs w:val="24"/>
          <w:lang w:val="en-US"/>
        </w:rPr>
        <w:t xml:space="preserve">: </w:t>
      </w:r>
    </w:p>
    <w:p w:rsidR="007734D1" w:rsidRPr="001E7D39" w:rsidRDefault="007734D1" w:rsidP="007734D1">
      <w:pPr>
        <w:spacing w:after="160"/>
        <w:jc w:val="both"/>
        <w:rPr>
          <w:rFonts w:eastAsia="Calibri" w:cs="Arial"/>
          <w:b/>
          <w:bCs/>
          <w:sz w:val="20"/>
          <w:szCs w:val="20"/>
          <w:lang w:val="en-US"/>
        </w:rPr>
      </w:pPr>
      <w:r w:rsidRPr="006966D4">
        <w:rPr>
          <w:rFonts w:eastAsia="Calibri" w:cs="Arial"/>
          <w:sz w:val="24"/>
          <w:szCs w:val="24"/>
          <w:lang w:val="en-US"/>
        </w:rPr>
        <w:t xml:space="preserve">What (a) is the total number of detainees who have escaped from correctional facilities in the Republic over the past five years </w:t>
      </w:r>
      <w:r w:rsidRPr="006966D4">
        <w:rPr>
          <w:rFonts w:eastAsia="Calibri" w:cs="Arial"/>
          <w:sz w:val="24"/>
          <w:szCs w:val="24"/>
        </w:rPr>
        <w:t>and</w:t>
      </w:r>
      <w:r w:rsidRPr="006966D4">
        <w:rPr>
          <w:rFonts w:eastAsia="Calibri" w:cs="Arial"/>
          <w:sz w:val="24"/>
          <w:szCs w:val="24"/>
          <w:lang w:val="en-US"/>
        </w:rPr>
        <w:t xml:space="preserve"> (b) are the conditions that make escapes from jail possible for inmates?</w:t>
      </w:r>
      <w:r w:rsidRPr="001E7D39">
        <w:rPr>
          <w:rFonts w:eastAsia="Calibri" w:cs="Arial"/>
          <w:b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Cs/>
          <w:sz w:val="24"/>
          <w:szCs w:val="24"/>
          <w:lang w:val="en-US"/>
        </w:rPr>
        <w:tab/>
      </w:r>
      <w:r w:rsidRPr="001E7D39">
        <w:rPr>
          <w:rFonts w:eastAsia="Calibri" w:cs="Arial"/>
          <w:b/>
          <w:bCs/>
          <w:sz w:val="20"/>
          <w:szCs w:val="20"/>
          <w:lang w:val="en-US"/>
        </w:rPr>
        <w:t>NW2628E</w:t>
      </w:r>
    </w:p>
    <w:p w:rsidR="007734D1" w:rsidRDefault="007734D1" w:rsidP="007734D1">
      <w:pPr>
        <w:rPr>
          <w:rFonts w:cs="Arial"/>
          <w:b/>
          <w:sz w:val="24"/>
          <w:szCs w:val="24"/>
        </w:rPr>
      </w:pPr>
    </w:p>
    <w:p w:rsidR="007734D1" w:rsidRPr="00350946" w:rsidRDefault="007734D1" w:rsidP="007734D1">
      <w:pPr>
        <w:rPr>
          <w:rFonts w:cs="Arial"/>
          <w:b/>
          <w:sz w:val="24"/>
          <w:szCs w:val="24"/>
        </w:rPr>
      </w:pPr>
      <w:r w:rsidRPr="00350946">
        <w:rPr>
          <w:rFonts w:cs="Arial"/>
          <w:b/>
          <w:sz w:val="24"/>
          <w:szCs w:val="24"/>
        </w:rPr>
        <w:t>REPLY</w:t>
      </w:r>
      <w:r>
        <w:rPr>
          <w:rFonts w:cs="Arial"/>
          <w:b/>
          <w:sz w:val="24"/>
          <w:szCs w:val="24"/>
        </w:rPr>
        <w:t>:</w:t>
      </w:r>
    </w:p>
    <w:p w:rsidR="007734D1" w:rsidRDefault="007734D1" w:rsidP="007734D1">
      <w:pPr>
        <w:numPr>
          <w:ilvl w:val="0"/>
          <w:numId w:val="5"/>
        </w:numPr>
        <w:ind w:hanging="720"/>
        <w:rPr>
          <w:rFonts w:cs="Arial"/>
          <w:sz w:val="24"/>
          <w:szCs w:val="24"/>
        </w:rPr>
      </w:pPr>
      <w:r w:rsidRPr="000E464B">
        <w:rPr>
          <w:rFonts w:cs="Arial"/>
          <w:sz w:val="24"/>
          <w:szCs w:val="24"/>
        </w:rPr>
        <w:t>The following number of inmates escaped from lawful custody:</w:t>
      </w:r>
    </w:p>
    <w:p w:rsidR="007734D1" w:rsidRPr="000E464B" w:rsidRDefault="007734D1" w:rsidP="007734D1">
      <w:pPr>
        <w:ind w:left="720"/>
        <w:rPr>
          <w:rFonts w:cs="Arial"/>
          <w:sz w:val="24"/>
          <w:szCs w:val="24"/>
        </w:rPr>
      </w:pPr>
    </w:p>
    <w:tbl>
      <w:tblPr>
        <w:tblW w:w="5179" w:type="pct"/>
        <w:tblLayout w:type="fixed"/>
        <w:tblLook w:val="04A0"/>
      </w:tblPr>
      <w:tblGrid>
        <w:gridCol w:w="4250"/>
        <w:gridCol w:w="1171"/>
        <w:gridCol w:w="1170"/>
        <w:gridCol w:w="1170"/>
        <w:gridCol w:w="990"/>
        <w:gridCol w:w="1168"/>
      </w:tblGrid>
      <w:tr w:rsidR="007734D1" w:rsidRPr="00F82D1E" w:rsidTr="00FC1DCE">
        <w:trPr>
          <w:trHeight w:val="29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34D1" w:rsidRPr="00F82D1E" w:rsidRDefault="007734D1" w:rsidP="00FC1DCE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734D1" w:rsidRPr="00F82D1E" w:rsidRDefault="007734D1" w:rsidP="00FC1DCE">
            <w:pPr>
              <w:ind w:hanging="226"/>
              <w:jc w:val="right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2021/22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2022/23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Limpopo, Mpumalanga </w:t>
            </w: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&amp;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 North West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5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Free State </w:t>
            </w: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&amp; 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Northern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11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3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KwaZulu-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Natal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2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Western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75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5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Gauteng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2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Eastern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82D1E"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0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 w:rsidRPr="00F82D1E">
              <w:rPr>
                <w:sz w:val="24"/>
                <w:szCs w:val="24"/>
              </w:rPr>
              <w:t>10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jc w:val="center"/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jc w:val="center"/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734D1" w:rsidRPr="00F82D1E" w:rsidRDefault="007734D1" w:rsidP="00FC1DCE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eastAsia="Calibri" w:cs="Arial"/>
                <w:b/>
                <w:sz w:val="24"/>
                <w:szCs w:val="24"/>
              </w:rPr>
              <w:t>22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734D1" w:rsidRPr="00F82D1E" w:rsidRDefault="007734D1" w:rsidP="00FC1DCE">
            <w:pPr>
              <w:jc w:val="center"/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27</w:t>
            </w:r>
          </w:p>
        </w:tc>
      </w:tr>
    </w:tbl>
    <w:p w:rsidR="007734D1" w:rsidRDefault="007734D1" w:rsidP="007734D1">
      <w:pPr>
        <w:ind w:left="720" w:hanging="720"/>
        <w:rPr>
          <w:rFonts w:cs="Arial"/>
          <w:sz w:val="24"/>
          <w:szCs w:val="24"/>
        </w:rPr>
      </w:pPr>
    </w:p>
    <w:p w:rsidR="007734D1" w:rsidRDefault="007734D1" w:rsidP="007734D1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following number of escaped inmates were </w:t>
      </w:r>
      <w:r w:rsidRPr="002E600E">
        <w:rPr>
          <w:rFonts w:cs="Arial"/>
          <w:b/>
          <w:sz w:val="24"/>
          <w:szCs w:val="24"/>
        </w:rPr>
        <w:t>re-arrested</w:t>
      </w:r>
      <w:r>
        <w:rPr>
          <w:rFonts w:cs="Arial"/>
          <w:sz w:val="24"/>
          <w:szCs w:val="24"/>
        </w:rPr>
        <w:t xml:space="preserve"> to lawful custody</w:t>
      </w:r>
    </w:p>
    <w:p w:rsidR="007734D1" w:rsidRDefault="007734D1" w:rsidP="007734D1">
      <w:pPr>
        <w:ind w:left="720" w:hanging="720"/>
        <w:rPr>
          <w:rFonts w:cs="Arial"/>
          <w:sz w:val="24"/>
          <w:szCs w:val="24"/>
        </w:rPr>
      </w:pPr>
    </w:p>
    <w:tbl>
      <w:tblPr>
        <w:tblW w:w="5179" w:type="pct"/>
        <w:tblLayout w:type="fixed"/>
        <w:tblLook w:val="04A0"/>
      </w:tblPr>
      <w:tblGrid>
        <w:gridCol w:w="4250"/>
        <w:gridCol w:w="1171"/>
        <w:gridCol w:w="1170"/>
        <w:gridCol w:w="1170"/>
        <w:gridCol w:w="990"/>
        <w:gridCol w:w="1168"/>
      </w:tblGrid>
      <w:tr w:rsidR="007734D1" w:rsidRPr="00F82D1E" w:rsidTr="007734D1">
        <w:trPr>
          <w:trHeight w:val="29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34D1" w:rsidRPr="00F82D1E" w:rsidRDefault="007734D1" w:rsidP="00FC1DCE">
            <w:pPr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Region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2019/20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2020/21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734D1" w:rsidRPr="00F82D1E" w:rsidRDefault="007734D1" w:rsidP="00FC1DCE">
            <w:pPr>
              <w:ind w:hanging="226"/>
              <w:jc w:val="right"/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2021/22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734D1" w:rsidRPr="00F82D1E" w:rsidRDefault="007734D1" w:rsidP="00FC1DCE">
            <w:pPr>
              <w:rPr>
                <w:b/>
                <w:sz w:val="24"/>
                <w:szCs w:val="24"/>
              </w:rPr>
            </w:pPr>
            <w:r w:rsidRPr="00F82D1E">
              <w:rPr>
                <w:b/>
                <w:sz w:val="24"/>
                <w:szCs w:val="24"/>
              </w:rPr>
              <w:t>2022/23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Limpopo, Mpumalanga </w:t>
            </w: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&amp;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 North West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5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Free State </w:t>
            </w: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&amp; 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Northern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3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ZA"/>
              </w:rPr>
              <w:t>KwaZulu-</w:t>
            </w: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Natal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2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lastRenderedPageBreak/>
              <w:t xml:space="preserve">Western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75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5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Gauteng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1</w:t>
            </w:r>
          </w:p>
        </w:tc>
      </w:tr>
      <w:tr w:rsidR="007734D1" w:rsidRPr="00F82D1E" w:rsidTr="00FC1DCE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color w:val="000000"/>
                <w:sz w:val="24"/>
                <w:szCs w:val="24"/>
                <w:lang w:eastAsia="en-ZA"/>
              </w:rPr>
              <w:t xml:space="preserve">Eastern Cape 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F82D1E" w:rsidRDefault="007734D1" w:rsidP="00FC1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4D1" w:rsidRPr="00E601AF" w:rsidRDefault="007734D1" w:rsidP="00FC1DCE">
            <w:pPr>
              <w:jc w:val="center"/>
            </w:pPr>
            <w:r w:rsidRPr="00E601AF"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4D1" w:rsidRPr="007D19FB" w:rsidRDefault="007734D1" w:rsidP="00FC1DCE">
            <w:pPr>
              <w:jc w:val="center"/>
            </w:pPr>
            <w:r w:rsidRPr="007D19FB">
              <w:t>10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C3548A" w:rsidRDefault="007734D1" w:rsidP="00FC1DCE">
            <w:pPr>
              <w:jc w:val="center"/>
            </w:pPr>
            <w:r w:rsidRPr="00C3548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4D1" w:rsidRPr="0015754C" w:rsidRDefault="007734D1" w:rsidP="00FC1DCE">
            <w:pPr>
              <w:jc w:val="center"/>
            </w:pPr>
            <w:r w:rsidRPr="0015754C">
              <w:t>5</w:t>
            </w:r>
          </w:p>
        </w:tc>
      </w:tr>
      <w:tr w:rsidR="007734D1" w:rsidRPr="00F82D1E" w:rsidTr="007734D1">
        <w:trPr>
          <w:trHeight w:val="290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734D1" w:rsidRPr="00F82D1E" w:rsidRDefault="007734D1" w:rsidP="00FC1DCE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82D1E">
              <w:rPr>
                <w:rFonts w:cs="Arial"/>
                <w:b/>
                <w:bCs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4D1" w:rsidRPr="00F82D1E" w:rsidRDefault="007734D1" w:rsidP="00FC1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4D1" w:rsidRPr="00FE102F" w:rsidRDefault="007734D1" w:rsidP="00FC1DCE">
            <w:pPr>
              <w:jc w:val="center"/>
              <w:rPr>
                <w:b/>
              </w:rPr>
            </w:pPr>
            <w:r w:rsidRPr="00FE102F">
              <w:rPr>
                <w:b/>
              </w:rPr>
              <w:t>27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34D1" w:rsidRPr="00FE102F" w:rsidRDefault="007734D1" w:rsidP="00FC1DCE">
            <w:pPr>
              <w:jc w:val="center"/>
              <w:rPr>
                <w:b/>
              </w:rPr>
            </w:pPr>
            <w:r w:rsidRPr="00FE102F">
              <w:rPr>
                <w:b/>
              </w:rPr>
              <w:t>101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34D1" w:rsidRPr="00FE102F" w:rsidRDefault="007734D1" w:rsidP="00FC1DCE">
            <w:pPr>
              <w:jc w:val="center"/>
              <w:rPr>
                <w:b/>
              </w:rPr>
            </w:pPr>
            <w:r w:rsidRPr="00FE102F">
              <w:rPr>
                <w:b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734D1" w:rsidRPr="00FE102F" w:rsidRDefault="007734D1" w:rsidP="00FC1DCE">
            <w:pPr>
              <w:jc w:val="center"/>
              <w:rPr>
                <w:b/>
              </w:rPr>
            </w:pPr>
            <w:r w:rsidRPr="00FE102F">
              <w:rPr>
                <w:b/>
              </w:rPr>
              <w:t>21</w:t>
            </w:r>
          </w:p>
        </w:tc>
      </w:tr>
    </w:tbl>
    <w:p w:rsidR="007734D1" w:rsidRPr="00F82D1E" w:rsidRDefault="007734D1" w:rsidP="007734D1">
      <w:pPr>
        <w:ind w:left="720" w:hanging="720"/>
        <w:rPr>
          <w:rFonts w:cs="Arial"/>
          <w:sz w:val="24"/>
          <w:szCs w:val="24"/>
        </w:rPr>
      </w:pPr>
    </w:p>
    <w:p w:rsidR="007734D1" w:rsidRPr="006966D4" w:rsidRDefault="007734D1" w:rsidP="007734D1">
      <w:pPr>
        <w:numPr>
          <w:ilvl w:val="0"/>
          <w:numId w:val="5"/>
        </w:numPr>
        <w:spacing w:line="360" w:lineRule="auto"/>
        <w:ind w:hanging="720"/>
        <w:jc w:val="both"/>
        <w:rPr>
          <w:rFonts w:cs="Arial"/>
          <w:sz w:val="24"/>
          <w:szCs w:val="24"/>
        </w:rPr>
      </w:pPr>
      <w:r w:rsidRPr="006966D4">
        <w:rPr>
          <w:rFonts w:eastAsia="Calibri" w:cs="Arial"/>
          <w:sz w:val="24"/>
          <w:szCs w:val="24"/>
          <w:lang w:val="en-US"/>
        </w:rPr>
        <w:t xml:space="preserve">Conditions that </w:t>
      </w:r>
      <w:r>
        <w:rPr>
          <w:rFonts w:eastAsia="Calibri" w:cs="Arial"/>
          <w:sz w:val="24"/>
          <w:szCs w:val="24"/>
          <w:lang w:val="en-US"/>
        </w:rPr>
        <w:t>contribute to</w:t>
      </w:r>
      <w:r w:rsidRPr="006966D4">
        <w:rPr>
          <w:rFonts w:eastAsia="Calibri" w:cs="Arial"/>
          <w:sz w:val="24"/>
          <w:szCs w:val="24"/>
          <w:lang w:val="en-US"/>
        </w:rPr>
        <w:t xml:space="preserve"> escapes from </w:t>
      </w:r>
      <w:r>
        <w:rPr>
          <w:rFonts w:eastAsia="Calibri" w:cs="Arial"/>
          <w:sz w:val="24"/>
          <w:szCs w:val="24"/>
          <w:lang w:val="en-US"/>
        </w:rPr>
        <w:t xml:space="preserve">DCS facilities include amongst others: </w:t>
      </w:r>
    </w:p>
    <w:p w:rsidR="007734D1" w:rsidRPr="00350946" w:rsidRDefault="007734D1" w:rsidP="007734D1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Lack of maintenance, poor and outdated infrastructures;</w:t>
      </w:r>
    </w:p>
    <w:p w:rsidR="007734D1" w:rsidRDefault="007734D1" w:rsidP="007734D1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Influx of contrabands in Correctional Facilities; &amp;</w:t>
      </w:r>
    </w:p>
    <w:p w:rsidR="007734D1" w:rsidRDefault="007734D1" w:rsidP="007734D1">
      <w:pPr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Non-compliance to policies and procedures by DCS officials.</w:t>
      </w:r>
    </w:p>
    <w:p w:rsidR="0031710C" w:rsidRPr="00350946" w:rsidRDefault="007734D1" w:rsidP="007734D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END.</w:t>
      </w:r>
    </w:p>
    <w:sectPr w:rsidR="0031710C" w:rsidRPr="00350946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87" w:rsidRDefault="00A22687" w:rsidP="00005812">
      <w:r>
        <w:separator/>
      </w:r>
    </w:p>
  </w:endnote>
  <w:endnote w:type="continuationSeparator" w:id="0">
    <w:p w:rsidR="00A22687" w:rsidRDefault="00A22687" w:rsidP="0000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12" w:rsidRDefault="00005812" w:rsidP="00005812">
    <w:pPr>
      <w:pStyle w:val="Footer"/>
    </w:pPr>
    <w:r>
      <w:t>PQ</w:t>
    </w:r>
    <w:r w:rsidR="00D717EF">
      <w:t>.2311</w:t>
    </w:r>
    <w:r w:rsidR="00C31620">
      <w:t>–</w:t>
    </w:r>
    <w:r w:rsidR="002F728A">
      <w:t xml:space="preserve"> </w:t>
    </w:r>
    <w:r w:rsidR="00D717EF">
      <w:t>NW.</w:t>
    </w:r>
    <w:r w:rsidR="00200ACC">
      <w:t>2</w:t>
    </w:r>
    <w:r w:rsidR="00BA2625">
      <w:t>628</w:t>
    </w:r>
    <w:r w:rsidR="00C31620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226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226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005812" w:rsidRDefault="00005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87" w:rsidRDefault="00A22687" w:rsidP="00005812">
      <w:r>
        <w:separator/>
      </w:r>
    </w:p>
  </w:footnote>
  <w:footnote w:type="continuationSeparator" w:id="0">
    <w:p w:rsidR="00A22687" w:rsidRDefault="00A22687" w:rsidP="00005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7C1"/>
    <w:multiLevelType w:val="hybridMultilevel"/>
    <w:tmpl w:val="3D6CA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D4E4A"/>
    <w:multiLevelType w:val="hybridMultilevel"/>
    <w:tmpl w:val="6090D6BC"/>
    <w:lvl w:ilvl="0" w:tplc="0DFE3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0986"/>
    <w:multiLevelType w:val="hybridMultilevel"/>
    <w:tmpl w:val="01FEDE9A"/>
    <w:lvl w:ilvl="0" w:tplc="0B46B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2222"/>
    <w:multiLevelType w:val="hybridMultilevel"/>
    <w:tmpl w:val="38048280"/>
    <w:lvl w:ilvl="0" w:tplc="7E8C6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366667"/>
    <w:multiLevelType w:val="hybridMultilevel"/>
    <w:tmpl w:val="B2482AEC"/>
    <w:lvl w:ilvl="0" w:tplc="AA421D98">
      <w:start w:val="1"/>
      <w:numFmt w:val="decimal"/>
      <w:lvlText w:val="%1."/>
      <w:lvlJc w:val="left"/>
      <w:pPr>
        <w:ind w:left="987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707" w:hanging="360"/>
      </w:pPr>
    </w:lvl>
    <w:lvl w:ilvl="2" w:tplc="1C09001B" w:tentative="1">
      <w:start w:val="1"/>
      <w:numFmt w:val="lowerRoman"/>
      <w:lvlText w:val="%3."/>
      <w:lvlJc w:val="right"/>
      <w:pPr>
        <w:ind w:left="2427" w:hanging="180"/>
      </w:pPr>
    </w:lvl>
    <w:lvl w:ilvl="3" w:tplc="1C09000F" w:tentative="1">
      <w:start w:val="1"/>
      <w:numFmt w:val="decimal"/>
      <w:lvlText w:val="%4."/>
      <w:lvlJc w:val="left"/>
      <w:pPr>
        <w:ind w:left="3147" w:hanging="360"/>
      </w:pPr>
    </w:lvl>
    <w:lvl w:ilvl="4" w:tplc="1C090019" w:tentative="1">
      <w:start w:val="1"/>
      <w:numFmt w:val="lowerLetter"/>
      <w:lvlText w:val="%5."/>
      <w:lvlJc w:val="left"/>
      <w:pPr>
        <w:ind w:left="3867" w:hanging="360"/>
      </w:pPr>
    </w:lvl>
    <w:lvl w:ilvl="5" w:tplc="1C09001B" w:tentative="1">
      <w:start w:val="1"/>
      <w:numFmt w:val="lowerRoman"/>
      <w:lvlText w:val="%6."/>
      <w:lvlJc w:val="right"/>
      <w:pPr>
        <w:ind w:left="4587" w:hanging="180"/>
      </w:pPr>
    </w:lvl>
    <w:lvl w:ilvl="6" w:tplc="1C09000F" w:tentative="1">
      <w:start w:val="1"/>
      <w:numFmt w:val="decimal"/>
      <w:lvlText w:val="%7."/>
      <w:lvlJc w:val="left"/>
      <w:pPr>
        <w:ind w:left="5307" w:hanging="360"/>
      </w:pPr>
    </w:lvl>
    <w:lvl w:ilvl="7" w:tplc="1C090019" w:tentative="1">
      <w:start w:val="1"/>
      <w:numFmt w:val="lowerLetter"/>
      <w:lvlText w:val="%8."/>
      <w:lvlJc w:val="left"/>
      <w:pPr>
        <w:ind w:left="6027" w:hanging="360"/>
      </w:pPr>
    </w:lvl>
    <w:lvl w:ilvl="8" w:tplc="1C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924756A"/>
    <w:multiLevelType w:val="hybridMultilevel"/>
    <w:tmpl w:val="24D69670"/>
    <w:lvl w:ilvl="0" w:tplc="B6323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1432E"/>
    <w:multiLevelType w:val="hybridMultilevel"/>
    <w:tmpl w:val="EB7ED9E8"/>
    <w:lvl w:ilvl="0" w:tplc="B462B622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07" w:hanging="360"/>
      </w:pPr>
    </w:lvl>
    <w:lvl w:ilvl="2" w:tplc="1C09001B" w:tentative="1">
      <w:start w:val="1"/>
      <w:numFmt w:val="lowerRoman"/>
      <w:lvlText w:val="%3."/>
      <w:lvlJc w:val="right"/>
      <w:pPr>
        <w:ind w:left="2427" w:hanging="180"/>
      </w:pPr>
    </w:lvl>
    <w:lvl w:ilvl="3" w:tplc="1C09000F" w:tentative="1">
      <w:start w:val="1"/>
      <w:numFmt w:val="decimal"/>
      <w:lvlText w:val="%4."/>
      <w:lvlJc w:val="left"/>
      <w:pPr>
        <w:ind w:left="3147" w:hanging="360"/>
      </w:pPr>
    </w:lvl>
    <w:lvl w:ilvl="4" w:tplc="1C090019" w:tentative="1">
      <w:start w:val="1"/>
      <w:numFmt w:val="lowerLetter"/>
      <w:lvlText w:val="%5."/>
      <w:lvlJc w:val="left"/>
      <w:pPr>
        <w:ind w:left="3867" w:hanging="360"/>
      </w:pPr>
    </w:lvl>
    <w:lvl w:ilvl="5" w:tplc="1C09001B" w:tentative="1">
      <w:start w:val="1"/>
      <w:numFmt w:val="lowerRoman"/>
      <w:lvlText w:val="%6."/>
      <w:lvlJc w:val="right"/>
      <w:pPr>
        <w:ind w:left="4587" w:hanging="180"/>
      </w:pPr>
    </w:lvl>
    <w:lvl w:ilvl="6" w:tplc="1C09000F" w:tentative="1">
      <w:start w:val="1"/>
      <w:numFmt w:val="decimal"/>
      <w:lvlText w:val="%7."/>
      <w:lvlJc w:val="left"/>
      <w:pPr>
        <w:ind w:left="5307" w:hanging="360"/>
      </w:pPr>
    </w:lvl>
    <w:lvl w:ilvl="7" w:tplc="1C090019" w:tentative="1">
      <w:start w:val="1"/>
      <w:numFmt w:val="lowerLetter"/>
      <w:lvlText w:val="%8."/>
      <w:lvlJc w:val="left"/>
      <w:pPr>
        <w:ind w:left="6027" w:hanging="360"/>
      </w:pPr>
    </w:lvl>
    <w:lvl w:ilvl="8" w:tplc="1C0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5812"/>
    <w:rsid w:val="00013CCA"/>
    <w:rsid w:val="00083B48"/>
    <w:rsid w:val="00090A0A"/>
    <w:rsid w:val="000D4328"/>
    <w:rsid w:val="000E464B"/>
    <w:rsid w:val="0010222B"/>
    <w:rsid w:val="0015168B"/>
    <w:rsid w:val="001B4208"/>
    <w:rsid w:val="001E7D39"/>
    <w:rsid w:val="00200ACC"/>
    <w:rsid w:val="00235975"/>
    <w:rsid w:val="0025313E"/>
    <w:rsid w:val="0025755C"/>
    <w:rsid w:val="002C046E"/>
    <w:rsid w:val="002C4EE7"/>
    <w:rsid w:val="002F728A"/>
    <w:rsid w:val="00311F10"/>
    <w:rsid w:val="00314AF5"/>
    <w:rsid w:val="0031710C"/>
    <w:rsid w:val="003308FF"/>
    <w:rsid w:val="00331D94"/>
    <w:rsid w:val="0033621E"/>
    <w:rsid w:val="00350946"/>
    <w:rsid w:val="003810AE"/>
    <w:rsid w:val="00387FD3"/>
    <w:rsid w:val="003B5DD8"/>
    <w:rsid w:val="003C55EC"/>
    <w:rsid w:val="00415E6A"/>
    <w:rsid w:val="00423518"/>
    <w:rsid w:val="0044133B"/>
    <w:rsid w:val="00456E69"/>
    <w:rsid w:val="004B1937"/>
    <w:rsid w:val="004B5ADD"/>
    <w:rsid w:val="005110A4"/>
    <w:rsid w:val="00517A34"/>
    <w:rsid w:val="005551F3"/>
    <w:rsid w:val="005C6D98"/>
    <w:rsid w:val="005D5CAE"/>
    <w:rsid w:val="006212D0"/>
    <w:rsid w:val="00654AA7"/>
    <w:rsid w:val="006966D4"/>
    <w:rsid w:val="006E2442"/>
    <w:rsid w:val="007177EB"/>
    <w:rsid w:val="00730725"/>
    <w:rsid w:val="00734E3F"/>
    <w:rsid w:val="00737344"/>
    <w:rsid w:val="007734D1"/>
    <w:rsid w:val="007A063F"/>
    <w:rsid w:val="007C2A55"/>
    <w:rsid w:val="0081014B"/>
    <w:rsid w:val="00821B07"/>
    <w:rsid w:val="008569C0"/>
    <w:rsid w:val="008708FD"/>
    <w:rsid w:val="00901D66"/>
    <w:rsid w:val="00926A1E"/>
    <w:rsid w:val="0093188F"/>
    <w:rsid w:val="00966537"/>
    <w:rsid w:val="00971A9D"/>
    <w:rsid w:val="00A10470"/>
    <w:rsid w:val="00A200D6"/>
    <w:rsid w:val="00A22687"/>
    <w:rsid w:val="00A54AFF"/>
    <w:rsid w:val="00A62063"/>
    <w:rsid w:val="00AC5FA9"/>
    <w:rsid w:val="00AF3BDF"/>
    <w:rsid w:val="00AF667D"/>
    <w:rsid w:val="00B03A86"/>
    <w:rsid w:val="00B22C58"/>
    <w:rsid w:val="00B82C88"/>
    <w:rsid w:val="00B875C1"/>
    <w:rsid w:val="00BA2625"/>
    <w:rsid w:val="00BA2641"/>
    <w:rsid w:val="00BA6BF3"/>
    <w:rsid w:val="00BE13C3"/>
    <w:rsid w:val="00C31620"/>
    <w:rsid w:val="00C51C55"/>
    <w:rsid w:val="00C64ECE"/>
    <w:rsid w:val="00C81067"/>
    <w:rsid w:val="00C92B71"/>
    <w:rsid w:val="00CD0BEB"/>
    <w:rsid w:val="00D51A9E"/>
    <w:rsid w:val="00D717EF"/>
    <w:rsid w:val="00D81491"/>
    <w:rsid w:val="00D965A3"/>
    <w:rsid w:val="00DA42C5"/>
    <w:rsid w:val="00E10C6A"/>
    <w:rsid w:val="00E44E20"/>
    <w:rsid w:val="00E5502F"/>
    <w:rsid w:val="00EC7094"/>
    <w:rsid w:val="00F363C3"/>
    <w:rsid w:val="00F974A1"/>
    <w:rsid w:val="00FA3026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8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5812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8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5812"/>
    <w:rPr>
      <w:rFonts w:ascii="Arial" w:eastAsia="Times New Roman" w:hAnsi="Arial"/>
      <w:sz w:val="22"/>
      <w:szCs w:val="22"/>
      <w:lang w:eastAsia="en-US"/>
    </w:rPr>
  </w:style>
  <w:style w:type="paragraph" w:customStyle="1" w:styleId="Default">
    <w:name w:val="Default"/>
    <w:uiPriority w:val="99"/>
    <w:rsid w:val="00EC70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34D1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34D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2023-07-16T21:35:00Z</cp:lastPrinted>
  <dcterms:created xsi:type="dcterms:W3CDTF">2023-07-21T08:02:00Z</dcterms:created>
  <dcterms:modified xsi:type="dcterms:W3CDTF">2023-07-21T08:02:00Z</dcterms:modified>
</cp:coreProperties>
</file>