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17BF0" w14:textId="53535982" w:rsidR="00615855" w:rsidRDefault="0040003F" w:rsidP="00615855">
      <w:pPr>
        <w:rPr>
          <w:rFonts w:ascii="Arial" w:hAnsi="Arial" w:cs="Arial"/>
          <w:b/>
          <w:sz w:val="24"/>
          <w:szCs w:val="24"/>
          <w:lang w:val="en-US"/>
        </w:rPr>
      </w:pPr>
      <w:bookmarkStart w:id="0" w:name="_GoBack"/>
      <w:bookmarkEnd w:id="0"/>
      <w:r w:rsidRPr="00615855">
        <w:rPr>
          <w:noProof/>
          <w:sz w:val="24"/>
          <w:szCs w:val="24"/>
          <w:lang w:val="en-ZA" w:eastAsia="en-ZA"/>
        </w:rPr>
        <w:drawing>
          <wp:anchor distT="0" distB="0" distL="114300" distR="114300" simplePos="0" relativeHeight="251660288" behindDoc="0" locked="0" layoutInCell="1" allowOverlap="1" wp14:anchorId="17E616CD" wp14:editId="479E3DA0">
            <wp:simplePos x="0" y="0"/>
            <wp:positionH relativeFrom="margin">
              <wp:align>center</wp:align>
            </wp:positionH>
            <wp:positionV relativeFrom="paragraph">
              <wp:posOffset>0</wp:posOffset>
            </wp:positionV>
            <wp:extent cx="683260" cy="942340"/>
            <wp:effectExtent l="0" t="0" r="2540" b="0"/>
            <wp:wrapSquare wrapText="bothSides"/>
            <wp:docPr id="4" name="Picture 4"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3F9DB2FB" w14:textId="77777777" w:rsidR="000F5E9F" w:rsidRPr="00615855" w:rsidRDefault="000F5E9F" w:rsidP="00615855">
      <w:pPr>
        <w:rPr>
          <w:rFonts w:ascii="Arial" w:hAnsi="Arial" w:cs="Arial"/>
          <w:b/>
          <w:sz w:val="24"/>
          <w:szCs w:val="24"/>
          <w:lang w:val="en-US"/>
        </w:rPr>
      </w:pPr>
    </w:p>
    <w:p w14:paraId="0F5C7BE9" w14:textId="77777777" w:rsidR="00615855" w:rsidRPr="00615855" w:rsidRDefault="00615855" w:rsidP="00615855">
      <w:pPr>
        <w:rPr>
          <w:rFonts w:ascii="Arial" w:hAnsi="Arial" w:cs="Arial"/>
          <w:b/>
          <w:sz w:val="24"/>
          <w:szCs w:val="24"/>
          <w:lang w:val="en-US"/>
        </w:rPr>
      </w:pPr>
    </w:p>
    <w:p w14:paraId="6A0A4553" w14:textId="77777777" w:rsidR="00615855" w:rsidRPr="00615855" w:rsidRDefault="00615855" w:rsidP="00615855">
      <w:pPr>
        <w:rPr>
          <w:rFonts w:ascii="Arial" w:hAnsi="Arial" w:cs="Arial"/>
          <w:b/>
          <w:sz w:val="24"/>
          <w:szCs w:val="24"/>
          <w:lang w:val="en-US"/>
        </w:rPr>
      </w:pPr>
    </w:p>
    <w:p w14:paraId="27127D63" w14:textId="77777777" w:rsidR="00615855" w:rsidRPr="00615855" w:rsidRDefault="00615855" w:rsidP="00615855">
      <w:pPr>
        <w:rPr>
          <w:rFonts w:ascii="Arial" w:hAnsi="Arial" w:cs="Arial"/>
          <w:b/>
          <w:sz w:val="24"/>
          <w:szCs w:val="24"/>
          <w:lang w:val="en-US"/>
        </w:rPr>
      </w:pPr>
    </w:p>
    <w:p w14:paraId="0B60F897" w14:textId="77777777" w:rsidR="00615855" w:rsidRPr="00615855" w:rsidRDefault="00615855" w:rsidP="00615855">
      <w:pPr>
        <w:rPr>
          <w:rFonts w:ascii="Arial" w:hAnsi="Arial" w:cs="Arial"/>
          <w:b/>
          <w:sz w:val="24"/>
          <w:szCs w:val="24"/>
          <w:lang w:val="en-US"/>
        </w:rPr>
      </w:pPr>
    </w:p>
    <w:p w14:paraId="222D601F" w14:textId="77777777" w:rsidR="00615855" w:rsidRPr="00615855" w:rsidRDefault="00615855" w:rsidP="00615855">
      <w:pPr>
        <w:jc w:val="center"/>
        <w:rPr>
          <w:rFonts w:ascii="Arial" w:hAnsi="Arial" w:cs="Arial"/>
          <w:b/>
          <w:color w:val="005C2A"/>
          <w:lang w:eastAsia="en-GB"/>
        </w:rPr>
      </w:pPr>
      <w:r w:rsidRPr="00615855">
        <w:rPr>
          <w:rFonts w:ascii="Arial" w:hAnsi="Arial" w:cs="Arial"/>
          <w:b/>
          <w:color w:val="005C2A"/>
          <w:lang w:eastAsia="en-GB"/>
        </w:rPr>
        <w:t xml:space="preserve">MINISTRY </w:t>
      </w:r>
    </w:p>
    <w:p w14:paraId="41CD3FA2" w14:textId="77777777" w:rsidR="00615855" w:rsidRPr="00615855" w:rsidRDefault="00615855" w:rsidP="00615855">
      <w:pPr>
        <w:jc w:val="center"/>
        <w:rPr>
          <w:rFonts w:ascii="Arial" w:hAnsi="Arial" w:cs="Arial"/>
          <w:b/>
          <w:color w:val="005C2A"/>
          <w:lang w:eastAsia="en-GB"/>
        </w:rPr>
      </w:pPr>
      <w:r w:rsidRPr="00615855">
        <w:rPr>
          <w:rFonts w:ascii="Arial" w:hAnsi="Arial" w:cs="Arial"/>
          <w:b/>
          <w:color w:val="005C2A"/>
          <w:lang w:eastAsia="en-GB"/>
        </w:rPr>
        <w:t>PUBLIC WORKS</w:t>
      </w:r>
    </w:p>
    <w:p w14:paraId="7A0EF06E" w14:textId="77777777" w:rsidR="00615855" w:rsidRPr="00615855" w:rsidRDefault="00615855" w:rsidP="00615855">
      <w:pPr>
        <w:jc w:val="center"/>
        <w:rPr>
          <w:rFonts w:ascii="Arial" w:hAnsi="Arial" w:cs="Arial"/>
          <w:b/>
          <w:color w:val="005C2A"/>
          <w:lang w:eastAsia="en-GB"/>
        </w:rPr>
      </w:pPr>
      <w:r w:rsidRPr="00615855">
        <w:rPr>
          <w:rFonts w:ascii="Arial" w:hAnsi="Arial" w:cs="Arial"/>
          <w:b/>
          <w:color w:val="005C2A"/>
          <w:lang w:eastAsia="en-GB"/>
        </w:rPr>
        <w:t xml:space="preserve">REPUBLIC OF SOUTH AFRICA </w:t>
      </w:r>
    </w:p>
    <w:p w14:paraId="2A2AB036" w14:textId="77777777" w:rsidR="00615855" w:rsidRPr="00615855" w:rsidRDefault="00615855" w:rsidP="00615855">
      <w:pPr>
        <w:jc w:val="center"/>
        <w:rPr>
          <w:rFonts w:ascii="Arial" w:hAnsi="Arial" w:cs="Arial"/>
          <w:lang w:eastAsia="en-GB"/>
        </w:rPr>
      </w:pPr>
    </w:p>
    <w:p w14:paraId="42B6D205" w14:textId="77777777" w:rsidR="00615855" w:rsidRPr="00615855" w:rsidRDefault="00615855" w:rsidP="00615855">
      <w:pPr>
        <w:jc w:val="center"/>
        <w:rPr>
          <w:rFonts w:ascii="Arial" w:hAnsi="Arial" w:cs="Arial"/>
          <w:sz w:val="12"/>
          <w:lang w:eastAsia="en-GB"/>
        </w:rPr>
      </w:pPr>
      <w:r w:rsidRPr="00615855">
        <w:rPr>
          <w:rFonts w:ascii="Arial" w:hAnsi="Arial" w:cs="Arial"/>
          <w:sz w:val="12"/>
          <w:lang w:eastAsia="en-GB"/>
        </w:rPr>
        <w:t>Department of Public Works l Central Government Offices l 256 Madiba Street l Pretoria l Contact: +27 (0)12 406 2034 l +27 (0)12 406 1224</w:t>
      </w:r>
    </w:p>
    <w:p w14:paraId="7AA3F1D0" w14:textId="77777777" w:rsidR="00615855" w:rsidRPr="00615855" w:rsidRDefault="00615855" w:rsidP="00615855">
      <w:pPr>
        <w:rPr>
          <w:rFonts w:ascii="Arial" w:hAnsi="Arial" w:cs="Arial"/>
          <w:sz w:val="12"/>
          <w:lang w:eastAsia="en-GB"/>
        </w:rPr>
      </w:pPr>
      <w:r w:rsidRPr="00615855">
        <w:rPr>
          <w:rFonts w:ascii="Arial" w:hAnsi="Arial" w:cs="Arial"/>
          <w:sz w:val="12"/>
          <w:lang w:eastAsia="en-GB"/>
        </w:rPr>
        <w:t>Private Bag X9155 l CAPE TOWN, 8001 l RSA 4th Floor Parliament Building l 120 Plain Street l CAPE TOWN l Tel: +27 21 468 6900 Fax: +27 21 462 4592</w:t>
      </w:r>
    </w:p>
    <w:p w14:paraId="7E80BD42" w14:textId="77777777" w:rsidR="00615855" w:rsidRPr="00435091" w:rsidRDefault="00615855" w:rsidP="00435091">
      <w:pPr>
        <w:jc w:val="center"/>
        <w:rPr>
          <w:rFonts w:ascii="Arial" w:hAnsi="Arial" w:cs="Arial"/>
          <w:sz w:val="12"/>
          <w:lang w:eastAsia="en-GB"/>
        </w:rPr>
      </w:pPr>
      <w:r w:rsidRPr="00615855">
        <w:rPr>
          <w:rFonts w:ascii="Arial" w:hAnsi="Arial" w:cs="Arial"/>
          <w:sz w:val="12"/>
          <w:lang w:eastAsia="en-GB"/>
        </w:rPr>
        <w:t xml:space="preserve"> </w:t>
      </w:r>
      <w:hyperlink r:id="rId9" w:history="1">
        <w:r w:rsidRPr="00615855">
          <w:rPr>
            <w:rFonts w:ascii="Arial" w:hAnsi="Arial" w:cs="Arial"/>
            <w:sz w:val="12"/>
            <w:lang w:eastAsia="en-GB"/>
          </w:rPr>
          <w:t>www.publicworks.gov.za</w:t>
        </w:r>
      </w:hyperlink>
      <w:r w:rsidRPr="00615855">
        <w:rPr>
          <w:rFonts w:ascii="Arial" w:hAnsi="Arial" w:cs="Arial"/>
          <w:sz w:val="12"/>
          <w:lang w:eastAsia="en-GB"/>
        </w:rPr>
        <w:t xml:space="preserve"> </w:t>
      </w:r>
    </w:p>
    <w:p w14:paraId="25208E79" w14:textId="77777777" w:rsidR="0096141B" w:rsidRDefault="0096141B" w:rsidP="00F730DA">
      <w:pPr>
        <w:jc w:val="center"/>
        <w:rPr>
          <w:rFonts w:ascii="Arial" w:hAnsi="Arial" w:cs="Arial"/>
          <w:b/>
          <w:sz w:val="24"/>
          <w:szCs w:val="24"/>
          <w:lang w:val="en-US"/>
        </w:rPr>
      </w:pPr>
    </w:p>
    <w:p w14:paraId="2BE98131" w14:textId="77777777" w:rsidR="00615855" w:rsidRDefault="00615855" w:rsidP="00F730DA">
      <w:pPr>
        <w:jc w:val="center"/>
        <w:rPr>
          <w:rFonts w:ascii="Arial" w:hAnsi="Arial" w:cs="Arial"/>
          <w:b/>
          <w:sz w:val="24"/>
          <w:szCs w:val="24"/>
          <w:lang w:val="en-US"/>
        </w:rPr>
      </w:pPr>
      <w:r w:rsidRPr="00615855">
        <w:rPr>
          <w:rFonts w:ascii="Arial" w:hAnsi="Arial" w:cs="Arial"/>
          <w:b/>
          <w:sz w:val="24"/>
          <w:szCs w:val="24"/>
          <w:lang w:val="en-US"/>
        </w:rPr>
        <w:t>NATIONAL ASSEMBLY</w:t>
      </w:r>
    </w:p>
    <w:p w14:paraId="380E0427" w14:textId="77777777" w:rsidR="00F730DA" w:rsidRDefault="00F730DA" w:rsidP="00F730DA">
      <w:pPr>
        <w:jc w:val="center"/>
        <w:rPr>
          <w:rFonts w:ascii="Arial" w:hAnsi="Arial" w:cs="Arial"/>
          <w:b/>
          <w:sz w:val="24"/>
          <w:szCs w:val="24"/>
          <w:lang w:val="en-US"/>
        </w:rPr>
      </w:pPr>
    </w:p>
    <w:p w14:paraId="0CC20D5C" w14:textId="77777777" w:rsidR="00F730DA" w:rsidRPr="00615855" w:rsidRDefault="00F730DA" w:rsidP="00F730DA">
      <w:pPr>
        <w:jc w:val="center"/>
        <w:rPr>
          <w:rFonts w:ascii="Arial" w:hAnsi="Arial" w:cs="Arial"/>
          <w:b/>
          <w:sz w:val="24"/>
          <w:szCs w:val="24"/>
          <w:lang w:val="en-US"/>
        </w:rPr>
      </w:pPr>
      <w:r>
        <w:rPr>
          <w:rFonts w:ascii="Arial" w:hAnsi="Arial" w:cs="Arial"/>
          <w:b/>
          <w:sz w:val="24"/>
          <w:szCs w:val="24"/>
          <w:lang w:val="en-US"/>
        </w:rPr>
        <w:t>WRITTEN REPLY</w:t>
      </w:r>
    </w:p>
    <w:p w14:paraId="0B8736F3" w14:textId="77777777" w:rsidR="00615855" w:rsidRPr="00615855" w:rsidRDefault="00615855" w:rsidP="00615855">
      <w:pPr>
        <w:rPr>
          <w:rFonts w:ascii="Arial" w:hAnsi="Arial" w:cs="Arial"/>
          <w:b/>
          <w:sz w:val="24"/>
          <w:szCs w:val="24"/>
          <w:lang w:val="en-US"/>
        </w:rPr>
      </w:pPr>
    </w:p>
    <w:p w14:paraId="5D53C86A" w14:textId="77777777" w:rsidR="00615855" w:rsidRPr="00615855" w:rsidRDefault="00615855" w:rsidP="00615855">
      <w:pPr>
        <w:rPr>
          <w:rFonts w:ascii="Arial" w:hAnsi="Arial" w:cs="Arial"/>
          <w:b/>
          <w:sz w:val="24"/>
          <w:szCs w:val="24"/>
          <w:lang w:val="en-US"/>
        </w:rPr>
      </w:pPr>
      <w:r w:rsidRPr="00615855">
        <w:rPr>
          <w:rFonts w:ascii="Arial" w:hAnsi="Arial" w:cs="Arial"/>
          <w:b/>
          <w:sz w:val="24"/>
          <w:szCs w:val="24"/>
          <w:lang w:val="en-US"/>
        </w:rPr>
        <w:t>QUESTION NUMBER:</w: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t xml:space="preserve">       </w:t>
      </w:r>
      <w:r>
        <w:rPr>
          <w:rFonts w:ascii="Arial" w:hAnsi="Arial" w:cs="Arial"/>
          <w:b/>
          <w:sz w:val="24"/>
          <w:szCs w:val="24"/>
          <w:lang w:val="en-US"/>
        </w:rPr>
        <w:t xml:space="preserve"> </w:t>
      </w:r>
      <w:r w:rsidR="00260742">
        <w:rPr>
          <w:rFonts w:ascii="Arial" w:hAnsi="Arial" w:cs="Arial"/>
          <w:b/>
          <w:sz w:val="24"/>
          <w:lang w:val="en-US"/>
        </w:rPr>
        <w:t>2307</w:t>
      </w:r>
      <w:r w:rsidRPr="00615855">
        <w:rPr>
          <w:rFonts w:ascii="Arial" w:hAnsi="Arial" w:cs="Arial"/>
          <w:b/>
          <w:sz w:val="24"/>
          <w:szCs w:val="24"/>
          <w:lang w:val="en-US"/>
        </w:rPr>
        <w:t xml:space="preserve"> [</w:t>
      </w:r>
      <w:r w:rsidRPr="00615855">
        <w:rPr>
          <w:rFonts w:ascii="Arial" w:eastAsia="Calibri" w:hAnsi="Arial" w:cs="Arial"/>
          <w:b/>
          <w:sz w:val="24"/>
          <w:szCs w:val="24"/>
        </w:rPr>
        <w:t>NW</w:t>
      </w:r>
      <w:r w:rsidR="00260742">
        <w:rPr>
          <w:rFonts w:ascii="Arial" w:eastAsia="Calibri" w:hAnsi="Arial" w:cs="Arial"/>
          <w:b/>
          <w:sz w:val="24"/>
          <w:szCs w:val="24"/>
        </w:rPr>
        <w:t>2639</w:t>
      </w:r>
      <w:r w:rsidRPr="00615855">
        <w:rPr>
          <w:rFonts w:ascii="Arial" w:eastAsia="Calibri" w:hAnsi="Arial" w:cs="Arial"/>
          <w:b/>
          <w:sz w:val="24"/>
          <w:szCs w:val="24"/>
        </w:rPr>
        <w:t>E</w:t>
      </w:r>
      <w:r w:rsidRPr="00615855">
        <w:rPr>
          <w:rFonts w:ascii="Arial" w:hAnsi="Arial" w:cs="Arial"/>
          <w:b/>
          <w:sz w:val="24"/>
          <w:szCs w:val="24"/>
          <w:lang w:val="en-US"/>
        </w:rPr>
        <w:t>]</w:t>
      </w:r>
    </w:p>
    <w:p w14:paraId="723C76ED" w14:textId="135249BE" w:rsidR="00615855" w:rsidRPr="00615855" w:rsidRDefault="00615855" w:rsidP="00615855">
      <w:pPr>
        <w:rPr>
          <w:rFonts w:ascii="Arial" w:hAnsi="Arial" w:cs="Arial"/>
          <w:b/>
          <w:sz w:val="24"/>
          <w:szCs w:val="24"/>
          <w:lang w:val="en-US"/>
        </w:rPr>
      </w:pPr>
      <w:r w:rsidRPr="00615855">
        <w:rPr>
          <w:rFonts w:ascii="Arial" w:hAnsi="Arial" w:cs="Arial"/>
          <w:b/>
          <w:sz w:val="24"/>
          <w:szCs w:val="24"/>
          <w:lang w:val="en-US"/>
        </w:rPr>
        <w:t>INTERNAL QUESTION PAPER:</w: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t xml:space="preserve">        </w:t>
      </w:r>
      <w:r w:rsidR="00260742">
        <w:rPr>
          <w:rFonts w:ascii="Arial" w:hAnsi="Arial" w:cs="Arial"/>
          <w:b/>
          <w:sz w:val="24"/>
          <w:szCs w:val="24"/>
          <w:lang w:val="en-US"/>
        </w:rPr>
        <w:t xml:space="preserve">No. </w:t>
      </w:r>
      <w:r w:rsidR="00451356">
        <w:rPr>
          <w:rFonts w:ascii="Arial" w:hAnsi="Arial" w:cs="Arial"/>
          <w:b/>
          <w:sz w:val="24"/>
          <w:szCs w:val="24"/>
          <w:lang w:val="en-US"/>
        </w:rPr>
        <w:t>31 of 2016</w:t>
      </w:r>
    </w:p>
    <w:p w14:paraId="14AB5BEF" w14:textId="68BE8318" w:rsidR="00615855" w:rsidRPr="00615855" w:rsidRDefault="00615855" w:rsidP="00615855">
      <w:pPr>
        <w:rPr>
          <w:rFonts w:ascii="Arial" w:hAnsi="Arial" w:cs="Arial"/>
          <w:b/>
          <w:sz w:val="24"/>
          <w:szCs w:val="24"/>
          <w:lang w:val="en-ZA" w:eastAsia="en-GB"/>
        </w:rPr>
      </w:pPr>
      <w:r w:rsidRPr="00615855">
        <w:rPr>
          <w:rFonts w:ascii="Arial" w:hAnsi="Arial" w:cs="Arial"/>
          <w:b/>
          <w:sz w:val="24"/>
          <w:szCs w:val="24"/>
          <w:lang w:val="en-US"/>
        </w:rPr>
        <w:t>DATE OF PUBLICATION:</w: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t xml:space="preserve">        </w:t>
      </w:r>
      <w:r w:rsidR="00260742">
        <w:rPr>
          <w:rFonts w:ascii="Arial" w:hAnsi="Arial" w:cs="Arial"/>
          <w:b/>
          <w:sz w:val="24"/>
          <w:szCs w:val="24"/>
          <w:lang w:val="en-ZA" w:eastAsia="en-GB"/>
        </w:rPr>
        <w:t xml:space="preserve">21 </w:t>
      </w:r>
      <w:r w:rsidR="000F5E9F">
        <w:rPr>
          <w:rFonts w:ascii="Arial" w:hAnsi="Arial" w:cs="Arial"/>
          <w:b/>
          <w:sz w:val="24"/>
          <w:szCs w:val="24"/>
          <w:lang w:val="en-ZA" w:eastAsia="en-GB"/>
        </w:rPr>
        <w:t>OCTOBER</w:t>
      </w:r>
      <w:r w:rsidR="00260742">
        <w:rPr>
          <w:rFonts w:ascii="Arial" w:hAnsi="Arial" w:cs="Arial"/>
          <w:b/>
          <w:sz w:val="24"/>
          <w:szCs w:val="24"/>
          <w:lang w:val="en-ZA" w:eastAsia="en-GB"/>
        </w:rPr>
        <w:t xml:space="preserve"> 2016</w:t>
      </w:r>
    </w:p>
    <w:p w14:paraId="0CF2A0CA" w14:textId="24D80BEB" w:rsidR="0062537B" w:rsidRPr="00615855" w:rsidRDefault="00615855" w:rsidP="00615855">
      <w:pPr>
        <w:rPr>
          <w:rFonts w:ascii="Arial" w:hAnsi="Arial" w:cs="Arial"/>
          <w:b/>
          <w:sz w:val="24"/>
          <w:szCs w:val="24"/>
          <w:lang w:val="en-ZA" w:eastAsia="en-GB"/>
        </w:rPr>
      </w:pPr>
      <w:r w:rsidRPr="00615855">
        <w:rPr>
          <w:rFonts w:ascii="Arial" w:hAnsi="Arial" w:cs="Arial"/>
          <w:b/>
          <w:sz w:val="24"/>
          <w:szCs w:val="24"/>
          <w:lang w:val="en-US"/>
        </w:rPr>
        <w:t>DATE OF REPLY:</w: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t xml:space="preserve">        </w:t>
      </w:r>
      <w:r w:rsidR="009927CB">
        <w:rPr>
          <w:rFonts w:ascii="Arial" w:hAnsi="Arial" w:cs="Arial"/>
          <w:b/>
          <w:sz w:val="24"/>
          <w:szCs w:val="24"/>
          <w:lang w:val="en-US"/>
        </w:rPr>
        <w:t>25</w:t>
      </w:r>
      <w:r w:rsidR="000F5E9F">
        <w:rPr>
          <w:rFonts w:ascii="Arial" w:hAnsi="Arial" w:cs="Arial"/>
          <w:b/>
          <w:sz w:val="24"/>
          <w:szCs w:val="24"/>
          <w:lang w:val="en-US"/>
        </w:rPr>
        <w:t xml:space="preserve"> NOVEMBER 2016</w:t>
      </w:r>
    </w:p>
    <w:p w14:paraId="530F2B5D" w14:textId="77777777" w:rsidR="00FA39A3" w:rsidRPr="00750950" w:rsidRDefault="00750950" w:rsidP="00FA39A3">
      <w:pPr>
        <w:spacing w:before="100" w:beforeAutospacing="1" w:after="100" w:afterAutospacing="1"/>
        <w:jc w:val="both"/>
        <w:rPr>
          <w:rFonts w:ascii="Arial" w:hAnsi="Arial" w:cs="Arial"/>
          <w:b/>
          <w:sz w:val="24"/>
          <w:szCs w:val="24"/>
          <w:lang w:val="en-US"/>
        </w:rPr>
      </w:pPr>
      <w:r>
        <w:rPr>
          <w:rFonts w:ascii="Arial" w:hAnsi="Arial" w:cs="Arial"/>
          <w:b/>
          <w:sz w:val="24"/>
          <w:szCs w:val="24"/>
          <w:lang w:val="en-US"/>
        </w:rPr>
        <w:t>Ms N W A Mazzone</w:t>
      </w:r>
      <w:r w:rsidR="00A83C20" w:rsidRPr="00750950">
        <w:rPr>
          <w:rFonts w:ascii="Arial" w:hAnsi="Arial" w:cs="Arial"/>
          <w:b/>
          <w:sz w:val="24"/>
          <w:szCs w:val="24"/>
          <w:lang w:val="en-US"/>
        </w:rPr>
        <w:t xml:space="preserve"> (DA) </w:t>
      </w:r>
      <w:r w:rsidR="00FA39A3" w:rsidRPr="00750950">
        <w:rPr>
          <w:rFonts w:ascii="Arial" w:hAnsi="Arial" w:cs="Arial"/>
          <w:b/>
          <w:sz w:val="24"/>
          <w:szCs w:val="24"/>
          <w:lang w:val="en-US"/>
        </w:rPr>
        <w:t>asked the Minister of Public Works:</w:t>
      </w:r>
    </w:p>
    <w:p w14:paraId="07FF81A7" w14:textId="77777777" w:rsidR="00750950" w:rsidRDefault="00435091" w:rsidP="00435091">
      <w:pPr>
        <w:pStyle w:val="BodyTextIndent2"/>
        <w:tabs>
          <w:tab w:val="clear" w:pos="432"/>
          <w:tab w:val="clear" w:pos="864"/>
        </w:tabs>
        <w:spacing w:line="276" w:lineRule="auto"/>
        <w:ind w:left="0" w:firstLine="0"/>
        <w:jc w:val="both"/>
        <w:rPr>
          <w:rFonts w:ascii="Arial" w:hAnsi="Arial" w:cs="Arial"/>
          <w:b/>
          <w:bCs/>
          <w:sz w:val="20"/>
        </w:rPr>
      </w:pPr>
      <w:r w:rsidRPr="00750950">
        <w:rPr>
          <w:rFonts w:ascii="Arial" w:hAnsi="Arial" w:cs="Arial"/>
          <w:szCs w:val="24"/>
        </w:rPr>
        <w:t>Whether any (a) internal and/or (b) external forensic reports pertaining to (i) his department and/or (ii) each entity reporting to him were completed from 1 January 2009 up to the latest specified date for which information is available; if not, in each case, why not; if so, what is the (aa) name, (bb) subject matter and (cc) date of conclusion of</w:t>
      </w:r>
      <w:r w:rsidR="00750950">
        <w:rPr>
          <w:rFonts w:ascii="Arial" w:hAnsi="Arial" w:cs="Arial"/>
          <w:szCs w:val="24"/>
        </w:rPr>
        <w:t xml:space="preserve"> each of the specified forensic reports?</w:t>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r>
      <w:r w:rsidR="00750950">
        <w:rPr>
          <w:rFonts w:ascii="Arial" w:hAnsi="Arial" w:cs="Arial"/>
          <w:szCs w:val="24"/>
        </w:rPr>
        <w:tab/>
        <w:t xml:space="preserve"> </w:t>
      </w:r>
      <w:r w:rsidRPr="00260742">
        <w:rPr>
          <w:rFonts w:ascii="Arial" w:hAnsi="Arial" w:cs="Arial"/>
          <w:b/>
          <w:bCs/>
          <w:sz w:val="20"/>
        </w:rPr>
        <w:t>NW2639E</w:t>
      </w:r>
    </w:p>
    <w:p w14:paraId="701DA899" w14:textId="77777777" w:rsidR="00B80EC4" w:rsidRDefault="008C196D" w:rsidP="00435091">
      <w:pPr>
        <w:pStyle w:val="BodyTextIndent2"/>
        <w:tabs>
          <w:tab w:val="clear" w:pos="432"/>
          <w:tab w:val="clear" w:pos="864"/>
        </w:tabs>
        <w:spacing w:line="276" w:lineRule="auto"/>
        <w:ind w:left="0" w:firstLine="0"/>
        <w:jc w:val="both"/>
        <w:rPr>
          <w:rFonts w:ascii="Arial" w:hAnsi="Arial" w:cs="Arial"/>
          <w:sz w:val="28"/>
          <w:szCs w:val="28"/>
          <w:lang w:val="en-GB"/>
        </w:rPr>
      </w:pPr>
      <w:r w:rsidRPr="00361F26">
        <w:rPr>
          <w:rFonts w:ascii="Arial" w:hAnsi="Arial" w:cs="Arial"/>
        </w:rPr>
        <w:t>_________________________________________________________________</w:t>
      </w:r>
      <w:r>
        <w:rPr>
          <w:rFonts w:ascii="Arial" w:hAnsi="Arial" w:cs="Arial"/>
        </w:rPr>
        <w:t>_______</w:t>
      </w:r>
    </w:p>
    <w:p w14:paraId="3CD9F9FB" w14:textId="77777777" w:rsidR="000A00BD" w:rsidRPr="0040003F" w:rsidRDefault="0040003F" w:rsidP="00272FFC">
      <w:pPr>
        <w:pStyle w:val="BodyTextIndent2"/>
        <w:tabs>
          <w:tab w:val="clear" w:pos="432"/>
          <w:tab w:val="clear" w:pos="864"/>
        </w:tabs>
        <w:spacing w:line="276" w:lineRule="auto"/>
        <w:jc w:val="both"/>
        <w:rPr>
          <w:rFonts w:ascii="Arial" w:hAnsi="Arial" w:cs="Arial"/>
          <w:b/>
          <w:szCs w:val="24"/>
          <w:lang w:val="en-GB"/>
        </w:rPr>
      </w:pPr>
      <w:r w:rsidRPr="0040003F">
        <w:rPr>
          <w:rFonts w:ascii="Arial" w:hAnsi="Arial" w:cs="Arial"/>
          <w:b/>
          <w:szCs w:val="24"/>
          <w:lang w:val="en-GB"/>
        </w:rPr>
        <w:t>REPLY</w:t>
      </w:r>
      <w:r w:rsidR="008C196D" w:rsidRPr="0040003F">
        <w:rPr>
          <w:rFonts w:ascii="Arial" w:hAnsi="Arial" w:cs="Arial"/>
          <w:b/>
          <w:szCs w:val="24"/>
          <w:lang w:val="en-GB"/>
        </w:rPr>
        <w:t>:</w:t>
      </w:r>
    </w:p>
    <w:p w14:paraId="1157EA87" w14:textId="77777777" w:rsidR="00272FFC" w:rsidRDefault="00272FFC" w:rsidP="00272FFC">
      <w:pPr>
        <w:pStyle w:val="BodyTextIndent2"/>
        <w:tabs>
          <w:tab w:val="clear" w:pos="432"/>
          <w:tab w:val="clear" w:pos="864"/>
        </w:tabs>
        <w:spacing w:line="276" w:lineRule="auto"/>
        <w:jc w:val="both"/>
        <w:rPr>
          <w:rFonts w:ascii="Arial" w:hAnsi="Arial" w:cs="Arial"/>
          <w:b/>
          <w:szCs w:val="24"/>
          <w:lang w:val="en-GB"/>
        </w:rPr>
      </w:pPr>
    </w:p>
    <w:p w14:paraId="74CCF66F" w14:textId="77777777" w:rsidR="00487B7F" w:rsidRDefault="0040003F" w:rsidP="00272FFC">
      <w:pPr>
        <w:pStyle w:val="BodyTextIndent2"/>
        <w:tabs>
          <w:tab w:val="clear" w:pos="432"/>
          <w:tab w:val="clear" w:pos="864"/>
        </w:tabs>
        <w:spacing w:line="276" w:lineRule="auto"/>
        <w:jc w:val="both"/>
        <w:rPr>
          <w:rFonts w:ascii="Arial" w:hAnsi="Arial" w:cs="Arial"/>
          <w:b/>
          <w:szCs w:val="24"/>
          <w:lang w:val="en-GB"/>
        </w:rPr>
      </w:pPr>
      <w:r w:rsidRPr="0040003F">
        <w:rPr>
          <w:rFonts w:ascii="Arial" w:hAnsi="Arial" w:cs="Arial"/>
          <w:b/>
          <w:szCs w:val="24"/>
          <w:lang w:val="en-GB"/>
        </w:rPr>
        <w:t xml:space="preserve">The </w:t>
      </w:r>
      <w:r w:rsidR="008C196D" w:rsidRPr="0040003F">
        <w:rPr>
          <w:rFonts w:ascii="Arial" w:hAnsi="Arial" w:cs="Arial"/>
          <w:b/>
          <w:szCs w:val="24"/>
          <w:lang w:val="en-GB"/>
        </w:rPr>
        <w:t>Minister of Public Works</w:t>
      </w:r>
    </w:p>
    <w:p w14:paraId="761705C5" w14:textId="77777777" w:rsidR="00BD40B1" w:rsidRDefault="00BD40B1" w:rsidP="00272FFC">
      <w:pPr>
        <w:pStyle w:val="BodyTextIndent2"/>
        <w:tabs>
          <w:tab w:val="clear" w:pos="432"/>
          <w:tab w:val="clear" w:pos="864"/>
        </w:tabs>
        <w:spacing w:line="276" w:lineRule="auto"/>
        <w:jc w:val="both"/>
        <w:rPr>
          <w:rFonts w:ascii="Arial" w:hAnsi="Arial" w:cs="Arial"/>
          <w:b/>
          <w:szCs w:val="24"/>
          <w:lang w:val="en-GB"/>
        </w:rPr>
      </w:pPr>
    </w:p>
    <w:p w14:paraId="6C4543BC" w14:textId="77777777" w:rsidR="009F5E40" w:rsidRDefault="009F5E40" w:rsidP="00750950">
      <w:pPr>
        <w:pStyle w:val="Header"/>
        <w:tabs>
          <w:tab w:val="left" w:pos="720"/>
        </w:tabs>
        <w:spacing w:line="300" w:lineRule="auto"/>
        <w:ind w:left="720"/>
        <w:jc w:val="both"/>
        <w:rPr>
          <w:rFonts w:ascii="Arial" w:hAnsi="Arial" w:cs="Arial"/>
          <w:sz w:val="24"/>
          <w:szCs w:val="24"/>
        </w:rPr>
      </w:pPr>
    </w:p>
    <w:p w14:paraId="3844762A" w14:textId="597231BA" w:rsidR="006B3514" w:rsidRDefault="006B3514" w:rsidP="00750950">
      <w:pPr>
        <w:pStyle w:val="Header"/>
        <w:numPr>
          <w:ilvl w:val="0"/>
          <w:numId w:val="24"/>
        </w:numPr>
        <w:tabs>
          <w:tab w:val="left" w:pos="567"/>
        </w:tabs>
        <w:spacing w:line="300" w:lineRule="auto"/>
        <w:ind w:left="426"/>
        <w:jc w:val="both"/>
        <w:rPr>
          <w:rFonts w:ascii="Arial" w:hAnsi="Arial" w:cs="Arial"/>
          <w:sz w:val="24"/>
          <w:szCs w:val="24"/>
        </w:rPr>
      </w:pPr>
      <w:r>
        <w:rPr>
          <w:rFonts w:ascii="Arial" w:hAnsi="Arial" w:cs="Arial"/>
          <w:sz w:val="24"/>
          <w:szCs w:val="24"/>
        </w:rPr>
        <w:t xml:space="preserve">(i) </w:t>
      </w:r>
      <w:r w:rsidR="000F5E9F">
        <w:rPr>
          <w:rFonts w:ascii="Arial" w:hAnsi="Arial" w:cs="Arial"/>
          <w:sz w:val="24"/>
          <w:szCs w:val="24"/>
        </w:rPr>
        <w:t xml:space="preserve">The </w:t>
      </w:r>
      <w:r w:rsidR="004C1695" w:rsidRPr="00281692">
        <w:rPr>
          <w:rFonts w:ascii="Arial" w:hAnsi="Arial" w:cs="Arial"/>
          <w:sz w:val="24"/>
          <w:szCs w:val="24"/>
        </w:rPr>
        <w:t>Department of Public Works</w:t>
      </w:r>
      <w:r w:rsidR="000F5E9F">
        <w:rPr>
          <w:rFonts w:ascii="Arial" w:hAnsi="Arial" w:cs="Arial"/>
          <w:sz w:val="24"/>
          <w:szCs w:val="24"/>
        </w:rPr>
        <w:t xml:space="preserve"> (DPW)</w:t>
      </w:r>
      <w:r w:rsidR="004C1695" w:rsidRPr="00281692">
        <w:rPr>
          <w:rFonts w:ascii="Arial" w:hAnsi="Arial" w:cs="Arial"/>
          <w:sz w:val="24"/>
          <w:szCs w:val="24"/>
        </w:rPr>
        <w:t xml:space="preserve"> has </w:t>
      </w:r>
      <w:r w:rsidR="00E67665" w:rsidRPr="00281692">
        <w:rPr>
          <w:rFonts w:ascii="Arial" w:hAnsi="Arial" w:cs="Arial"/>
          <w:sz w:val="24"/>
          <w:szCs w:val="24"/>
        </w:rPr>
        <w:t xml:space="preserve">a dedicated </w:t>
      </w:r>
      <w:r w:rsidR="0014327D">
        <w:rPr>
          <w:rFonts w:ascii="Arial" w:hAnsi="Arial" w:cs="Arial"/>
          <w:sz w:val="24"/>
          <w:szCs w:val="24"/>
        </w:rPr>
        <w:t xml:space="preserve">internal </w:t>
      </w:r>
      <w:r w:rsidR="00E67665" w:rsidRPr="00281692">
        <w:rPr>
          <w:rFonts w:ascii="Arial" w:hAnsi="Arial" w:cs="Arial"/>
          <w:sz w:val="24"/>
          <w:szCs w:val="24"/>
        </w:rPr>
        <w:t xml:space="preserve">Unit to investigate </w:t>
      </w:r>
      <w:r w:rsidR="0014327D">
        <w:rPr>
          <w:rFonts w:ascii="Arial" w:hAnsi="Arial" w:cs="Arial"/>
          <w:sz w:val="24"/>
          <w:szCs w:val="24"/>
        </w:rPr>
        <w:t>reported allegations of fraud, c</w:t>
      </w:r>
      <w:r w:rsidR="00E67665" w:rsidRPr="00281692">
        <w:rPr>
          <w:rFonts w:ascii="Arial" w:hAnsi="Arial" w:cs="Arial"/>
          <w:sz w:val="24"/>
          <w:szCs w:val="24"/>
        </w:rPr>
        <w:t xml:space="preserve">orruption and </w:t>
      </w:r>
      <w:r w:rsidR="0014327D">
        <w:rPr>
          <w:rFonts w:ascii="Arial" w:hAnsi="Arial" w:cs="Arial"/>
          <w:sz w:val="24"/>
          <w:szCs w:val="24"/>
        </w:rPr>
        <w:t>serious maladministration</w:t>
      </w:r>
      <w:r w:rsidR="00E67665" w:rsidRPr="00281692">
        <w:rPr>
          <w:rFonts w:ascii="Arial" w:hAnsi="Arial" w:cs="Arial"/>
          <w:sz w:val="24"/>
          <w:szCs w:val="24"/>
        </w:rPr>
        <w:t xml:space="preserve"> with</w:t>
      </w:r>
      <w:r w:rsidR="00281692" w:rsidRPr="00281692">
        <w:rPr>
          <w:rFonts w:ascii="Arial" w:hAnsi="Arial" w:cs="Arial"/>
          <w:sz w:val="24"/>
          <w:szCs w:val="24"/>
        </w:rPr>
        <w:t>in</w:t>
      </w:r>
      <w:r w:rsidR="0014327D">
        <w:rPr>
          <w:rFonts w:ascii="Arial" w:hAnsi="Arial" w:cs="Arial"/>
          <w:sz w:val="24"/>
          <w:szCs w:val="24"/>
        </w:rPr>
        <w:t xml:space="preserve"> the D</w:t>
      </w:r>
      <w:r w:rsidR="00E67665" w:rsidRPr="00281692">
        <w:rPr>
          <w:rFonts w:ascii="Arial" w:hAnsi="Arial" w:cs="Arial"/>
          <w:sz w:val="24"/>
          <w:szCs w:val="24"/>
        </w:rPr>
        <w:t xml:space="preserve">epartment. </w:t>
      </w:r>
      <w:r w:rsidR="0014327D">
        <w:rPr>
          <w:rFonts w:ascii="Arial" w:hAnsi="Arial" w:cs="Arial"/>
          <w:sz w:val="24"/>
          <w:szCs w:val="24"/>
        </w:rPr>
        <w:t>From the 2009/10 financial year to date t</w:t>
      </w:r>
      <w:r w:rsidR="00281692">
        <w:rPr>
          <w:rFonts w:ascii="Arial" w:hAnsi="Arial" w:cs="Arial"/>
          <w:sz w:val="24"/>
          <w:szCs w:val="24"/>
        </w:rPr>
        <w:t xml:space="preserve">he Unit </w:t>
      </w:r>
      <w:r w:rsidR="0014327D">
        <w:rPr>
          <w:rFonts w:ascii="Arial" w:hAnsi="Arial" w:cs="Arial"/>
          <w:sz w:val="24"/>
          <w:szCs w:val="24"/>
        </w:rPr>
        <w:t xml:space="preserve">has </w:t>
      </w:r>
      <w:r w:rsidR="00281692">
        <w:rPr>
          <w:rFonts w:ascii="Arial" w:hAnsi="Arial" w:cs="Arial"/>
          <w:sz w:val="24"/>
          <w:szCs w:val="24"/>
        </w:rPr>
        <w:t>received</w:t>
      </w:r>
      <w:r w:rsidR="000F5E9F">
        <w:rPr>
          <w:rFonts w:ascii="Arial" w:hAnsi="Arial" w:cs="Arial"/>
          <w:sz w:val="24"/>
          <w:szCs w:val="24"/>
        </w:rPr>
        <w:t xml:space="preserve"> </w:t>
      </w:r>
      <w:r w:rsidR="00281692" w:rsidRPr="0014327D">
        <w:rPr>
          <w:rFonts w:ascii="Arial" w:hAnsi="Arial" w:cs="Arial"/>
          <w:sz w:val="24"/>
          <w:szCs w:val="24"/>
        </w:rPr>
        <w:t>363</w:t>
      </w:r>
      <w:r w:rsidR="0014327D">
        <w:rPr>
          <w:rFonts w:ascii="Arial" w:hAnsi="Arial" w:cs="Arial"/>
          <w:sz w:val="24"/>
          <w:szCs w:val="24"/>
        </w:rPr>
        <w:t xml:space="preserve"> cases for investigation purposes</w:t>
      </w:r>
      <w:r w:rsidR="00281692">
        <w:rPr>
          <w:rFonts w:ascii="Arial" w:hAnsi="Arial" w:cs="Arial"/>
          <w:sz w:val="24"/>
          <w:szCs w:val="24"/>
        </w:rPr>
        <w:t xml:space="preserve">. Of </w:t>
      </w:r>
      <w:r w:rsidR="0014327D">
        <w:rPr>
          <w:rFonts w:ascii="Arial" w:hAnsi="Arial" w:cs="Arial"/>
          <w:sz w:val="24"/>
          <w:szCs w:val="24"/>
        </w:rPr>
        <w:t xml:space="preserve">the </w:t>
      </w:r>
      <w:r w:rsidR="0014327D" w:rsidRPr="0014327D">
        <w:rPr>
          <w:rFonts w:ascii="Arial" w:hAnsi="Arial" w:cs="Arial"/>
          <w:sz w:val="24"/>
          <w:szCs w:val="24"/>
        </w:rPr>
        <w:t xml:space="preserve">total number of cases reported, </w:t>
      </w:r>
      <w:r w:rsidR="000F5E9F">
        <w:rPr>
          <w:rFonts w:ascii="Arial" w:hAnsi="Arial" w:cs="Arial"/>
          <w:sz w:val="24"/>
          <w:szCs w:val="24"/>
        </w:rPr>
        <w:t>320</w:t>
      </w:r>
      <w:r w:rsidR="00281692">
        <w:rPr>
          <w:rFonts w:ascii="Arial" w:hAnsi="Arial" w:cs="Arial"/>
          <w:sz w:val="24"/>
          <w:szCs w:val="24"/>
        </w:rPr>
        <w:t xml:space="preserve"> cases were finalised. </w:t>
      </w:r>
      <w:r w:rsidR="0014327D">
        <w:rPr>
          <w:rFonts w:ascii="Arial" w:hAnsi="Arial" w:cs="Arial"/>
          <w:sz w:val="24"/>
          <w:szCs w:val="24"/>
        </w:rPr>
        <w:t>32 cases are currently at various stages of investigation</w:t>
      </w:r>
      <w:r>
        <w:rPr>
          <w:rFonts w:ascii="Arial" w:hAnsi="Arial" w:cs="Arial"/>
          <w:sz w:val="24"/>
          <w:szCs w:val="24"/>
        </w:rPr>
        <w:t>.</w:t>
      </w:r>
    </w:p>
    <w:p w14:paraId="3575EE45" w14:textId="77777777" w:rsidR="006B3514" w:rsidRDefault="006B3514" w:rsidP="006B3514">
      <w:pPr>
        <w:pStyle w:val="Header"/>
        <w:tabs>
          <w:tab w:val="left" w:pos="567"/>
        </w:tabs>
        <w:spacing w:line="300" w:lineRule="auto"/>
        <w:ind w:left="426"/>
        <w:jc w:val="both"/>
        <w:rPr>
          <w:rFonts w:ascii="Arial" w:hAnsi="Arial" w:cs="Arial"/>
          <w:sz w:val="24"/>
          <w:szCs w:val="24"/>
        </w:rPr>
      </w:pPr>
    </w:p>
    <w:p w14:paraId="7BF672E5" w14:textId="77777777" w:rsidR="0014327D" w:rsidRDefault="0014327D" w:rsidP="00750950">
      <w:pPr>
        <w:pStyle w:val="Header"/>
        <w:tabs>
          <w:tab w:val="left" w:pos="720"/>
        </w:tabs>
        <w:spacing w:line="300" w:lineRule="auto"/>
        <w:ind w:left="720"/>
        <w:jc w:val="both"/>
        <w:rPr>
          <w:rFonts w:ascii="Arial" w:hAnsi="Arial" w:cs="Arial"/>
          <w:sz w:val="24"/>
          <w:szCs w:val="24"/>
        </w:rPr>
      </w:pPr>
    </w:p>
    <w:p w14:paraId="3D6844F4" w14:textId="77777777" w:rsidR="000F5E9F" w:rsidRDefault="00435091" w:rsidP="000F5E9F">
      <w:pPr>
        <w:pStyle w:val="Header"/>
        <w:tabs>
          <w:tab w:val="left" w:pos="720"/>
        </w:tabs>
        <w:spacing w:line="300" w:lineRule="auto"/>
        <w:jc w:val="both"/>
        <w:rPr>
          <w:rFonts w:ascii="Arial" w:hAnsi="Arial" w:cs="Arial"/>
          <w:sz w:val="24"/>
          <w:szCs w:val="24"/>
        </w:rPr>
      </w:pPr>
      <w:r w:rsidRPr="00750950">
        <w:rPr>
          <w:rFonts w:ascii="Arial" w:hAnsi="Arial" w:cs="Arial"/>
          <w:sz w:val="24"/>
          <w:szCs w:val="24"/>
        </w:rPr>
        <w:t>(aa) (bb)</w:t>
      </w:r>
      <w:r w:rsidR="00B6143D" w:rsidRPr="00750950">
        <w:rPr>
          <w:rFonts w:ascii="Arial" w:hAnsi="Arial" w:cs="Arial"/>
          <w:sz w:val="24"/>
          <w:szCs w:val="24"/>
        </w:rPr>
        <w:t xml:space="preserve"> </w:t>
      </w:r>
      <w:r w:rsidRPr="00750950">
        <w:rPr>
          <w:rFonts w:ascii="Arial" w:hAnsi="Arial" w:cs="Arial"/>
          <w:sz w:val="24"/>
          <w:szCs w:val="24"/>
        </w:rPr>
        <w:t>(cc)</w:t>
      </w:r>
      <w:r w:rsidR="00A25475" w:rsidRPr="00750950">
        <w:rPr>
          <w:rFonts w:ascii="Arial" w:hAnsi="Arial" w:cs="Arial"/>
          <w:sz w:val="24"/>
          <w:szCs w:val="24"/>
        </w:rPr>
        <w:t xml:space="preserve"> </w:t>
      </w:r>
    </w:p>
    <w:p w14:paraId="38A2BAB8" w14:textId="04FBA567" w:rsidR="00E67665" w:rsidRDefault="00435091" w:rsidP="000F5E9F">
      <w:pPr>
        <w:pStyle w:val="Header"/>
        <w:tabs>
          <w:tab w:val="left" w:pos="720"/>
        </w:tabs>
        <w:spacing w:line="300" w:lineRule="auto"/>
        <w:ind w:left="426"/>
        <w:jc w:val="both"/>
        <w:rPr>
          <w:rFonts w:ascii="Arial" w:hAnsi="Arial" w:cs="Arial"/>
          <w:sz w:val="24"/>
          <w:szCs w:val="24"/>
        </w:rPr>
      </w:pPr>
      <w:r w:rsidRPr="00750950">
        <w:rPr>
          <w:rFonts w:ascii="Arial" w:hAnsi="Arial" w:cs="Arial"/>
          <w:sz w:val="24"/>
          <w:szCs w:val="24"/>
        </w:rPr>
        <w:t>See attached</w:t>
      </w:r>
      <w:r w:rsidR="00A25475" w:rsidRPr="00750950">
        <w:rPr>
          <w:rFonts w:ascii="Arial" w:hAnsi="Arial" w:cs="Arial"/>
          <w:sz w:val="24"/>
          <w:szCs w:val="24"/>
        </w:rPr>
        <w:t xml:space="preserve"> Fraud Allegation Register from </w:t>
      </w:r>
      <w:r w:rsidR="00B6143D" w:rsidRPr="00750950">
        <w:rPr>
          <w:rFonts w:ascii="Arial" w:hAnsi="Arial" w:cs="Arial"/>
          <w:sz w:val="24"/>
          <w:szCs w:val="24"/>
        </w:rPr>
        <w:t>2009/</w:t>
      </w:r>
      <w:r w:rsidRPr="00750950">
        <w:rPr>
          <w:rFonts w:ascii="Arial" w:hAnsi="Arial" w:cs="Arial"/>
          <w:sz w:val="24"/>
          <w:szCs w:val="24"/>
        </w:rPr>
        <w:t xml:space="preserve">10-2016/17 Financial Years </w:t>
      </w:r>
      <w:r w:rsidR="00EE1B71" w:rsidRPr="00750950">
        <w:rPr>
          <w:rFonts w:ascii="Arial" w:hAnsi="Arial" w:cs="Arial"/>
          <w:sz w:val="24"/>
          <w:szCs w:val="24"/>
        </w:rPr>
        <w:t>of the</w:t>
      </w:r>
      <w:r w:rsidRPr="00750950">
        <w:rPr>
          <w:rFonts w:ascii="Arial" w:hAnsi="Arial" w:cs="Arial"/>
          <w:sz w:val="24"/>
          <w:szCs w:val="24"/>
        </w:rPr>
        <w:t xml:space="preserve"> </w:t>
      </w:r>
      <w:r w:rsidR="00736D67" w:rsidRPr="00750950">
        <w:rPr>
          <w:rFonts w:ascii="Arial" w:hAnsi="Arial" w:cs="Arial"/>
          <w:sz w:val="24"/>
          <w:szCs w:val="24"/>
        </w:rPr>
        <w:t>320</w:t>
      </w:r>
      <w:r w:rsidRPr="00750950">
        <w:rPr>
          <w:rFonts w:ascii="Arial" w:hAnsi="Arial" w:cs="Arial"/>
          <w:sz w:val="24"/>
          <w:szCs w:val="24"/>
        </w:rPr>
        <w:t xml:space="preserve"> completed cases</w:t>
      </w:r>
      <w:r w:rsidR="000F5E9F">
        <w:rPr>
          <w:rFonts w:ascii="Arial" w:hAnsi="Arial" w:cs="Arial"/>
          <w:sz w:val="24"/>
          <w:szCs w:val="24"/>
        </w:rPr>
        <w:t>.</w:t>
      </w:r>
    </w:p>
    <w:p w14:paraId="45050A01" w14:textId="4EB3DA66" w:rsidR="000F5E9F" w:rsidRDefault="000F5E9F" w:rsidP="000F5E9F">
      <w:pPr>
        <w:pStyle w:val="Header"/>
        <w:tabs>
          <w:tab w:val="left" w:pos="720"/>
        </w:tabs>
        <w:spacing w:line="300" w:lineRule="auto"/>
        <w:jc w:val="both"/>
        <w:rPr>
          <w:rFonts w:ascii="Arial" w:hAnsi="Arial" w:cs="Arial"/>
          <w:sz w:val="24"/>
          <w:szCs w:val="24"/>
        </w:rPr>
      </w:pPr>
      <w:r>
        <w:rPr>
          <w:rFonts w:ascii="Arial" w:hAnsi="Arial" w:cs="Arial"/>
          <w:sz w:val="24"/>
          <w:szCs w:val="24"/>
        </w:rPr>
        <w:lastRenderedPageBreak/>
        <w:t xml:space="preserve">(b) (i) </w:t>
      </w:r>
      <w:r w:rsidRPr="0064230D">
        <w:rPr>
          <w:rFonts w:ascii="Arial" w:hAnsi="Arial" w:cs="Arial"/>
          <w:b/>
          <w:sz w:val="24"/>
          <w:szCs w:val="24"/>
        </w:rPr>
        <w:t>External Forensic Investigations</w:t>
      </w:r>
    </w:p>
    <w:p w14:paraId="64CE4C33" w14:textId="77777777" w:rsidR="000F5E9F" w:rsidRDefault="000F5E9F" w:rsidP="000F5E9F">
      <w:pPr>
        <w:pStyle w:val="Header"/>
        <w:tabs>
          <w:tab w:val="left" w:pos="720"/>
        </w:tabs>
        <w:spacing w:line="300" w:lineRule="auto"/>
        <w:jc w:val="both"/>
        <w:rPr>
          <w:rFonts w:ascii="Arial" w:hAnsi="Arial" w:cs="Arial"/>
          <w:sz w:val="24"/>
          <w:szCs w:val="24"/>
        </w:rPr>
      </w:pPr>
    </w:p>
    <w:p w14:paraId="772E29D9" w14:textId="0DAA981B" w:rsidR="000F5E9F" w:rsidRPr="0014327D" w:rsidRDefault="000F5E9F" w:rsidP="000F5E9F">
      <w:pPr>
        <w:pStyle w:val="Header"/>
        <w:tabs>
          <w:tab w:val="left" w:pos="720"/>
        </w:tabs>
        <w:spacing w:line="300" w:lineRule="auto"/>
        <w:jc w:val="both"/>
        <w:rPr>
          <w:rFonts w:ascii="Arial" w:hAnsi="Arial" w:cs="Arial"/>
          <w:sz w:val="24"/>
          <w:szCs w:val="24"/>
        </w:rPr>
      </w:pPr>
      <w:r>
        <w:rPr>
          <w:rFonts w:ascii="Arial" w:hAnsi="Arial" w:cs="Arial"/>
          <w:sz w:val="24"/>
          <w:szCs w:val="24"/>
        </w:rPr>
        <w:t xml:space="preserve">The Special Investigating Unit (SIU) has conducted investigations in the DPW in terms of 5 Presidential proclamations – the oldest proclamation was published on 30 July 2010 and the most recent one was published on 20 July 2015. The SIU reports to the President, but they provide the DPW with findings from their investigation for the </w:t>
      </w:r>
      <w:r w:rsidR="0064230D">
        <w:rPr>
          <w:rFonts w:ascii="Arial" w:hAnsi="Arial" w:cs="Arial"/>
          <w:sz w:val="24"/>
          <w:szCs w:val="24"/>
        </w:rPr>
        <w:t xml:space="preserve">purpose of instituting corrective measures, including disciplinary action against any official where there is </w:t>
      </w:r>
      <w:r w:rsidR="0064230D" w:rsidRPr="0064230D">
        <w:rPr>
          <w:rFonts w:ascii="Arial" w:hAnsi="Arial" w:cs="Arial"/>
          <w:i/>
          <w:sz w:val="24"/>
          <w:szCs w:val="24"/>
        </w:rPr>
        <w:t>prima facie</w:t>
      </w:r>
      <w:r w:rsidR="0064230D">
        <w:rPr>
          <w:rFonts w:ascii="Arial" w:hAnsi="Arial" w:cs="Arial"/>
          <w:sz w:val="24"/>
          <w:szCs w:val="24"/>
        </w:rPr>
        <w:t xml:space="preserve"> evidence of misconduct. Where SIU findings point to possible criminal activities, the SIU reports such evidence to the South Africa’s law enforcement agencies for further action. When the SIU finds that funds have been usurped they institute civil proceedings on behalf of the DPW to recover the lost funds. The DPW is notified of this action prior to it being taken. However, the SIU does not provide its full reports to the Department, as it reports to the </w:t>
      </w:r>
      <w:r w:rsidR="00820E1F">
        <w:rPr>
          <w:rFonts w:ascii="Arial" w:hAnsi="Arial" w:cs="Arial"/>
          <w:sz w:val="24"/>
          <w:szCs w:val="24"/>
        </w:rPr>
        <w:t xml:space="preserve">State </w:t>
      </w:r>
      <w:r w:rsidR="0064230D">
        <w:rPr>
          <w:rFonts w:ascii="Arial" w:hAnsi="Arial" w:cs="Arial"/>
          <w:sz w:val="24"/>
          <w:szCs w:val="24"/>
        </w:rPr>
        <w:t xml:space="preserve">President. </w:t>
      </w:r>
    </w:p>
    <w:p w14:paraId="62CC7EB3" w14:textId="77777777" w:rsidR="00820E1F" w:rsidRDefault="00820E1F" w:rsidP="00750950">
      <w:pPr>
        <w:pStyle w:val="BodyTextIndent2"/>
        <w:tabs>
          <w:tab w:val="clear" w:pos="432"/>
          <w:tab w:val="clear" w:pos="864"/>
        </w:tabs>
        <w:spacing w:before="100" w:beforeAutospacing="1" w:after="100" w:afterAutospacing="1" w:line="300" w:lineRule="auto"/>
        <w:jc w:val="both"/>
        <w:rPr>
          <w:rFonts w:ascii="Arial" w:hAnsi="Arial" w:cs="Arial"/>
          <w:b/>
          <w:szCs w:val="24"/>
          <w:lang w:val="en-GB"/>
        </w:rPr>
      </w:pPr>
    </w:p>
    <w:p w14:paraId="55E204AD" w14:textId="0D0A64DF" w:rsidR="009F5E40" w:rsidRDefault="00BD40B1" w:rsidP="00750950">
      <w:pPr>
        <w:pStyle w:val="BodyTextIndent2"/>
        <w:tabs>
          <w:tab w:val="clear" w:pos="432"/>
          <w:tab w:val="clear" w:pos="864"/>
        </w:tabs>
        <w:spacing w:before="100" w:beforeAutospacing="1" w:after="100" w:afterAutospacing="1" w:line="300" w:lineRule="auto"/>
        <w:jc w:val="both"/>
        <w:rPr>
          <w:rFonts w:ascii="Arial" w:hAnsi="Arial" w:cs="Arial"/>
          <w:b/>
          <w:szCs w:val="24"/>
          <w:lang w:val="en-GB"/>
        </w:rPr>
      </w:pPr>
      <w:r>
        <w:rPr>
          <w:rFonts w:ascii="Arial" w:hAnsi="Arial" w:cs="Arial"/>
          <w:b/>
          <w:szCs w:val="24"/>
          <w:lang w:val="en-GB"/>
        </w:rPr>
        <w:t>DPW E</w:t>
      </w:r>
      <w:r w:rsidR="00820E1F">
        <w:rPr>
          <w:rFonts w:ascii="Arial" w:hAnsi="Arial" w:cs="Arial"/>
          <w:b/>
          <w:szCs w:val="24"/>
          <w:lang w:val="en-GB"/>
        </w:rPr>
        <w:t>NTITIES</w:t>
      </w:r>
    </w:p>
    <w:p w14:paraId="52F0F217" w14:textId="538C4269" w:rsidR="00850EB6" w:rsidRPr="00850EB6" w:rsidRDefault="00752D15" w:rsidP="00752D15">
      <w:pPr>
        <w:spacing w:line="300" w:lineRule="auto"/>
        <w:rPr>
          <w:rFonts w:ascii="Arial" w:hAnsi="Arial" w:cs="Arial"/>
          <w:sz w:val="24"/>
          <w:szCs w:val="24"/>
        </w:rPr>
      </w:pPr>
      <w:r w:rsidRPr="00752D15">
        <w:rPr>
          <w:rFonts w:ascii="Arial" w:hAnsi="Arial" w:cs="Arial"/>
          <w:sz w:val="24"/>
          <w:szCs w:val="24"/>
        </w:rPr>
        <w:t>For</w:t>
      </w:r>
      <w:r>
        <w:rPr>
          <w:rFonts w:ascii="Arial" w:hAnsi="Arial" w:cs="Arial"/>
          <w:b/>
          <w:sz w:val="24"/>
          <w:szCs w:val="24"/>
        </w:rPr>
        <w:t xml:space="preserve"> </w:t>
      </w:r>
      <w:r w:rsidR="007916C5">
        <w:rPr>
          <w:rFonts w:ascii="Arial" w:hAnsi="Arial" w:cs="Arial"/>
          <w:b/>
          <w:sz w:val="24"/>
          <w:szCs w:val="24"/>
        </w:rPr>
        <w:t>Agré</w:t>
      </w:r>
      <w:r w:rsidR="009F5E40" w:rsidRPr="00750950">
        <w:rPr>
          <w:rFonts w:ascii="Arial" w:hAnsi="Arial" w:cs="Arial"/>
          <w:b/>
          <w:sz w:val="24"/>
          <w:szCs w:val="24"/>
        </w:rPr>
        <w:t>ment South Africa (ASA)</w:t>
      </w:r>
      <w:r>
        <w:rPr>
          <w:rFonts w:ascii="Arial" w:hAnsi="Arial" w:cs="Arial"/>
          <w:b/>
          <w:sz w:val="24"/>
          <w:szCs w:val="24"/>
        </w:rPr>
        <w:t xml:space="preserve"> </w:t>
      </w:r>
      <w:r w:rsidR="00850EB6" w:rsidRPr="00850EB6">
        <w:rPr>
          <w:rFonts w:ascii="Arial" w:hAnsi="Arial" w:cs="Arial"/>
          <w:sz w:val="24"/>
          <w:szCs w:val="24"/>
        </w:rPr>
        <w:t>No internal or external forensic reports have been completed since 01 January 2009 to date.</w:t>
      </w:r>
    </w:p>
    <w:p w14:paraId="0084408A" w14:textId="77777777" w:rsidR="00850EB6" w:rsidRPr="00850EB6" w:rsidRDefault="00850EB6" w:rsidP="00750950">
      <w:pPr>
        <w:pStyle w:val="ListParagraph"/>
        <w:spacing w:line="300" w:lineRule="auto"/>
        <w:ind w:left="1080"/>
        <w:rPr>
          <w:rFonts w:ascii="Arial" w:hAnsi="Arial" w:cs="Arial"/>
          <w:b/>
          <w:sz w:val="22"/>
          <w:szCs w:val="22"/>
        </w:rPr>
      </w:pPr>
    </w:p>
    <w:p w14:paraId="1243D03A" w14:textId="77777777" w:rsidR="009151C9" w:rsidRPr="009151C9" w:rsidRDefault="009151C9" w:rsidP="009151C9">
      <w:pPr>
        <w:spacing w:line="360" w:lineRule="auto"/>
        <w:rPr>
          <w:rFonts w:ascii="Arial" w:hAnsi="Arial" w:cs="Arial"/>
          <w:b/>
          <w:sz w:val="24"/>
          <w:szCs w:val="24"/>
        </w:rPr>
      </w:pPr>
    </w:p>
    <w:tbl>
      <w:tblPr>
        <w:tblStyle w:val="TableGrid"/>
        <w:tblW w:w="9805" w:type="dxa"/>
        <w:tblLook w:val="04A0" w:firstRow="1" w:lastRow="0" w:firstColumn="1" w:lastColumn="0" w:noHBand="0" w:noVBand="1"/>
      </w:tblPr>
      <w:tblGrid>
        <w:gridCol w:w="1230"/>
        <w:gridCol w:w="2370"/>
        <w:gridCol w:w="3240"/>
        <w:gridCol w:w="2965"/>
      </w:tblGrid>
      <w:tr w:rsidR="009151C9" w:rsidRPr="009151C9" w14:paraId="5731BC45" w14:textId="77777777" w:rsidTr="009151C9">
        <w:tc>
          <w:tcPr>
            <w:tcW w:w="1230" w:type="dxa"/>
          </w:tcPr>
          <w:p w14:paraId="4E97F838" w14:textId="77777777" w:rsidR="009151C9" w:rsidRPr="009151C9" w:rsidRDefault="009151C9" w:rsidP="004B7DA5">
            <w:pPr>
              <w:spacing w:line="360" w:lineRule="auto"/>
              <w:rPr>
                <w:rFonts w:ascii="Arial" w:hAnsi="Arial" w:cs="Arial"/>
                <w:b/>
                <w:sz w:val="24"/>
                <w:szCs w:val="24"/>
              </w:rPr>
            </w:pPr>
          </w:p>
        </w:tc>
        <w:tc>
          <w:tcPr>
            <w:tcW w:w="8575" w:type="dxa"/>
            <w:gridSpan w:val="3"/>
            <w:vMerge w:val="restart"/>
            <w:shd w:val="clear" w:color="auto" w:fill="D9D9D9" w:themeFill="background1" w:themeFillShade="D9"/>
          </w:tcPr>
          <w:p w14:paraId="371A4A32" w14:textId="77777777" w:rsidR="009151C9" w:rsidRPr="009151C9" w:rsidRDefault="009151C9" w:rsidP="004B7DA5">
            <w:pPr>
              <w:spacing w:line="360" w:lineRule="auto"/>
              <w:rPr>
                <w:rFonts w:ascii="Arial" w:hAnsi="Arial" w:cs="Arial"/>
                <w:b/>
                <w:sz w:val="24"/>
                <w:szCs w:val="24"/>
              </w:rPr>
            </w:pPr>
          </w:p>
          <w:p w14:paraId="069D2F71"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Council for Built Environment (CBE)</w:t>
            </w:r>
          </w:p>
        </w:tc>
      </w:tr>
      <w:tr w:rsidR="009151C9" w:rsidRPr="009151C9" w14:paraId="7B10717C" w14:textId="77777777" w:rsidTr="009151C9">
        <w:tc>
          <w:tcPr>
            <w:tcW w:w="1230" w:type="dxa"/>
          </w:tcPr>
          <w:p w14:paraId="2A108214" w14:textId="77777777" w:rsidR="009151C9" w:rsidRPr="009151C9" w:rsidRDefault="009151C9" w:rsidP="004B7DA5">
            <w:pPr>
              <w:spacing w:line="360" w:lineRule="auto"/>
              <w:rPr>
                <w:rFonts w:ascii="Arial" w:hAnsi="Arial" w:cs="Arial"/>
                <w:b/>
                <w:sz w:val="24"/>
                <w:szCs w:val="24"/>
              </w:rPr>
            </w:pPr>
          </w:p>
        </w:tc>
        <w:tc>
          <w:tcPr>
            <w:tcW w:w="8575" w:type="dxa"/>
            <w:gridSpan w:val="3"/>
            <w:vMerge/>
            <w:shd w:val="clear" w:color="auto" w:fill="D9D9D9" w:themeFill="background1" w:themeFillShade="D9"/>
          </w:tcPr>
          <w:p w14:paraId="565AF907" w14:textId="77777777" w:rsidR="009151C9" w:rsidRPr="009151C9" w:rsidRDefault="009151C9" w:rsidP="004B7DA5">
            <w:pPr>
              <w:spacing w:line="360" w:lineRule="auto"/>
              <w:rPr>
                <w:rFonts w:ascii="Arial" w:hAnsi="Arial" w:cs="Arial"/>
                <w:b/>
                <w:sz w:val="24"/>
                <w:szCs w:val="24"/>
              </w:rPr>
            </w:pPr>
          </w:p>
        </w:tc>
      </w:tr>
      <w:tr w:rsidR="009151C9" w:rsidRPr="009151C9" w14:paraId="3B9CE034" w14:textId="77777777" w:rsidTr="009151C9">
        <w:tc>
          <w:tcPr>
            <w:tcW w:w="1230" w:type="dxa"/>
          </w:tcPr>
          <w:p w14:paraId="40DE8A1F" w14:textId="4086C6EA"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(a)(ii)</w:t>
            </w:r>
          </w:p>
        </w:tc>
        <w:tc>
          <w:tcPr>
            <w:tcW w:w="8575" w:type="dxa"/>
            <w:gridSpan w:val="3"/>
          </w:tcPr>
          <w:p w14:paraId="3465ACA4"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Internal Forensic Reports</w:t>
            </w:r>
          </w:p>
        </w:tc>
      </w:tr>
      <w:tr w:rsidR="009151C9" w:rsidRPr="009151C9" w14:paraId="373C6F96" w14:textId="77777777" w:rsidTr="004B7DA5">
        <w:tc>
          <w:tcPr>
            <w:tcW w:w="985" w:type="dxa"/>
          </w:tcPr>
          <w:p w14:paraId="28F171AB" w14:textId="1935D05A" w:rsidR="009151C9" w:rsidRPr="009151C9" w:rsidRDefault="009151C9" w:rsidP="004B7DA5">
            <w:pPr>
              <w:spacing w:line="360" w:lineRule="auto"/>
              <w:rPr>
                <w:rFonts w:ascii="Arial" w:hAnsi="Arial" w:cs="Arial"/>
                <w:sz w:val="24"/>
                <w:szCs w:val="24"/>
              </w:rPr>
            </w:pPr>
          </w:p>
        </w:tc>
        <w:tc>
          <w:tcPr>
            <w:tcW w:w="2430" w:type="dxa"/>
          </w:tcPr>
          <w:p w14:paraId="51A27B92"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(aa)</w:t>
            </w:r>
          </w:p>
        </w:tc>
        <w:tc>
          <w:tcPr>
            <w:tcW w:w="3330" w:type="dxa"/>
          </w:tcPr>
          <w:p w14:paraId="616B70B2"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(bb)</w:t>
            </w:r>
          </w:p>
        </w:tc>
        <w:tc>
          <w:tcPr>
            <w:tcW w:w="3060" w:type="dxa"/>
          </w:tcPr>
          <w:p w14:paraId="71CF42A4"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(cc)</w:t>
            </w:r>
          </w:p>
        </w:tc>
      </w:tr>
      <w:tr w:rsidR="009151C9" w:rsidRPr="009151C9" w14:paraId="0CE4AEBF" w14:textId="77777777" w:rsidTr="009151C9">
        <w:tc>
          <w:tcPr>
            <w:tcW w:w="1230" w:type="dxa"/>
          </w:tcPr>
          <w:p w14:paraId="24919773" w14:textId="77777777" w:rsidR="009151C9" w:rsidRPr="009151C9" w:rsidRDefault="009151C9" w:rsidP="004B7DA5">
            <w:pPr>
              <w:spacing w:line="360" w:lineRule="auto"/>
              <w:rPr>
                <w:rFonts w:ascii="Arial" w:hAnsi="Arial" w:cs="Arial"/>
                <w:sz w:val="24"/>
                <w:szCs w:val="24"/>
              </w:rPr>
            </w:pPr>
          </w:p>
        </w:tc>
        <w:tc>
          <w:tcPr>
            <w:tcW w:w="2370" w:type="dxa"/>
          </w:tcPr>
          <w:p w14:paraId="006BD4F9" w14:textId="525339F7" w:rsidR="009151C9" w:rsidRPr="009151C9" w:rsidRDefault="009151C9" w:rsidP="009151C9">
            <w:pPr>
              <w:spacing w:line="360" w:lineRule="auto"/>
              <w:rPr>
                <w:rFonts w:ascii="Arial" w:hAnsi="Arial" w:cs="Arial"/>
                <w:sz w:val="24"/>
                <w:szCs w:val="24"/>
              </w:rPr>
            </w:pPr>
            <w:r w:rsidRPr="009151C9">
              <w:rPr>
                <w:rFonts w:ascii="Arial" w:hAnsi="Arial" w:cs="Arial"/>
                <w:sz w:val="24"/>
                <w:szCs w:val="24"/>
              </w:rPr>
              <w:t xml:space="preserve">2 employees that were implicated. </w:t>
            </w:r>
          </w:p>
        </w:tc>
        <w:tc>
          <w:tcPr>
            <w:tcW w:w="3240" w:type="dxa"/>
          </w:tcPr>
          <w:p w14:paraId="43D5FECB" w14:textId="41F47D20" w:rsidR="009151C9" w:rsidRPr="009151C9" w:rsidRDefault="009151C9" w:rsidP="004B7DA5">
            <w:pPr>
              <w:spacing w:line="360" w:lineRule="auto"/>
              <w:rPr>
                <w:rFonts w:ascii="Arial" w:hAnsi="Arial" w:cs="Arial"/>
                <w:sz w:val="24"/>
                <w:szCs w:val="24"/>
                <w:lang w:val="en-US"/>
              </w:rPr>
            </w:pPr>
            <w:r>
              <w:rPr>
                <w:rFonts w:ascii="Arial" w:hAnsi="Arial" w:cs="Arial"/>
                <w:sz w:val="24"/>
                <w:szCs w:val="24"/>
                <w:lang w:val="en-US"/>
              </w:rPr>
              <w:t>Case relates to m</w:t>
            </w:r>
            <w:r w:rsidRPr="009151C9">
              <w:rPr>
                <w:rFonts w:ascii="Arial" w:hAnsi="Arial" w:cs="Arial"/>
                <w:sz w:val="24"/>
                <w:szCs w:val="24"/>
                <w:lang w:val="en-US"/>
              </w:rPr>
              <w:t>isconduct on Supply Chain procedures, Corporate Governance issues, Recruitment procedures and HR investigations.</w:t>
            </w:r>
          </w:p>
          <w:p w14:paraId="039C7D47" w14:textId="77777777" w:rsidR="009151C9" w:rsidRPr="009151C9" w:rsidRDefault="009151C9" w:rsidP="004B7DA5">
            <w:pPr>
              <w:spacing w:line="360" w:lineRule="auto"/>
              <w:rPr>
                <w:rFonts w:ascii="Arial" w:hAnsi="Arial" w:cs="Arial"/>
                <w:sz w:val="24"/>
                <w:szCs w:val="24"/>
              </w:rPr>
            </w:pPr>
          </w:p>
        </w:tc>
        <w:tc>
          <w:tcPr>
            <w:tcW w:w="2965" w:type="dxa"/>
          </w:tcPr>
          <w:p w14:paraId="257ECF55" w14:textId="77777777" w:rsidR="009151C9" w:rsidRPr="009151C9" w:rsidRDefault="009151C9" w:rsidP="004B7DA5">
            <w:pPr>
              <w:spacing w:line="360" w:lineRule="auto"/>
              <w:rPr>
                <w:rFonts w:ascii="Arial" w:hAnsi="Arial" w:cs="Arial"/>
                <w:sz w:val="24"/>
                <w:szCs w:val="24"/>
              </w:rPr>
            </w:pPr>
            <w:r w:rsidRPr="009151C9">
              <w:rPr>
                <w:rFonts w:ascii="Arial" w:hAnsi="Arial" w:cs="Arial"/>
                <w:sz w:val="24"/>
                <w:szCs w:val="24"/>
                <w:lang w:val="en-US"/>
              </w:rPr>
              <w:t>The dates are from July 2014 to May 2015.</w:t>
            </w:r>
          </w:p>
        </w:tc>
      </w:tr>
      <w:tr w:rsidR="009151C9" w:rsidRPr="009151C9" w14:paraId="548FBE07" w14:textId="77777777" w:rsidTr="009151C9">
        <w:tc>
          <w:tcPr>
            <w:tcW w:w="1230" w:type="dxa"/>
          </w:tcPr>
          <w:p w14:paraId="3C109813" w14:textId="48329E78" w:rsidR="009151C9" w:rsidRPr="009151C9" w:rsidRDefault="009151C9" w:rsidP="009151C9">
            <w:pPr>
              <w:pStyle w:val="ListParagraph"/>
              <w:numPr>
                <w:ilvl w:val="0"/>
                <w:numId w:val="24"/>
              </w:numPr>
              <w:spacing w:line="360" w:lineRule="auto"/>
              <w:rPr>
                <w:rFonts w:ascii="Arial" w:hAnsi="Arial" w:cs="Arial"/>
                <w:b/>
                <w:sz w:val="24"/>
                <w:szCs w:val="24"/>
              </w:rPr>
            </w:pPr>
            <w:r>
              <w:rPr>
                <w:rFonts w:ascii="Arial" w:hAnsi="Arial" w:cs="Arial"/>
                <w:b/>
                <w:sz w:val="24"/>
                <w:szCs w:val="24"/>
              </w:rPr>
              <w:t>(ii)</w:t>
            </w:r>
          </w:p>
        </w:tc>
        <w:tc>
          <w:tcPr>
            <w:tcW w:w="8575" w:type="dxa"/>
            <w:gridSpan w:val="3"/>
          </w:tcPr>
          <w:p w14:paraId="35172914" w14:textId="54BF36DC" w:rsidR="009151C9" w:rsidRPr="009151C9" w:rsidRDefault="009151C9" w:rsidP="004B7DA5">
            <w:pPr>
              <w:spacing w:line="360" w:lineRule="auto"/>
              <w:rPr>
                <w:rFonts w:ascii="Arial" w:hAnsi="Arial" w:cs="Arial"/>
                <w:sz w:val="24"/>
                <w:szCs w:val="24"/>
                <w:lang w:val="en-US"/>
              </w:rPr>
            </w:pPr>
            <w:r>
              <w:rPr>
                <w:rFonts w:ascii="Arial" w:hAnsi="Arial" w:cs="Arial"/>
                <w:sz w:val="24"/>
                <w:szCs w:val="24"/>
              </w:rPr>
              <w:t>No external forensic investigations were commissioned</w:t>
            </w:r>
          </w:p>
        </w:tc>
      </w:tr>
      <w:tr w:rsidR="009151C9" w:rsidRPr="009151C9" w14:paraId="7EFE8517" w14:textId="77777777" w:rsidTr="00582923">
        <w:tc>
          <w:tcPr>
            <w:tcW w:w="9805" w:type="dxa"/>
            <w:gridSpan w:val="4"/>
          </w:tcPr>
          <w:p w14:paraId="516A885F" w14:textId="77777777" w:rsidR="009151C9" w:rsidRPr="009151C9" w:rsidRDefault="009151C9" w:rsidP="004B7DA5">
            <w:pPr>
              <w:spacing w:line="360" w:lineRule="auto"/>
              <w:rPr>
                <w:rFonts w:ascii="Arial" w:hAnsi="Arial" w:cs="Arial"/>
                <w:b/>
                <w:sz w:val="24"/>
                <w:szCs w:val="24"/>
              </w:rPr>
            </w:pPr>
          </w:p>
        </w:tc>
      </w:tr>
      <w:tr w:rsidR="009151C9" w:rsidRPr="009151C9" w14:paraId="02E08BE9" w14:textId="77777777" w:rsidTr="009151C9">
        <w:tc>
          <w:tcPr>
            <w:tcW w:w="1230" w:type="dxa"/>
          </w:tcPr>
          <w:p w14:paraId="0544C8BB" w14:textId="77777777" w:rsidR="009151C9" w:rsidRPr="009151C9" w:rsidRDefault="009151C9" w:rsidP="004B7DA5">
            <w:pPr>
              <w:spacing w:line="360" w:lineRule="auto"/>
              <w:rPr>
                <w:rFonts w:ascii="Arial" w:hAnsi="Arial" w:cs="Arial"/>
                <w:b/>
                <w:i/>
                <w:sz w:val="24"/>
                <w:szCs w:val="24"/>
              </w:rPr>
            </w:pPr>
          </w:p>
        </w:tc>
        <w:tc>
          <w:tcPr>
            <w:tcW w:w="8575" w:type="dxa"/>
            <w:gridSpan w:val="3"/>
            <w:shd w:val="clear" w:color="auto" w:fill="D9D9D9" w:themeFill="background1" w:themeFillShade="D9"/>
          </w:tcPr>
          <w:p w14:paraId="3AD56DB3" w14:textId="77777777" w:rsidR="009151C9" w:rsidRPr="009151C9" w:rsidRDefault="009151C9" w:rsidP="004B7DA5">
            <w:pPr>
              <w:spacing w:line="360" w:lineRule="auto"/>
              <w:rPr>
                <w:rFonts w:ascii="Arial" w:hAnsi="Arial" w:cs="Arial"/>
                <w:b/>
                <w:i/>
                <w:sz w:val="24"/>
                <w:szCs w:val="24"/>
              </w:rPr>
            </w:pPr>
          </w:p>
          <w:p w14:paraId="28DE359C" w14:textId="09678E27" w:rsidR="009151C9" w:rsidRPr="009151C9" w:rsidRDefault="009151C9" w:rsidP="004B7DA5">
            <w:pPr>
              <w:spacing w:line="360" w:lineRule="auto"/>
              <w:rPr>
                <w:rFonts w:ascii="Arial" w:hAnsi="Arial" w:cs="Arial"/>
                <w:b/>
                <w:i/>
                <w:sz w:val="24"/>
                <w:szCs w:val="24"/>
              </w:rPr>
            </w:pPr>
            <w:r w:rsidRPr="009151C9">
              <w:rPr>
                <w:rFonts w:ascii="Arial" w:hAnsi="Arial" w:cs="Arial"/>
                <w:b/>
                <w:i/>
                <w:sz w:val="24"/>
                <w:szCs w:val="24"/>
              </w:rPr>
              <w:t>Construction Industry Development Board</w:t>
            </w:r>
            <w:r>
              <w:rPr>
                <w:rFonts w:ascii="Arial" w:hAnsi="Arial" w:cs="Arial"/>
                <w:b/>
                <w:i/>
                <w:sz w:val="24"/>
                <w:szCs w:val="24"/>
              </w:rPr>
              <w:t xml:space="preserve"> </w:t>
            </w:r>
            <w:r w:rsidRPr="009151C9">
              <w:rPr>
                <w:rFonts w:ascii="Arial" w:hAnsi="Arial" w:cs="Arial"/>
                <w:b/>
                <w:i/>
                <w:sz w:val="24"/>
                <w:szCs w:val="24"/>
              </w:rPr>
              <w:t>(CIDB)</w:t>
            </w:r>
          </w:p>
          <w:p w14:paraId="6FBB6362" w14:textId="77777777" w:rsidR="009151C9" w:rsidRPr="009151C9" w:rsidRDefault="009151C9" w:rsidP="004B7DA5">
            <w:pPr>
              <w:spacing w:line="360" w:lineRule="auto"/>
              <w:rPr>
                <w:rFonts w:ascii="Arial" w:hAnsi="Arial" w:cs="Arial"/>
                <w:b/>
                <w:i/>
                <w:sz w:val="24"/>
                <w:szCs w:val="24"/>
              </w:rPr>
            </w:pPr>
          </w:p>
        </w:tc>
      </w:tr>
      <w:tr w:rsidR="009151C9" w:rsidRPr="009151C9" w14:paraId="6AA70BE8" w14:textId="77777777" w:rsidTr="009151C9">
        <w:tc>
          <w:tcPr>
            <w:tcW w:w="1230" w:type="dxa"/>
          </w:tcPr>
          <w:p w14:paraId="7B640CEF" w14:textId="77777777" w:rsidR="009151C9" w:rsidRPr="009151C9" w:rsidRDefault="009151C9" w:rsidP="004B7DA5">
            <w:pPr>
              <w:spacing w:line="360" w:lineRule="auto"/>
              <w:rPr>
                <w:rFonts w:ascii="Arial" w:hAnsi="Arial" w:cs="Arial"/>
                <w:b/>
                <w:sz w:val="24"/>
                <w:szCs w:val="24"/>
              </w:rPr>
            </w:pPr>
          </w:p>
        </w:tc>
        <w:tc>
          <w:tcPr>
            <w:tcW w:w="8575" w:type="dxa"/>
            <w:gridSpan w:val="3"/>
          </w:tcPr>
          <w:p w14:paraId="48511BDF"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Internal Forensic Reports</w:t>
            </w:r>
          </w:p>
        </w:tc>
      </w:tr>
      <w:tr w:rsidR="009151C9" w:rsidRPr="009151C9" w14:paraId="2A71B9BE" w14:textId="77777777" w:rsidTr="009151C9">
        <w:tc>
          <w:tcPr>
            <w:tcW w:w="1230" w:type="dxa"/>
          </w:tcPr>
          <w:p w14:paraId="2580B194"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(a) (ii)</w:t>
            </w:r>
          </w:p>
        </w:tc>
        <w:tc>
          <w:tcPr>
            <w:tcW w:w="2370" w:type="dxa"/>
          </w:tcPr>
          <w:p w14:paraId="55293CA0"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(aa)</w:t>
            </w:r>
          </w:p>
        </w:tc>
        <w:tc>
          <w:tcPr>
            <w:tcW w:w="3240" w:type="dxa"/>
          </w:tcPr>
          <w:p w14:paraId="2A07B95E"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(bb)</w:t>
            </w:r>
          </w:p>
        </w:tc>
        <w:tc>
          <w:tcPr>
            <w:tcW w:w="2965" w:type="dxa"/>
          </w:tcPr>
          <w:p w14:paraId="055F0C91" w14:textId="77777777" w:rsidR="009151C9" w:rsidRPr="009151C9" w:rsidRDefault="009151C9" w:rsidP="004B7DA5">
            <w:pPr>
              <w:spacing w:line="360" w:lineRule="auto"/>
              <w:rPr>
                <w:rFonts w:ascii="Arial" w:hAnsi="Arial" w:cs="Arial"/>
                <w:b/>
                <w:sz w:val="24"/>
                <w:szCs w:val="24"/>
              </w:rPr>
            </w:pPr>
            <w:r w:rsidRPr="009151C9">
              <w:rPr>
                <w:rFonts w:ascii="Arial" w:hAnsi="Arial" w:cs="Arial"/>
                <w:b/>
                <w:sz w:val="24"/>
                <w:szCs w:val="24"/>
              </w:rPr>
              <w:t>(cc)</w:t>
            </w:r>
          </w:p>
        </w:tc>
      </w:tr>
      <w:tr w:rsidR="009151C9" w:rsidRPr="009151C9" w14:paraId="25F44DF1" w14:textId="77777777" w:rsidTr="009151C9">
        <w:trPr>
          <w:trHeight w:val="2937"/>
        </w:trPr>
        <w:tc>
          <w:tcPr>
            <w:tcW w:w="1230" w:type="dxa"/>
          </w:tcPr>
          <w:p w14:paraId="67EF8829" w14:textId="77777777" w:rsidR="009151C9" w:rsidRPr="009151C9" w:rsidRDefault="009151C9" w:rsidP="004B7DA5">
            <w:pPr>
              <w:spacing w:line="360" w:lineRule="auto"/>
              <w:rPr>
                <w:rFonts w:ascii="Arial" w:hAnsi="Arial" w:cs="Arial"/>
                <w:b/>
                <w:sz w:val="24"/>
                <w:szCs w:val="24"/>
              </w:rPr>
            </w:pPr>
          </w:p>
        </w:tc>
        <w:tc>
          <w:tcPr>
            <w:tcW w:w="2370" w:type="dxa"/>
          </w:tcPr>
          <w:p w14:paraId="6B477A70" w14:textId="690895CB" w:rsidR="009151C9" w:rsidRPr="009151C9" w:rsidRDefault="009151C9" w:rsidP="009151C9">
            <w:pPr>
              <w:spacing w:line="360" w:lineRule="auto"/>
              <w:rPr>
                <w:rFonts w:ascii="Arial" w:hAnsi="Arial" w:cs="Arial"/>
                <w:sz w:val="24"/>
                <w:szCs w:val="24"/>
              </w:rPr>
            </w:pPr>
            <w:r w:rsidRPr="009151C9">
              <w:rPr>
                <w:rFonts w:ascii="Arial" w:hAnsi="Arial" w:cs="Arial"/>
                <w:sz w:val="24"/>
                <w:szCs w:val="24"/>
              </w:rPr>
              <w:t xml:space="preserve">15 employees that were implicated. </w:t>
            </w:r>
          </w:p>
        </w:tc>
        <w:tc>
          <w:tcPr>
            <w:tcW w:w="3240" w:type="dxa"/>
          </w:tcPr>
          <w:p w14:paraId="303109F5" w14:textId="0189F38F" w:rsidR="009151C9" w:rsidRPr="009151C9" w:rsidRDefault="009151C9" w:rsidP="004B7DA5">
            <w:pPr>
              <w:spacing w:line="360" w:lineRule="auto"/>
              <w:rPr>
                <w:rFonts w:ascii="Arial" w:hAnsi="Arial" w:cs="Arial"/>
                <w:sz w:val="24"/>
                <w:szCs w:val="24"/>
              </w:rPr>
            </w:pPr>
            <w:r>
              <w:rPr>
                <w:rFonts w:ascii="Arial" w:hAnsi="Arial" w:cs="Arial"/>
                <w:sz w:val="24"/>
                <w:szCs w:val="24"/>
                <w:lang w:val="en-US"/>
              </w:rPr>
              <w:t>Case</w:t>
            </w:r>
            <w:r w:rsidR="00CE2986">
              <w:rPr>
                <w:rFonts w:ascii="Arial" w:hAnsi="Arial" w:cs="Arial"/>
                <w:sz w:val="24"/>
                <w:szCs w:val="24"/>
                <w:lang w:val="en-US"/>
              </w:rPr>
              <w:t>s relate</w:t>
            </w:r>
            <w:r w:rsidRPr="009151C9">
              <w:rPr>
                <w:rFonts w:ascii="Arial" w:hAnsi="Arial" w:cs="Arial"/>
                <w:sz w:val="24"/>
                <w:szCs w:val="24"/>
                <w:lang w:val="en-US"/>
              </w:rPr>
              <w:t xml:space="preserve"> to n</w:t>
            </w:r>
            <w:r w:rsidRPr="009151C9">
              <w:rPr>
                <w:rFonts w:ascii="Arial" w:hAnsi="Arial" w:cs="Arial"/>
                <w:sz w:val="24"/>
                <w:szCs w:val="24"/>
              </w:rPr>
              <w:t>on-compliance with procedures, bribery and theft.</w:t>
            </w:r>
          </w:p>
          <w:p w14:paraId="6457CBCD" w14:textId="77777777" w:rsidR="009151C9" w:rsidRPr="009151C9" w:rsidRDefault="009151C9" w:rsidP="004B7DA5">
            <w:pPr>
              <w:spacing w:line="360" w:lineRule="auto"/>
              <w:rPr>
                <w:rFonts w:ascii="Arial" w:hAnsi="Arial" w:cs="Arial"/>
                <w:sz w:val="24"/>
                <w:szCs w:val="24"/>
              </w:rPr>
            </w:pPr>
          </w:p>
        </w:tc>
        <w:tc>
          <w:tcPr>
            <w:tcW w:w="2965" w:type="dxa"/>
          </w:tcPr>
          <w:p w14:paraId="17326279" w14:textId="77777777" w:rsidR="009151C9" w:rsidRPr="009151C9" w:rsidRDefault="009151C9" w:rsidP="004B7DA5">
            <w:pPr>
              <w:spacing w:line="360" w:lineRule="auto"/>
              <w:rPr>
                <w:rFonts w:ascii="Arial" w:hAnsi="Arial" w:cs="Arial"/>
                <w:sz w:val="24"/>
                <w:szCs w:val="24"/>
              </w:rPr>
            </w:pPr>
            <w:r w:rsidRPr="009151C9">
              <w:rPr>
                <w:rFonts w:ascii="Arial" w:hAnsi="Arial" w:cs="Arial"/>
                <w:sz w:val="24"/>
                <w:szCs w:val="24"/>
                <w:lang w:val="en-US"/>
              </w:rPr>
              <w:t>The dates are from February 2009 to September 2015</w:t>
            </w:r>
          </w:p>
          <w:p w14:paraId="02F87E1F" w14:textId="77777777" w:rsidR="009151C9" w:rsidRPr="009151C9" w:rsidRDefault="009151C9" w:rsidP="004B7DA5">
            <w:pPr>
              <w:rPr>
                <w:rFonts w:ascii="Arial" w:hAnsi="Arial" w:cs="Arial"/>
                <w:sz w:val="24"/>
                <w:szCs w:val="24"/>
              </w:rPr>
            </w:pPr>
          </w:p>
          <w:p w14:paraId="120B2DA7" w14:textId="77777777" w:rsidR="009151C9" w:rsidRPr="009151C9" w:rsidRDefault="009151C9" w:rsidP="004B7DA5">
            <w:pPr>
              <w:rPr>
                <w:rFonts w:ascii="Arial" w:hAnsi="Arial" w:cs="Arial"/>
                <w:sz w:val="24"/>
                <w:szCs w:val="24"/>
              </w:rPr>
            </w:pPr>
          </w:p>
          <w:p w14:paraId="51E31099" w14:textId="77777777" w:rsidR="009151C9" w:rsidRPr="009151C9" w:rsidRDefault="009151C9" w:rsidP="004B7DA5">
            <w:pPr>
              <w:rPr>
                <w:rFonts w:ascii="Arial" w:hAnsi="Arial" w:cs="Arial"/>
                <w:sz w:val="24"/>
                <w:szCs w:val="24"/>
              </w:rPr>
            </w:pPr>
          </w:p>
          <w:p w14:paraId="0F009F84" w14:textId="77777777" w:rsidR="009151C9" w:rsidRPr="009151C9" w:rsidRDefault="009151C9" w:rsidP="004B7DA5">
            <w:pPr>
              <w:rPr>
                <w:rFonts w:ascii="Arial" w:hAnsi="Arial" w:cs="Arial"/>
                <w:sz w:val="24"/>
                <w:szCs w:val="24"/>
              </w:rPr>
            </w:pPr>
          </w:p>
        </w:tc>
      </w:tr>
      <w:tr w:rsidR="009151C9" w:rsidRPr="009151C9" w14:paraId="45C6A279" w14:textId="77777777" w:rsidTr="009151C9">
        <w:tc>
          <w:tcPr>
            <w:tcW w:w="1230" w:type="dxa"/>
          </w:tcPr>
          <w:p w14:paraId="285ED8DD" w14:textId="77777777" w:rsidR="009151C9" w:rsidRPr="009151C9" w:rsidRDefault="009151C9" w:rsidP="004B7DA5">
            <w:pPr>
              <w:spacing w:line="360" w:lineRule="auto"/>
              <w:rPr>
                <w:rFonts w:ascii="Arial" w:hAnsi="Arial" w:cs="Arial"/>
                <w:b/>
                <w:sz w:val="24"/>
                <w:szCs w:val="24"/>
              </w:rPr>
            </w:pPr>
          </w:p>
        </w:tc>
        <w:tc>
          <w:tcPr>
            <w:tcW w:w="2370" w:type="dxa"/>
          </w:tcPr>
          <w:p w14:paraId="59B2669B" w14:textId="77777777" w:rsidR="009151C9" w:rsidRPr="009151C9" w:rsidRDefault="009151C9" w:rsidP="004B7DA5">
            <w:pPr>
              <w:spacing w:line="360" w:lineRule="auto"/>
              <w:rPr>
                <w:rFonts w:ascii="Arial" w:hAnsi="Arial" w:cs="Arial"/>
                <w:sz w:val="24"/>
                <w:szCs w:val="24"/>
                <w:lang w:val="en-US"/>
              </w:rPr>
            </w:pPr>
          </w:p>
        </w:tc>
        <w:tc>
          <w:tcPr>
            <w:tcW w:w="3240" w:type="dxa"/>
          </w:tcPr>
          <w:p w14:paraId="2C173DB9" w14:textId="77777777" w:rsidR="009151C9" w:rsidRPr="009151C9" w:rsidRDefault="009151C9" w:rsidP="004B7DA5">
            <w:pPr>
              <w:spacing w:line="360" w:lineRule="auto"/>
              <w:rPr>
                <w:rFonts w:ascii="Arial" w:hAnsi="Arial" w:cs="Arial"/>
                <w:sz w:val="24"/>
                <w:szCs w:val="24"/>
              </w:rPr>
            </w:pPr>
          </w:p>
        </w:tc>
        <w:tc>
          <w:tcPr>
            <w:tcW w:w="2965" w:type="dxa"/>
          </w:tcPr>
          <w:p w14:paraId="12A7ADE3" w14:textId="77777777" w:rsidR="009151C9" w:rsidRPr="009151C9" w:rsidRDefault="009151C9" w:rsidP="004B7DA5">
            <w:pPr>
              <w:spacing w:line="360" w:lineRule="auto"/>
              <w:rPr>
                <w:rFonts w:ascii="Arial" w:hAnsi="Arial" w:cs="Arial"/>
                <w:sz w:val="24"/>
                <w:szCs w:val="24"/>
              </w:rPr>
            </w:pPr>
          </w:p>
        </w:tc>
      </w:tr>
    </w:tbl>
    <w:p w14:paraId="7053E0F5" w14:textId="77777777" w:rsidR="009151C9" w:rsidRPr="009151C9" w:rsidRDefault="009151C9" w:rsidP="009151C9">
      <w:pPr>
        <w:spacing w:before="100" w:beforeAutospacing="1" w:after="100" w:afterAutospacing="1"/>
        <w:outlineLvl w:val="0"/>
        <w:rPr>
          <w:rFonts w:ascii="Arial" w:hAnsi="Arial" w:cs="Arial"/>
          <w:b/>
          <w:sz w:val="24"/>
          <w:szCs w:val="24"/>
          <w:lang w:val="en-US"/>
        </w:rPr>
      </w:pPr>
      <w:r w:rsidRPr="009151C9">
        <w:rPr>
          <w:rFonts w:ascii="Arial" w:hAnsi="Arial" w:cs="Arial"/>
          <w:b/>
          <w:sz w:val="24"/>
          <w:szCs w:val="24"/>
          <w:lang w:val="en-US"/>
        </w:rPr>
        <w:t xml:space="preserve">IDT </w:t>
      </w:r>
    </w:p>
    <w:p w14:paraId="5CEA1183" w14:textId="77777777" w:rsidR="009151C9" w:rsidRPr="009151C9" w:rsidRDefault="009151C9" w:rsidP="009151C9">
      <w:pPr>
        <w:spacing w:before="100" w:beforeAutospacing="1" w:after="100" w:afterAutospacing="1"/>
        <w:outlineLvl w:val="0"/>
        <w:rPr>
          <w:rFonts w:ascii="Arial" w:hAnsi="Arial" w:cs="Arial"/>
          <w:b/>
          <w:sz w:val="24"/>
          <w:szCs w:val="24"/>
          <w:lang w:val="en-US"/>
        </w:rPr>
      </w:pPr>
      <w:r w:rsidRPr="009151C9">
        <w:rPr>
          <w:rFonts w:ascii="Arial" w:hAnsi="Arial" w:cs="Arial"/>
          <w:b/>
          <w:sz w:val="24"/>
          <w:szCs w:val="24"/>
          <w:lang w:val="en-US"/>
        </w:rPr>
        <w:t xml:space="preserve">(a) (ii) </w:t>
      </w:r>
    </w:p>
    <w:p w14:paraId="1AAEA7D5" w14:textId="3DA42656" w:rsidR="009151C9" w:rsidRPr="009151C9" w:rsidRDefault="009151C9" w:rsidP="007916C5">
      <w:pPr>
        <w:spacing w:line="300" w:lineRule="auto"/>
        <w:jc w:val="both"/>
        <w:outlineLvl w:val="0"/>
        <w:rPr>
          <w:rFonts w:ascii="Arial" w:hAnsi="Arial" w:cs="Arial"/>
          <w:sz w:val="24"/>
          <w:szCs w:val="24"/>
          <w:lang w:val="en-US"/>
        </w:rPr>
      </w:pPr>
      <w:r w:rsidRPr="009151C9">
        <w:rPr>
          <w:rFonts w:ascii="Arial" w:hAnsi="Arial" w:cs="Arial"/>
          <w:sz w:val="24"/>
          <w:szCs w:val="24"/>
          <w:lang w:val="en-US"/>
        </w:rPr>
        <w:t>There are two different types of forensic reports that the Independent Development Trust (IDT) has dealt with during the period 01 January 2009 to 28 September 2016. The first type is a forensic report</w:t>
      </w:r>
      <w:r w:rsidR="007916C5">
        <w:rPr>
          <w:rFonts w:ascii="Arial" w:hAnsi="Arial" w:cs="Arial"/>
          <w:sz w:val="24"/>
          <w:szCs w:val="24"/>
          <w:lang w:val="en-US"/>
        </w:rPr>
        <w:t>,</w:t>
      </w:r>
      <w:r w:rsidRPr="009151C9">
        <w:rPr>
          <w:rFonts w:ascii="Arial" w:hAnsi="Arial" w:cs="Arial"/>
          <w:sz w:val="24"/>
          <w:szCs w:val="24"/>
          <w:lang w:val="en-US"/>
        </w:rPr>
        <w:t xml:space="preserve"> which results from an investigation commissioned internally by IDT</w:t>
      </w:r>
      <w:r w:rsidR="007916C5">
        <w:rPr>
          <w:rFonts w:ascii="Arial" w:hAnsi="Arial" w:cs="Arial"/>
          <w:sz w:val="24"/>
          <w:szCs w:val="24"/>
          <w:lang w:val="en-US"/>
        </w:rPr>
        <w:t>,</w:t>
      </w:r>
      <w:r w:rsidRPr="009151C9">
        <w:rPr>
          <w:rFonts w:ascii="Arial" w:hAnsi="Arial" w:cs="Arial"/>
          <w:sz w:val="24"/>
          <w:szCs w:val="24"/>
          <w:lang w:val="en-US"/>
        </w:rPr>
        <w:t xml:space="preserve"> but facilitated by external forensic investigators. The second type is a forensic report which is an outcome of a forensic investigation externally commissioned and whose outcome has a bearing for </w:t>
      </w:r>
      <w:r w:rsidR="007916C5">
        <w:rPr>
          <w:rFonts w:ascii="Arial" w:hAnsi="Arial" w:cs="Arial"/>
          <w:sz w:val="24"/>
          <w:szCs w:val="24"/>
          <w:lang w:val="en-US"/>
        </w:rPr>
        <w:t xml:space="preserve">the </w:t>
      </w:r>
      <w:r w:rsidRPr="009151C9">
        <w:rPr>
          <w:rFonts w:ascii="Arial" w:hAnsi="Arial" w:cs="Arial"/>
          <w:sz w:val="24"/>
          <w:szCs w:val="24"/>
          <w:lang w:val="en-US"/>
        </w:rPr>
        <w:t xml:space="preserve">IDT in one way or the other. These two types of forensic reports are listed in the table below:    </w:t>
      </w:r>
    </w:p>
    <w:p w14:paraId="396956AB" w14:textId="77777777" w:rsidR="009151C9" w:rsidRPr="009151C9" w:rsidRDefault="009151C9" w:rsidP="009151C9">
      <w:pPr>
        <w:pStyle w:val="NoSpacing"/>
        <w:rPr>
          <w:rFonts w:ascii="Arial" w:hAnsi="Arial" w:cs="Arial"/>
          <w:sz w:val="24"/>
          <w:szCs w:val="24"/>
        </w:rPr>
      </w:pPr>
    </w:p>
    <w:p w14:paraId="192EB21E" w14:textId="77777777" w:rsidR="009151C9" w:rsidRPr="009151C9" w:rsidRDefault="009151C9" w:rsidP="009151C9">
      <w:pPr>
        <w:rPr>
          <w:rFonts w:ascii="Arial" w:hAnsi="Arial" w:cs="Arial"/>
          <w:b/>
          <w:sz w:val="24"/>
          <w:szCs w:val="24"/>
        </w:rPr>
      </w:pPr>
      <w:r w:rsidRPr="009151C9">
        <w:rPr>
          <w:rFonts w:ascii="Arial" w:hAnsi="Arial" w:cs="Arial"/>
          <w:b/>
          <w:sz w:val="24"/>
          <w:szCs w:val="24"/>
        </w:rPr>
        <w:t>LIST OF INTERNAL FORENSIC REPORTS</w:t>
      </w:r>
    </w:p>
    <w:p w14:paraId="2F73F421" w14:textId="77777777" w:rsidR="009151C9" w:rsidRPr="009151C9" w:rsidRDefault="009151C9" w:rsidP="009151C9">
      <w:pPr>
        <w:pStyle w:val="NoSpacing"/>
        <w:rPr>
          <w:rFonts w:ascii="Arial" w:hAnsi="Arial" w:cs="Arial"/>
          <w:sz w:val="24"/>
          <w:szCs w:val="24"/>
        </w:rPr>
      </w:pPr>
    </w:p>
    <w:p w14:paraId="0E69578E" w14:textId="77777777" w:rsidR="009151C9" w:rsidRPr="009151C9" w:rsidRDefault="009151C9" w:rsidP="009151C9">
      <w:pPr>
        <w:rPr>
          <w:rFonts w:ascii="Arial" w:hAnsi="Arial" w:cs="Arial"/>
          <w:b/>
          <w:sz w:val="24"/>
          <w:szCs w:val="24"/>
        </w:rPr>
      </w:pPr>
      <w:r w:rsidRPr="009151C9">
        <w:rPr>
          <w:rFonts w:ascii="Arial" w:hAnsi="Arial" w:cs="Arial"/>
          <w:b/>
          <w:sz w:val="24"/>
          <w:szCs w:val="24"/>
        </w:rPr>
        <w:t>(a)(ii)</w:t>
      </w:r>
    </w:p>
    <w:p w14:paraId="7A509396" w14:textId="5D5F7ECB" w:rsidR="009151C9" w:rsidRPr="009151C9" w:rsidRDefault="009151C9" w:rsidP="009151C9">
      <w:pPr>
        <w:rPr>
          <w:rFonts w:ascii="Arial" w:hAnsi="Arial" w:cs="Arial"/>
          <w:b/>
          <w:sz w:val="24"/>
          <w:szCs w:val="24"/>
        </w:rPr>
      </w:pPr>
      <w:r w:rsidRPr="009151C9">
        <w:rPr>
          <w:rFonts w:ascii="Arial" w:hAnsi="Arial" w:cs="Arial"/>
          <w:b/>
          <w:sz w:val="24"/>
          <w:szCs w:val="24"/>
        </w:rPr>
        <w:t>Internally commissioned</w:t>
      </w:r>
      <w:r w:rsidR="007916C5">
        <w:rPr>
          <w:rFonts w:ascii="Arial" w:hAnsi="Arial" w:cs="Arial"/>
          <w:b/>
          <w:sz w:val="24"/>
          <w:szCs w:val="24"/>
        </w:rPr>
        <w:t>,</w:t>
      </w:r>
      <w:r w:rsidRPr="009151C9">
        <w:rPr>
          <w:rFonts w:ascii="Arial" w:hAnsi="Arial" w:cs="Arial"/>
          <w:b/>
          <w:sz w:val="24"/>
          <w:szCs w:val="24"/>
        </w:rPr>
        <w:t xml:space="preserve"> but externally facilitated forensic investigation reports</w:t>
      </w:r>
    </w:p>
    <w:p w14:paraId="003AD9C2" w14:textId="77777777" w:rsidR="009151C9" w:rsidRPr="009151C9" w:rsidRDefault="009151C9" w:rsidP="009151C9">
      <w:pPr>
        <w:rPr>
          <w:rFonts w:ascii="Arial" w:hAnsi="Arial" w:cs="Arial"/>
          <w:b/>
          <w:sz w:val="24"/>
          <w:szCs w:val="24"/>
        </w:rPr>
      </w:pPr>
    </w:p>
    <w:p w14:paraId="6CC0891E" w14:textId="77777777" w:rsidR="009151C9" w:rsidRPr="009151C9" w:rsidRDefault="009151C9" w:rsidP="009151C9">
      <w:pPr>
        <w:rPr>
          <w:rFonts w:ascii="Arial" w:hAnsi="Arial" w:cs="Arial"/>
          <w:b/>
          <w:sz w:val="24"/>
          <w:szCs w:val="24"/>
        </w:rPr>
      </w:pPr>
    </w:p>
    <w:tbl>
      <w:tblPr>
        <w:tblStyle w:val="TableGrid"/>
        <w:tblW w:w="4015" w:type="pct"/>
        <w:tblLayout w:type="fixed"/>
        <w:tblLook w:val="04A0" w:firstRow="1" w:lastRow="0" w:firstColumn="1" w:lastColumn="0" w:noHBand="0" w:noVBand="1"/>
      </w:tblPr>
      <w:tblGrid>
        <w:gridCol w:w="1922"/>
        <w:gridCol w:w="14"/>
        <w:gridCol w:w="2133"/>
        <w:gridCol w:w="1814"/>
        <w:gridCol w:w="1917"/>
      </w:tblGrid>
      <w:tr w:rsidR="0096141B" w:rsidRPr="009151C9" w14:paraId="44A34C29" w14:textId="77777777" w:rsidTr="0096141B">
        <w:tc>
          <w:tcPr>
            <w:tcW w:w="1241" w:type="pct"/>
            <w:gridSpan w:val="2"/>
            <w:shd w:val="clear" w:color="auto" w:fill="D9D9D9" w:themeFill="background1" w:themeFillShade="D9"/>
          </w:tcPr>
          <w:p w14:paraId="31593318" w14:textId="77777777" w:rsidR="0096141B" w:rsidRPr="009151C9" w:rsidRDefault="0096141B" w:rsidP="004B7DA5">
            <w:pPr>
              <w:rPr>
                <w:rFonts w:ascii="Arial" w:hAnsi="Arial" w:cs="Arial"/>
                <w:b/>
                <w:sz w:val="24"/>
                <w:szCs w:val="24"/>
              </w:rPr>
            </w:pPr>
            <w:r w:rsidRPr="009151C9">
              <w:rPr>
                <w:rFonts w:ascii="Arial" w:hAnsi="Arial" w:cs="Arial"/>
                <w:b/>
                <w:sz w:val="24"/>
                <w:szCs w:val="24"/>
              </w:rPr>
              <w:t xml:space="preserve">(aa) </w:t>
            </w:r>
          </w:p>
        </w:tc>
        <w:tc>
          <w:tcPr>
            <w:tcW w:w="1367" w:type="pct"/>
            <w:shd w:val="clear" w:color="auto" w:fill="D9D9D9" w:themeFill="background1" w:themeFillShade="D9"/>
          </w:tcPr>
          <w:p w14:paraId="4609F6DC" w14:textId="77777777" w:rsidR="0096141B" w:rsidRPr="009151C9" w:rsidRDefault="0096141B" w:rsidP="004B7DA5">
            <w:pPr>
              <w:rPr>
                <w:rFonts w:ascii="Arial" w:hAnsi="Arial" w:cs="Arial"/>
                <w:b/>
                <w:sz w:val="24"/>
                <w:szCs w:val="24"/>
              </w:rPr>
            </w:pPr>
            <w:r w:rsidRPr="009151C9">
              <w:rPr>
                <w:rFonts w:ascii="Arial" w:hAnsi="Arial" w:cs="Arial"/>
                <w:b/>
                <w:sz w:val="24"/>
                <w:szCs w:val="24"/>
              </w:rPr>
              <w:t xml:space="preserve">(bb) </w:t>
            </w:r>
          </w:p>
        </w:tc>
        <w:tc>
          <w:tcPr>
            <w:tcW w:w="1163" w:type="pct"/>
            <w:shd w:val="clear" w:color="auto" w:fill="D9D9D9" w:themeFill="background1" w:themeFillShade="D9"/>
          </w:tcPr>
          <w:p w14:paraId="07503948" w14:textId="77777777" w:rsidR="0096141B" w:rsidRPr="009151C9" w:rsidRDefault="0096141B" w:rsidP="004B7DA5">
            <w:pPr>
              <w:rPr>
                <w:rFonts w:ascii="Arial" w:hAnsi="Arial" w:cs="Arial"/>
                <w:b/>
                <w:sz w:val="24"/>
                <w:szCs w:val="24"/>
              </w:rPr>
            </w:pPr>
            <w:r w:rsidRPr="009151C9">
              <w:rPr>
                <w:rFonts w:ascii="Arial" w:hAnsi="Arial" w:cs="Arial"/>
                <w:b/>
                <w:sz w:val="24"/>
                <w:szCs w:val="24"/>
              </w:rPr>
              <w:t xml:space="preserve">(cc) </w:t>
            </w:r>
          </w:p>
        </w:tc>
        <w:tc>
          <w:tcPr>
            <w:tcW w:w="1229" w:type="pct"/>
            <w:shd w:val="clear" w:color="auto" w:fill="D9D9D9" w:themeFill="background1" w:themeFillShade="D9"/>
          </w:tcPr>
          <w:p w14:paraId="2BB22D17" w14:textId="77777777" w:rsidR="0096141B" w:rsidRPr="009151C9" w:rsidRDefault="0096141B" w:rsidP="004B7DA5">
            <w:pPr>
              <w:rPr>
                <w:rFonts w:ascii="Arial" w:hAnsi="Arial" w:cs="Arial"/>
                <w:b/>
                <w:sz w:val="24"/>
                <w:szCs w:val="24"/>
              </w:rPr>
            </w:pPr>
            <w:r w:rsidRPr="009151C9">
              <w:rPr>
                <w:rFonts w:ascii="Arial" w:hAnsi="Arial" w:cs="Arial"/>
                <w:b/>
                <w:sz w:val="24"/>
                <w:szCs w:val="24"/>
              </w:rPr>
              <w:t>Name of investigator/s</w:t>
            </w:r>
          </w:p>
        </w:tc>
      </w:tr>
      <w:tr w:rsidR="0096141B" w:rsidRPr="009151C9" w14:paraId="39B3222D" w14:textId="77777777" w:rsidTr="0096141B">
        <w:tc>
          <w:tcPr>
            <w:tcW w:w="1241" w:type="pct"/>
            <w:gridSpan w:val="2"/>
          </w:tcPr>
          <w:p w14:paraId="47AD99D6"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t xml:space="preserve">Alleged fraudulent claims by service provider for IDT </w:t>
            </w:r>
            <w:r w:rsidRPr="009151C9">
              <w:rPr>
                <w:rFonts w:ascii="Arial" w:hAnsi="Arial" w:cs="Arial"/>
                <w:color w:val="000000" w:themeColor="text1"/>
                <w:sz w:val="24"/>
                <w:szCs w:val="24"/>
              </w:rPr>
              <w:lastRenderedPageBreak/>
              <w:t>Limpopo: Social Programme</w:t>
            </w:r>
          </w:p>
        </w:tc>
        <w:tc>
          <w:tcPr>
            <w:tcW w:w="1367" w:type="pct"/>
          </w:tcPr>
          <w:p w14:paraId="69F37185"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lastRenderedPageBreak/>
              <w:t xml:space="preserve">Fraudulent Time sheet and irregular claims </w:t>
            </w:r>
          </w:p>
        </w:tc>
        <w:tc>
          <w:tcPr>
            <w:tcW w:w="1163" w:type="pct"/>
          </w:tcPr>
          <w:p w14:paraId="3B56DFCC"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t>15 April 2015</w:t>
            </w:r>
          </w:p>
        </w:tc>
        <w:tc>
          <w:tcPr>
            <w:tcW w:w="1229" w:type="pct"/>
          </w:tcPr>
          <w:p w14:paraId="0ED45ED8" w14:textId="77777777" w:rsidR="0096141B" w:rsidRPr="009151C9" w:rsidRDefault="0096141B" w:rsidP="004B7DA5">
            <w:pPr>
              <w:rPr>
                <w:rFonts w:ascii="Arial" w:hAnsi="Arial" w:cs="Arial"/>
                <w:sz w:val="24"/>
                <w:szCs w:val="24"/>
              </w:rPr>
            </w:pPr>
            <w:r w:rsidRPr="009151C9">
              <w:rPr>
                <w:rFonts w:ascii="Arial" w:hAnsi="Arial" w:cs="Arial"/>
                <w:sz w:val="24"/>
                <w:szCs w:val="24"/>
              </w:rPr>
              <w:t xml:space="preserve">PricewaterhouseCoopers (PwC) </w:t>
            </w:r>
          </w:p>
        </w:tc>
      </w:tr>
      <w:tr w:rsidR="0096141B" w:rsidRPr="009151C9" w14:paraId="08B794B8" w14:textId="77777777" w:rsidTr="0096141B">
        <w:tc>
          <w:tcPr>
            <w:tcW w:w="1241" w:type="pct"/>
            <w:gridSpan w:val="2"/>
          </w:tcPr>
          <w:p w14:paraId="2832E2C1"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lastRenderedPageBreak/>
              <w:t xml:space="preserve">Alleged irregular payment to a service provider at Mpumalanga (IDT) Regional Office (MPL) </w:t>
            </w:r>
          </w:p>
        </w:tc>
        <w:tc>
          <w:tcPr>
            <w:tcW w:w="1367" w:type="pct"/>
          </w:tcPr>
          <w:p w14:paraId="4331C7C0"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t>Irregular Payments at Rob-Ferreira Hospital</w:t>
            </w:r>
          </w:p>
        </w:tc>
        <w:tc>
          <w:tcPr>
            <w:tcW w:w="1163" w:type="pct"/>
          </w:tcPr>
          <w:p w14:paraId="67C8EF15"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t>27 Sept 2012</w:t>
            </w:r>
          </w:p>
        </w:tc>
        <w:tc>
          <w:tcPr>
            <w:tcW w:w="1229" w:type="pct"/>
          </w:tcPr>
          <w:p w14:paraId="2288ECC5" w14:textId="77777777" w:rsidR="0096141B" w:rsidRPr="009151C9" w:rsidRDefault="0096141B" w:rsidP="004B7DA5">
            <w:pPr>
              <w:rPr>
                <w:rFonts w:ascii="Arial" w:hAnsi="Arial" w:cs="Arial"/>
                <w:sz w:val="24"/>
                <w:szCs w:val="24"/>
              </w:rPr>
            </w:pPr>
            <w:r w:rsidRPr="009151C9">
              <w:rPr>
                <w:rFonts w:ascii="Arial" w:hAnsi="Arial" w:cs="Arial"/>
                <w:sz w:val="24"/>
                <w:szCs w:val="24"/>
              </w:rPr>
              <w:t>PricewaterhouseCoopers (PwC)</w:t>
            </w:r>
          </w:p>
        </w:tc>
      </w:tr>
      <w:tr w:rsidR="0096141B" w:rsidRPr="009151C9" w14:paraId="399D0E7F" w14:textId="77777777" w:rsidTr="0096141B">
        <w:tc>
          <w:tcPr>
            <w:tcW w:w="1241" w:type="pct"/>
            <w:gridSpan w:val="2"/>
          </w:tcPr>
          <w:p w14:paraId="05D10F1E" w14:textId="26B4814B" w:rsidR="0096141B" w:rsidRPr="009151C9" w:rsidRDefault="0096141B" w:rsidP="004B7DA5">
            <w:pPr>
              <w:rPr>
                <w:rFonts w:ascii="Arial" w:hAnsi="Arial" w:cs="Arial"/>
                <w:sz w:val="24"/>
                <w:szCs w:val="24"/>
              </w:rPr>
            </w:pPr>
            <w:r w:rsidRPr="009151C9">
              <w:rPr>
                <w:rFonts w:ascii="Arial" w:hAnsi="Arial" w:cs="Arial"/>
                <w:sz w:val="24"/>
                <w:szCs w:val="24"/>
              </w:rPr>
              <w:t xml:space="preserve">Forensic Accounting investigation into Irregularities at IDT relating to </w:t>
            </w:r>
            <w:r>
              <w:rPr>
                <w:rFonts w:ascii="Arial" w:hAnsi="Arial" w:cs="Arial"/>
                <w:sz w:val="24"/>
                <w:szCs w:val="24"/>
              </w:rPr>
              <w:t>wasteful expenditure</w:t>
            </w:r>
          </w:p>
          <w:p w14:paraId="403DB52F" w14:textId="77777777" w:rsidR="0096141B" w:rsidRPr="009151C9" w:rsidRDefault="0096141B" w:rsidP="004B7DA5">
            <w:pPr>
              <w:rPr>
                <w:rFonts w:ascii="Arial" w:hAnsi="Arial" w:cs="Arial"/>
                <w:color w:val="000000" w:themeColor="text1"/>
                <w:sz w:val="24"/>
                <w:szCs w:val="24"/>
              </w:rPr>
            </w:pPr>
          </w:p>
        </w:tc>
        <w:tc>
          <w:tcPr>
            <w:tcW w:w="1367" w:type="pct"/>
          </w:tcPr>
          <w:p w14:paraId="1A5CAA43" w14:textId="77777777" w:rsidR="0096141B" w:rsidRPr="009151C9" w:rsidRDefault="0096141B" w:rsidP="004B7DA5">
            <w:pPr>
              <w:rPr>
                <w:rFonts w:ascii="Arial" w:hAnsi="Arial" w:cs="Arial"/>
                <w:sz w:val="24"/>
                <w:szCs w:val="24"/>
              </w:rPr>
            </w:pPr>
            <w:r w:rsidRPr="009151C9">
              <w:rPr>
                <w:rFonts w:ascii="Arial" w:hAnsi="Arial" w:cs="Arial"/>
                <w:sz w:val="24"/>
                <w:szCs w:val="24"/>
              </w:rPr>
              <w:t xml:space="preserve">1. Questions raised about the achievement of project deliverables and how much was paid for each of the following deliverables: </w:t>
            </w:r>
          </w:p>
          <w:p w14:paraId="6FFC8C2D" w14:textId="77777777" w:rsidR="0096141B" w:rsidRPr="009151C9" w:rsidRDefault="0096141B" w:rsidP="007916C5">
            <w:pPr>
              <w:pStyle w:val="ListParagraph"/>
              <w:numPr>
                <w:ilvl w:val="0"/>
                <w:numId w:val="34"/>
              </w:numPr>
              <w:ind w:left="221" w:hanging="215"/>
              <w:rPr>
                <w:rFonts w:ascii="Arial" w:hAnsi="Arial" w:cs="Arial"/>
                <w:sz w:val="24"/>
                <w:szCs w:val="24"/>
              </w:rPr>
            </w:pPr>
            <w:r w:rsidRPr="009151C9">
              <w:rPr>
                <w:rFonts w:ascii="Arial" w:hAnsi="Arial" w:cs="Arial"/>
                <w:sz w:val="24"/>
                <w:szCs w:val="24"/>
              </w:rPr>
              <w:t xml:space="preserve">Progressive Woman Movement of South Africa (PWMAS) workshop; </w:t>
            </w:r>
          </w:p>
          <w:p w14:paraId="469A9142" w14:textId="77777777" w:rsidR="0096141B" w:rsidRPr="009151C9" w:rsidRDefault="0096141B" w:rsidP="007916C5">
            <w:pPr>
              <w:pStyle w:val="ListParagraph"/>
              <w:numPr>
                <w:ilvl w:val="0"/>
                <w:numId w:val="34"/>
              </w:numPr>
              <w:ind w:left="221" w:hanging="215"/>
              <w:rPr>
                <w:rFonts w:ascii="Arial" w:hAnsi="Arial" w:cs="Arial"/>
                <w:sz w:val="24"/>
                <w:szCs w:val="24"/>
              </w:rPr>
            </w:pPr>
            <w:r w:rsidRPr="009151C9">
              <w:rPr>
                <w:rFonts w:ascii="Arial" w:hAnsi="Arial" w:cs="Arial"/>
                <w:sz w:val="24"/>
                <w:szCs w:val="24"/>
              </w:rPr>
              <w:t>Re Tlisa Diphetoho (RTD) initiative;</w:t>
            </w:r>
          </w:p>
          <w:p w14:paraId="32C37502" w14:textId="77777777" w:rsidR="0096141B" w:rsidRPr="009151C9" w:rsidRDefault="0096141B" w:rsidP="007916C5">
            <w:pPr>
              <w:pStyle w:val="ListParagraph"/>
              <w:numPr>
                <w:ilvl w:val="0"/>
                <w:numId w:val="34"/>
              </w:numPr>
              <w:ind w:left="221" w:hanging="215"/>
              <w:rPr>
                <w:rFonts w:ascii="Arial" w:hAnsi="Arial" w:cs="Arial"/>
                <w:sz w:val="24"/>
                <w:szCs w:val="24"/>
              </w:rPr>
            </w:pPr>
            <w:r w:rsidRPr="009151C9">
              <w:rPr>
                <w:rFonts w:ascii="Arial" w:hAnsi="Arial" w:cs="Arial"/>
                <w:sz w:val="24"/>
                <w:szCs w:val="24"/>
              </w:rPr>
              <w:t>The business Case Review for the Transformation initiative;</w:t>
            </w:r>
          </w:p>
          <w:p w14:paraId="0F6C9403" w14:textId="77777777" w:rsidR="0096141B" w:rsidRPr="009151C9" w:rsidRDefault="0096141B" w:rsidP="007916C5">
            <w:pPr>
              <w:pStyle w:val="ListParagraph"/>
              <w:numPr>
                <w:ilvl w:val="0"/>
                <w:numId w:val="34"/>
              </w:numPr>
              <w:ind w:left="221" w:hanging="221"/>
              <w:rPr>
                <w:rFonts w:ascii="Arial" w:hAnsi="Arial" w:cs="Arial"/>
                <w:sz w:val="24"/>
                <w:szCs w:val="24"/>
              </w:rPr>
            </w:pPr>
            <w:r w:rsidRPr="009151C9">
              <w:rPr>
                <w:rFonts w:ascii="Arial" w:hAnsi="Arial" w:cs="Arial"/>
                <w:sz w:val="24"/>
                <w:szCs w:val="24"/>
              </w:rPr>
              <w:t xml:space="preserve">The Legacy project;  </w:t>
            </w:r>
          </w:p>
          <w:p w14:paraId="5376F91A" w14:textId="77777777" w:rsidR="0096141B" w:rsidRPr="009151C9" w:rsidRDefault="0096141B" w:rsidP="007916C5">
            <w:pPr>
              <w:pStyle w:val="ListParagraph"/>
              <w:numPr>
                <w:ilvl w:val="0"/>
                <w:numId w:val="34"/>
              </w:numPr>
              <w:ind w:left="221" w:hanging="221"/>
              <w:rPr>
                <w:rFonts w:ascii="Arial" w:hAnsi="Arial" w:cs="Arial"/>
                <w:sz w:val="24"/>
                <w:szCs w:val="24"/>
              </w:rPr>
            </w:pPr>
            <w:r w:rsidRPr="009151C9">
              <w:rPr>
                <w:rFonts w:ascii="Arial" w:hAnsi="Arial" w:cs="Arial"/>
                <w:sz w:val="24"/>
                <w:szCs w:val="24"/>
              </w:rPr>
              <w:t>The CEO awards; and</w:t>
            </w:r>
          </w:p>
          <w:p w14:paraId="11EB0483" w14:textId="0C514BE9" w:rsidR="0096141B" w:rsidRPr="007916C5" w:rsidRDefault="0096141B" w:rsidP="007916C5">
            <w:pPr>
              <w:pStyle w:val="ListParagraph"/>
              <w:numPr>
                <w:ilvl w:val="0"/>
                <w:numId w:val="34"/>
              </w:numPr>
              <w:ind w:left="221" w:hanging="215"/>
              <w:rPr>
                <w:rFonts w:ascii="Arial" w:hAnsi="Arial" w:cs="Arial"/>
                <w:sz w:val="24"/>
                <w:szCs w:val="24"/>
              </w:rPr>
            </w:pPr>
            <w:r w:rsidRPr="009151C9">
              <w:rPr>
                <w:rFonts w:ascii="Arial" w:hAnsi="Arial" w:cs="Arial"/>
                <w:sz w:val="24"/>
                <w:szCs w:val="24"/>
              </w:rPr>
              <w:t>The involvement of Fabulous Weddings</w:t>
            </w:r>
          </w:p>
          <w:p w14:paraId="0018DFC6" w14:textId="77777777" w:rsidR="0096141B" w:rsidRPr="009151C9" w:rsidRDefault="0096141B" w:rsidP="004B7DA5">
            <w:pPr>
              <w:rPr>
                <w:rFonts w:ascii="Arial" w:hAnsi="Arial" w:cs="Arial"/>
                <w:color w:val="000000" w:themeColor="text1"/>
                <w:sz w:val="24"/>
                <w:szCs w:val="24"/>
              </w:rPr>
            </w:pPr>
          </w:p>
        </w:tc>
        <w:tc>
          <w:tcPr>
            <w:tcW w:w="1163" w:type="pct"/>
          </w:tcPr>
          <w:p w14:paraId="554D5BA9" w14:textId="77777777" w:rsidR="0096141B" w:rsidRPr="009151C9" w:rsidRDefault="0096141B" w:rsidP="004B7DA5">
            <w:pPr>
              <w:rPr>
                <w:rFonts w:ascii="Arial" w:hAnsi="Arial" w:cs="Arial"/>
                <w:sz w:val="24"/>
                <w:szCs w:val="24"/>
              </w:rPr>
            </w:pPr>
            <w:r w:rsidRPr="009151C9">
              <w:rPr>
                <w:rFonts w:ascii="Arial" w:hAnsi="Arial" w:cs="Arial"/>
                <w:sz w:val="24"/>
                <w:szCs w:val="24"/>
              </w:rPr>
              <w:t xml:space="preserve">15 September 2016 </w:t>
            </w:r>
          </w:p>
          <w:p w14:paraId="13C24D19" w14:textId="61C783F8" w:rsidR="0096141B" w:rsidRPr="009151C9" w:rsidRDefault="0096141B" w:rsidP="007916C5">
            <w:pPr>
              <w:rPr>
                <w:rFonts w:ascii="Arial" w:hAnsi="Arial" w:cs="Arial"/>
                <w:color w:val="000000" w:themeColor="text1"/>
                <w:sz w:val="24"/>
                <w:szCs w:val="24"/>
              </w:rPr>
            </w:pPr>
            <w:r w:rsidRPr="009151C9">
              <w:rPr>
                <w:rFonts w:ascii="Arial" w:hAnsi="Arial" w:cs="Arial"/>
                <w:sz w:val="24"/>
                <w:szCs w:val="24"/>
              </w:rPr>
              <w:t xml:space="preserve">(At the time of </w:t>
            </w:r>
            <w:r>
              <w:rPr>
                <w:rFonts w:ascii="Arial" w:hAnsi="Arial" w:cs="Arial"/>
                <w:sz w:val="24"/>
                <w:szCs w:val="24"/>
              </w:rPr>
              <w:t>finalising this</w:t>
            </w:r>
            <w:r w:rsidRPr="009151C9">
              <w:rPr>
                <w:rFonts w:ascii="Arial" w:hAnsi="Arial" w:cs="Arial"/>
                <w:sz w:val="24"/>
                <w:szCs w:val="24"/>
              </w:rPr>
              <w:t xml:space="preserve"> reply the final report </w:t>
            </w:r>
            <w:r>
              <w:rPr>
                <w:rFonts w:ascii="Arial" w:hAnsi="Arial" w:cs="Arial"/>
                <w:sz w:val="24"/>
                <w:szCs w:val="24"/>
              </w:rPr>
              <w:t>had</w:t>
            </w:r>
            <w:r w:rsidRPr="009151C9">
              <w:rPr>
                <w:rFonts w:ascii="Arial" w:hAnsi="Arial" w:cs="Arial"/>
                <w:sz w:val="24"/>
                <w:szCs w:val="24"/>
              </w:rPr>
              <w:t xml:space="preserve"> not </w:t>
            </w:r>
            <w:r>
              <w:rPr>
                <w:rFonts w:ascii="Arial" w:hAnsi="Arial" w:cs="Arial"/>
                <w:sz w:val="24"/>
                <w:szCs w:val="24"/>
              </w:rPr>
              <w:t>yet been considered by</w:t>
            </w:r>
            <w:r w:rsidRPr="009151C9">
              <w:rPr>
                <w:rFonts w:ascii="Arial" w:hAnsi="Arial" w:cs="Arial"/>
                <w:sz w:val="24"/>
                <w:szCs w:val="24"/>
              </w:rPr>
              <w:t xml:space="preserve"> the IDT Board)</w:t>
            </w:r>
          </w:p>
        </w:tc>
        <w:tc>
          <w:tcPr>
            <w:tcW w:w="1229" w:type="pct"/>
          </w:tcPr>
          <w:p w14:paraId="20146C02" w14:textId="77777777" w:rsidR="0096141B" w:rsidRPr="009151C9" w:rsidRDefault="0096141B" w:rsidP="004B7DA5">
            <w:pPr>
              <w:rPr>
                <w:rFonts w:ascii="Arial" w:hAnsi="Arial" w:cs="Arial"/>
                <w:sz w:val="24"/>
                <w:szCs w:val="24"/>
              </w:rPr>
            </w:pPr>
          </w:p>
        </w:tc>
      </w:tr>
      <w:tr w:rsidR="0096141B" w:rsidRPr="009151C9" w14:paraId="1D877426" w14:textId="77777777" w:rsidTr="0096141B">
        <w:tc>
          <w:tcPr>
            <w:tcW w:w="1232" w:type="pct"/>
          </w:tcPr>
          <w:p w14:paraId="5941EE9C"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t>Procurement Irregularities at the KZN IDT relating to Mobile Classrooms</w:t>
            </w:r>
          </w:p>
        </w:tc>
        <w:tc>
          <w:tcPr>
            <w:tcW w:w="1376" w:type="pct"/>
            <w:gridSpan w:val="2"/>
          </w:tcPr>
          <w:p w14:paraId="516BB3A8"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t xml:space="preserve">Review the tender process followed by IDT in appointing Tedsons and JT </w:t>
            </w:r>
            <w:r w:rsidRPr="009151C9">
              <w:rPr>
                <w:rFonts w:ascii="Arial" w:hAnsi="Arial" w:cs="Arial"/>
                <w:color w:val="000000" w:themeColor="text1"/>
                <w:sz w:val="24"/>
                <w:szCs w:val="24"/>
              </w:rPr>
              <w:lastRenderedPageBreak/>
              <w:t>Cabins as a service provider</w:t>
            </w:r>
          </w:p>
        </w:tc>
        <w:tc>
          <w:tcPr>
            <w:tcW w:w="1163" w:type="pct"/>
          </w:tcPr>
          <w:p w14:paraId="2BD81DD5" w14:textId="77777777" w:rsidR="0096141B" w:rsidRPr="009151C9" w:rsidRDefault="0096141B" w:rsidP="004B7DA5">
            <w:pPr>
              <w:rPr>
                <w:rFonts w:ascii="Arial" w:hAnsi="Arial" w:cs="Arial"/>
                <w:b/>
                <w:color w:val="FF0000"/>
                <w:sz w:val="24"/>
                <w:szCs w:val="24"/>
                <w:u w:val="single"/>
              </w:rPr>
            </w:pPr>
            <w:r w:rsidRPr="009151C9">
              <w:rPr>
                <w:rFonts w:ascii="Arial" w:hAnsi="Arial" w:cs="Arial"/>
                <w:color w:val="000000" w:themeColor="text1"/>
                <w:sz w:val="24"/>
                <w:szCs w:val="24"/>
              </w:rPr>
              <w:lastRenderedPageBreak/>
              <w:t>15 Sept 2016</w:t>
            </w:r>
          </w:p>
        </w:tc>
        <w:tc>
          <w:tcPr>
            <w:tcW w:w="1229" w:type="pct"/>
          </w:tcPr>
          <w:p w14:paraId="1CFD3A24" w14:textId="77777777" w:rsidR="0096141B" w:rsidRPr="009151C9" w:rsidRDefault="0096141B" w:rsidP="004B7DA5">
            <w:pPr>
              <w:rPr>
                <w:rFonts w:ascii="Arial" w:hAnsi="Arial" w:cs="Arial"/>
                <w:color w:val="FF0000"/>
                <w:sz w:val="24"/>
                <w:szCs w:val="24"/>
              </w:rPr>
            </w:pPr>
            <w:r w:rsidRPr="009151C9">
              <w:rPr>
                <w:rFonts w:ascii="Arial" w:hAnsi="Arial" w:cs="Arial"/>
                <w:sz w:val="24"/>
                <w:szCs w:val="24"/>
              </w:rPr>
              <w:t>National Treasury</w:t>
            </w:r>
          </w:p>
        </w:tc>
      </w:tr>
      <w:tr w:rsidR="0096141B" w:rsidRPr="009151C9" w14:paraId="372D8DFB" w14:textId="77777777" w:rsidTr="0096141B">
        <w:tc>
          <w:tcPr>
            <w:tcW w:w="1232" w:type="pct"/>
          </w:tcPr>
          <w:p w14:paraId="707F8C5A"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lastRenderedPageBreak/>
              <w:t>Procurement irregularities at the IDT relating to Destiny Group, Nkwali and Bursary</w:t>
            </w:r>
          </w:p>
        </w:tc>
        <w:tc>
          <w:tcPr>
            <w:tcW w:w="1376" w:type="pct"/>
            <w:gridSpan w:val="2"/>
          </w:tcPr>
          <w:p w14:paraId="68383B86" w14:textId="77777777" w:rsidR="0096141B" w:rsidRPr="009151C9" w:rsidRDefault="0096141B" w:rsidP="004B7DA5">
            <w:pPr>
              <w:rPr>
                <w:rFonts w:ascii="Arial" w:hAnsi="Arial" w:cs="Arial"/>
                <w:color w:val="000000" w:themeColor="text1"/>
                <w:sz w:val="24"/>
                <w:szCs w:val="24"/>
              </w:rPr>
            </w:pPr>
            <w:r w:rsidRPr="009151C9">
              <w:rPr>
                <w:rFonts w:ascii="Arial" w:hAnsi="Arial" w:cs="Arial"/>
                <w:color w:val="000000" w:themeColor="text1"/>
                <w:sz w:val="24"/>
                <w:szCs w:val="24"/>
              </w:rPr>
              <w:t>Investigation into the procurement of services of the Destiny Group, Transfer of Mr Nkwali and</w:t>
            </w:r>
          </w:p>
          <w:p w14:paraId="505073FF"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t>Awarding of bursary to Ms Xhala</w:t>
            </w:r>
          </w:p>
        </w:tc>
        <w:tc>
          <w:tcPr>
            <w:tcW w:w="1163" w:type="pct"/>
          </w:tcPr>
          <w:p w14:paraId="397EE231" w14:textId="77777777" w:rsidR="0096141B" w:rsidRPr="009151C9" w:rsidRDefault="0096141B" w:rsidP="004B7DA5">
            <w:pPr>
              <w:rPr>
                <w:rFonts w:ascii="Arial" w:hAnsi="Arial" w:cs="Arial"/>
                <w:b/>
                <w:color w:val="FF0000"/>
                <w:sz w:val="24"/>
                <w:szCs w:val="24"/>
                <w:u w:val="single"/>
              </w:rPr>
            </w:pPr>
            <w:r w:rsidRPr="009151C9">
              <w:rPr>
                <w:rFonts w:ascii="Arial" w:hAnsi="Arial" w:cs="Arial"/>
                <w:color w:val="000000" w:themeColor="text1"/>
                <w:sz w:val="24"/>
                <w:szCs w:val="24"/>
              </w:rPr>
              <w:t>15 Sept 2016</w:t>
            </w:r>
          </w:p>
        </w:tc>
        <w:tc>
          <w:tcPr>
            <w:tcW w:w="1229" w:type="pct"/>
          </w:tcPr>
          <w:p w14:paraId="53B8427F" w14:textId="77777777" w:rsidR="0096141B" w:rsidRPr="009151C9" w:rsidRDefault="0096141B" w:rsidP="004B7DA5">
            <w:pPr>
              <w:rPr>
                <w:rFonts w:ascii="Arial" w:hAnsi="Arial" w:cs="Arial"/>
                <w:sz w:val="24"/>
                <w:szCs w:val="24"/>
              </w:rPr>
            </w:pPr>
            <w:r w:rsidRPr="009151C9">
              <w:rPr>
                <w:rFonts w:ascii="Arial" w:hAnsi="Arial" w:cs="Arial"/>
                <w:sz w:val="24"/>
                <w:szCs w:val="24"/>
              </w:rPr>
              <w:t>National Treasury</w:t>
            </w:r>
          </w:p>
        </w:tc>
      </w:tr>
      <w:tr w:rsidR="0096141B" w:rsidRPr="009151C9" w14:paraId="2083333B" w14:textId="77777777" w:rsidTr="0096141B">
        <w:tc>
          <w:tcPr>
            <w:tcW w:w="1232" w:type="pct"/>
          </w:tcPr>
          <w:p w14:paraId="69AC9D10"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t>Alleged Irregularities at the IDT relating to the KZN Department of Arts and Culture</w:t>
            </w:r>
          </w:p>
        </w:tc>
        <w:tc>
          <w:tcPr>
            <w:tcW w:w="1376" w:type="pct"/>
            <w:gridSpan w:val="2"/>
          </w:tcPr>
          <w:p w14:paraId="1E126893" w14:textId="77777777" w:rsidR="0096141B" w:rsidRPr="009151C9" w:rsidRDefault="0096141B" w:rsidP="004B7DA5">
            <w:pPr>
              <w:rPr>
                <w:rFonts w:ascii="Arial" w:hAnsi="Arial" w:cs="Arial"/>
                <w:color w:val="FF0000"/>
                <w:sz w:val="24"/>
                <w:szCs w:val="24"/>
                <w:u w:val="single"/>
              </w:rPr>
            </w:pPr>
            <w:r w:rsidRPr="009151C9">
              <w:rPr>
                <w:rFonts w:ascii="Arial" w:hAnsi="Arial" w:cs="Arial"/>
                <w:color w:val="000000" w:themeColor="text1"/>
                <w:sz w:val="24"/>
                <w:szCs w:val="24"/>
              </w:rPr>
              <w:t>Verification of the Bid process followed in the appointment of Masakhane (Contractor) for the construction of Vulamehlo Library</w:t>
            </w:r>
          </w:p>
        </w:tc>
        <w:tc>
          <w:tcPr>
            <w:tcW w:w="1163" w:type="pct"/>
          </w:tcPr>
          <w:p w14:paraId="4342893F" w14:textId="77777777" w:rsidR="0096141B" w:rsidRPr="009151C9" w:rsidRDefault="0096141B" w:rsidP="004B7DA5">
            <w:pPr>
              <w:rPr>
                <w:rFonts w:ascii="Arial" w:hAnsi="Arial" w:cs="Arial"/>
                <w:b/>
                <w:color w:val="FF0000"/>
                <w:sz w:val="24"/>
                <w:szCs w:val="24"/>
                <w:u w:val="single"/>
              </w:rPr>
            </w:pPr>
            <w:r w:rsidRPr="009151C9">
              <w:rPr>
                <w:rFonts w:ascii="Arial" w:hAnsi="Arial" w:cs="Arial"/>
                <w:color w:val="000000" w:themeColor="text1"/>
                <w:sz w:val="24"/>
                <w:szCs w:val="24"/>
              </w:rPr>
              <w:t>15 Sept 2016</w:t>
            </w:r>
          </w:p>
        </w:tc>
        <w:tc>
          <w:tcPr>
            <w:tcW w:w="1229" w:type="pct"/>
          </w:tcPr>
          <w:p w14:paraId="6A98186A" w14:textId="77777777" w:rsidR="0096141B" w:rsidRPr="009151C9" w:rsidRDefault="0096141B" w:rsidP="004B7DA5">
            <w:pPr>
              <w:rPr>
                <w:rFonts w:ascii="Arial" w:hAnsi="Arial" w:cs="Arial"/>
                <w:b/>
                <w:color w:val="FF0000"/>
                <w:sz w:val="24"/>
                <w:szCs w:val="24"/>
              </w:rPr>
            </w:pPr>
            <w:r w:rsidRPr="009151C9">
              <w:rPr>
                <w:rFonts w:ascii="Arial" w:hAnsi="Arial" w:cs="Arial"/>
                <w:sz w:val="24"/>
                <w:szCs w:val="24"/>
              </w:rPr>
              <w:t>National Treasury</w:t>
            </w:r>
          </w:p>
        </w:tc>
      </w:tr>
      <w:tr w:rsidR="0096141B" w:rsidRPr="009151C9" w14:paraId="6D63D51B" w14:textId="77777777" w:rsidTr="0096141B">
        <w:tc>
          <w:tcPr>
            <w:tcW w:w="1232" w:type="pct"/>
          </w:tcPr>
          <w:p w14:paraId="645131C1" w14:textId="7006BB68" w:rsidR="0096141B" w:rsidRPr="009151C9" w:rsidRDefault="0096141B" w:rsidP="004B7DA5">
            <w:pPr>
              <w:rPr>
                <w:rFonts w:ascii="Arial" w:hAnsi="Arial" w:cs="Arial"/>
                <w:color w:val="FF0000"/>
                <w:sz w:val="24"/>
                <w:szCs w:val="24"/>
                <w:u w:val="single"/>
              </w:rPr>
            </w:pPr>
            <w:r>
              <w:rPr>
                <w:rFonts w:ascii="Arial" w:hAnsi="Arial" w:cs="Arial"/>
                <w:color w:val="000000" w:themeColor="text1"/>
                <w:sz w:val="24"/>
                <w:szCs w:val="24"/>
              </w:rPr>
              <w:t>Alleged Irregularities in respect of</w:t>
            </w:r>
            <w:r w:rsidRPr="009151C9">
              <w:rPr>
                <w:rFonts w:ascii="Arial" w:hAnsi="Arial" w:cs="Arial"/>
                <w:color w:val="000000" w:themeColor="text1"/>
                <w:sz w:val="24"/>
                <w:szCs w:val="24"/>
              </w:rPr>
              <w:t xml:space="preserve"> Projects undertaken for the KZN: DoH</w:t>
            </w:r>
          </w:p>
        </w:tc>
        <w:tc>
          <w:tcPr>
            <w:tcW w:w="1376" w:type="pct"/>
            <w:gridSpan w:val="2"/>
          </w:tcPr>
          <w:p w14:paraId="19EE925B" w14:textId="77777777" w:rsidR="0096141B" w:rsidRPr="009151C9" w:rsidRDefault="0096141B" w:rsidP="004B7DA5">
            <w:pPr>
              <w:rPr>
                <w:rFonts w:ascii="Arial" w:hAnsi="Arial" w:cs="Arial"/>
                <w:color w:val="FF0000"/>
                <w:sz w:val="24"/>
                <w:szCs w:val="24"/>
                <w:u w:val="single"/>
              </w:rPr>
            </w:pPr>
            <w:r w:rsidRPr="009151C9">
              <w:rPr>
                <w:rFonts w:ascii="Arial" w:hAnsi="Arial" w:cs="Arial"/>
                <w:sz w:val="24"/>
                <w:szCs w:val="24"/>
              </w:rPr>
              <w:t>Review procurement process for Addington Hospital maintenance and</w:t>
            </w:r>
            <w:r w:rsidRPr="009151C9">
              <w:rPr>
                <w:rFonts w:ascii="Arial" w:hAnsi="Arial" w:cs="Arial"/>
                <w:color w:val="FF0000"/>
                <w:sz w:val="24"/>
                <w:szCs w:val="24"/>
                <w:u w:val="single"/>
              </w:rPr>
              <w:t xml:space="preserve"> </w:t>
            </w:r>
            <w:r w:rsidRPr="009151C9">
              <w:rPr>
                <w:rFonts w:ascii="Arial" w:hAnsi="Arial" w:cs="Arial"/>
                <w:color w:val="000000" w:themeColor="text1"/>
                <w:sz w:val="24"/>
                <w:szCs w:val="24"/>
              </w:rPr>
              <w:t>verification of the bid evaluation process followed and i</w:t>
            </w:r>
            <w:r w:rsidRPr="009151C9">
              <w:rPr>
                <w:rFonts w:ascii="Arial" w:hAnsi="Arial" w:cs="Arial"/>
                <w:sz w:val="24"/>
                <w:szCs w:val="24"/>
              </w:rPr>
              <w:t>nvestigation of the circumstances that led to the clinics not being completed and determine how much was paid previously for the 3 projects</w:t>
            </w:r>
          </w:p>
        </w:tc>
        <w:tc>
          <w:tcPr>
            <w:tcW w:w="1163" w:type="pct"/>
          </w:tcPr>
          <w:p w14:paraId="70716D58" w14:textId="77777777" w:rsidR="0096141B" w:rsidRPr="009151C9" w:rsidRDefault="0096141B" w:rsidP="004B7DA5">
            <w:pPr>
              <w:rPr>
                <w:rFonts w:ascii="Arial" w:hAnsi="Arial" w:cs="Arial"/>
                <w:b/>
                <w:color w:val="FF0000"/>
                <w:sz w:val="24"/>
                <w:szCs w:val="24"/>
                <w:u w:val="single"/>
              </w:rPr>
            </w:pPr>
            <w:r w:rsidRPr="009151C9">
              <w:rPr>
                <w:rFonts w:ascii="Arial" w:hAnsi="Arial" w:cs="Arial"/>
                <w:color w:val="000000" w:themeColor="text1"/>
                <w:sz w:val="24"/>
                <w:szCs w:val="24"/>
              </w:rPr>
              <w:t>15 Sept 2016</w:t>
            </w:r>
          </w:p>
          <w:p w14:paraId="4A7CC354" w14:textId="77777777" w:rsidR="0096141B" w:rsidRPr="009151C9" w:rsidRDefault="0096141B" w:rsidP="004B7DA5">
            <w:pPr>
              <w:rPr>
                <w:rFonts w:ascii="Arial" w:hAnsi="Arial" w:cs="Arial"/>
                <w:sz w:val="24"/>
                <w:szCs w:val="24"/>
              </w:rPr>
            </w:pPr>
          </w:p>
          <w:p w14:paraId="2F5E38D2" w14:textId="77777777" w:rsidR="0096141B" w:rsidRPr="009151C9" w:rsidRDefault="0096141B" w:rsidP="004B7DA5">
            <w:pPr>
              <w:rPr>
                <w:rFonts w:ascii="Arial" w:hAnsi="Arial" w:cs="Arial"/>
                <w:sz w:val="24"/>
                <w:szCs w:val="24"/>
              </w:rPr>
            </w:pPr>
          </w:p>
          <w:p w14:paraId="4CB698D2" w14:textId="77777777" w:rsidR="0096141B" w:rsidRPr="009151C9" w:rsidRDefault="0096141B" w:rsidP="004B7DA5">
            <w:pPr>
              <w:rPr>
                <w:rFonts w:ascii="Arial" w:hAnsi="Arial" w:cs="Arial"/>
                <w:sz w:val="24"/>
                <w:szCs w:val="24"/>
              </w:rPr>
            </w:pPr>
          </w:p>
          <w:p w14:paraId="1411838A" w14:textId="77777777" w:rsidR="0096141B" w:rsidRPr="009151C9" w:rsidRDefault="0096141B" w:rsidP="004B7DA5">
            <w:pPr>
              <w:rPr>
                <w:rFonts w:ascii="Arial" w:hAnsi="Arial" w:cs="Arial"/>
                <w:sz w:val="24"/>
                <w:szCs w:val="24"/>
              </w:rPr>
            </w:pPr>
          </w:p>
          <w:p w14:paraId="7EEFF10A" w14:textId="77777777" w:rsidR="0096141B" w:rsidRPr="009151C9" w:rsidRDefault="0096141B" w:rsidP="004B7DA5">
            <w:pPr>
              <w:rPr>
                <w:rFonts w:ascii="Arial" w:hAnsi="Arial" w:cs="Arial"/>
                <w:sz w:val="24"/>
                <w:szCs w:val="24"/>
              </w:rPr>
            </w:pPr>
          </w:p>
          <w:p w14:paraId="55FEF768" w14:textId="77777777" w:rsidR="0096141B" w:rsidRPr="009151C9" w:rsidRDefault="0096141B" w:rsidP="004B7DA5">
            <w:pPr>
              <w:rPr>
                <w:rFonts w:ascii="Arial" w:hAnsi="Arial" w:cs="Arial"/>
                <w:sz w:val="24"/>
                <w:szCs w:val="24"/>
              </w:rPr>
            </w:pPr>
          </w:p>
          <w:p w14:paraId="3166247A" w14:textId="77777777" w:rsidR="0096141B" w:rsidRPr="009151C9" w:rsidRDefault="0096141B" w:rsidP="004B7DA5">
            <w:pPr>
              <w:rPr>
                <w:rFonts w:ascii="Arial" w:hAnsi="Arial" w:cs="Arial"/>
                <w:sz w:val="24"/>
                <w:szCs w:val="24"/>
              </w:rPr>
            </w:pPr>
          </w:p>
          <w:p w14:paraId="3692320A" w14:textId="77777777" w:rsidR="0096141B" w:rsidRPr="009151C9" w:rsidRDefault="0096141B" w:rsidP="004B7DA5">
            <w:pPr>
              <w:rPr>
                <w:rFonts w:ascii="Arial" w:hAnsi="Arial" w:cs="Arial"/>
                <w:sz w:val="24"/>
                <w:szCs w:val="24"/>
              </w:rPr>
            </w:pPr>
          </w:p>
          <w:p w14:paraId="21967BAE" w14:textId="77777777" w:rsidR="0096141B" w:rsidRPr="009151C9" w:rsidRDefault="0096141B" w:rsidP="004B7DA5">
            <w:pPr>
              <w:rPr>
                <w:rFonts w:ascii="Arial" w:hAnsi="Arial" w:cs="Arial"/>
                <w:sz w:val="24"/>
                <w:szCs w:val="24"/>
              </w:rPr>
            </w:pPr>
          </w:p>
          <w:p w14:paraId="25139815" w14:textId="77777777" w:rsidR="0096141B" w:rsidRPr="009151C9" w:rsidRDefault="0096141B" w:rsidP="004B7DA5">
            <w:pPr>
              <w:jc w:val="center"/>
              <w:rPr>
                <w:rFonts w:ascii="Arial" w:hAnsi="Arial" w:cs="Arial"/>
                <w:sz w:val="24"/>
                <w:szCs w:val="24"/>
              </w:rPr>
            </w:pPr>
          </w:p>
        </w:tc>
        <w:tc>
          <w:tcPr>
            <w:tcW w:w="1229" w:type="pct"/>
          </w:tcPr>
          <w:p w14:paraId="7BBE173F" w14:textId="77777777" w:rsidR="0096141B" w:rsidRPr="009151C9" w:rsidRDefault="0096141B" w:rsidP="004B7DA5">
            <w:pPr>
              <w:rPr>
                <w:rFonts w:ascii="Arial" w:hAnsi="Arial" w:cs="Arial"/>
                <w:b/>
                <w:color w:val="FF0000"/>
                <w:sz w:val="24"/>
                <w:szCs w:val="24"/>
              </w:rPr>
            </w:pPr>
            <w:r w:rsidRPr="009151C9">
              <w:rPr>
                <w:rFonts w:ascii="Arial" w:hAnsi="Arial" w:cs="Arial"/>
                <w:sz w:val="24"/>
                <w:szCs w:val="24"/>
              </w:rPr>
              <w:t>National Treasury</w:t>
            </w:r>
          </w:p>
        </w:tc>
      </w:tr>
    </w:tbl>
    <w:p w14:paraId="26FA8BF3" w14:textId="77777777" w:rsidR="009151C9" w:rsidRPr="009151C9" w:rsidRDefault="009151C9" w:rsidP="009151C9">
      <w:pPr>
        <w:rPr>
          <w:rFonts w:ascii="Arial" w:hAnsi="Arial" w:cs="Arial"/>
          <w:b/>
          <w:sz w:val="24"/>
          <w:szCs w:val="24"/>
        </w:rPr>
      </w:pPr>
    </w:p>
    <w:p w14:paraId="74D7AC8F" w14:textId="77777777" w:rsidR="009151C9" w:rsidRPr="009151C9" w:rsidRDefault="009151C9" w:rsidP="009151C9">
      <w:pPr>
        <w:rPr>
          <w:rFonts w:ascii="Arial" w:hAnsi="Arial" w:cs="Arial"/>
          <w:b/>
          <w:sz w:val="24"/>
          <w:szCs w:val="24"/>
        </w:rPr>
      </w:pPr>
    </w:p>
    <w:p w14:paraId="1103EE80" w14:textId="77777777" w:rsidR="009151C9" w:rsidRPr="009151C9" w:rsidRDefault="009151C9" w:rsidP="009151C9">
      <w:pPr>
        <w:rPr>
          <w:rFonts w:ascii="Arial" w:hAnsi="Arial" w:cs="Arial"/>
          <w:b/>
          <w:sz w:val="24"/>
          <w:szCs w:val="24"/>
        </w:rPr>
      </w:pPr>
    </w:p>
    <w:p w14:paraId="6F1A6925" w14:textId="77777777" w:rsidR="007916C5" w:rsidRDefault="007916C5" w:rsidP="009151C9">
      <w:pPr>
        <w:rPr>
          <w:rFonts w:ascii="Arial" w:hAnsi="Arial" w:cs="Arial"/>
          <w:b/>
          <w:sz w:val="24"/>
          <w:szCs w:val="24"/>
        </w:rPr>
      </w:pPr>
    </w:p>
    <w:p w14:paraId="6340B1B1" w14:textId="77777777" w:rsidR="007916C5" w:rsidRDefault="007916C5" w:rsidP="009151C9">
      <w:pPr>
        <w:rPr>
          <w:rFonts w:ascii="Arial" w:hAnsi="Arial" w:cs="Arial"/>
          <w:b/>
          <w:sz w:val="24"/>
          <w:szCs w:val="24"/>
        </w:rPr>
      </w:pPr>
    </w:p>
    <w:p w14:paraId="43EDB9E1" w14:textId="77777777" w:rsidR="007916C5" w:rsidRDefault="007916C5" w:rsidP="009151C9">
      <w:pPr>
        <w:rPr>
          <w:rFonts w:ascii="Arial" w:hAnsi="Arial" w:cs="Arial"/>
          <w:b/>
          <w:sz w:val="24"/>
          <w:szCs w:val="24"/>
        </w:rPr>
      </w:pPr>
    </w:p>
    <w:p w14:paraId="1200B9C5" w14:textId="77777777" w:rsidR="007916C5" w:rsidRDefault="007916C5" w:rsidP="009151C9">
      <w:pPr>
        <w:rPr>
          <w:rFonts w:ascii="Arial" w:hAnsi="Arial" w:cs="Arial"/>
          <w:b/>
          <w:sz w:val="24"/>
          <w:szCs w:val="24"/>
        </w:rPr>
      </w:pPr>
    </w:p>
    <w:p w14:paraId="40E3638D" w14:textId="77777777" w:rsidR="007916C5" w:rsidRDefault="007916C5" w:rsidP="009151C9">
      <w:pPr>
        <w:rPr>
          <w:rFonts w:ascii="Arial" w:hAnsi="Arial" w:cs="Arial"/>
          <w:b/>
          <w:sz w:val="24"/>
          <w:szCs w:val="24"/>
        </w:rPr>
      </w:pPr>
    </w:p>
    <w:p w14:paraId="5EE1646A" w14:textId="77777777" w:rsidR="009151C9" w:rsidRPr="009151C9" w:rsidRDefault="009151C9" w:rsidP="009151C9">
      <w:pPr>
        <w:rPr>
          <w:rFonts w:ascii="Arial" w:hAnsi="Arial" w:cs="Arial"/>
          <w:b/>
          <w:sz w:val="24"/>
          <w:szCs w:val="24"/>
        </w:rPr>
      </w:pPr>
      <w:r w:rsidRPr="009151C9">
        <w:rPr>
          <w:rFonts w:ascii="Arial" w:hAnsi="Arial" w:cs="Arial"/>
          <w:b/>
          <w:sz w:val="24"/>
          <w:szCs w:val="24"/>
        </w:rPr>
        <w:lastRenderedPageBreak/>
        <w:t>LIST OF EXTERNAL FORENSIC REPORTS</w:t>
      </w:r>
    </w:p>
    <w:p w14:paraId="07D60E07" w14:textId="77777777" w:rsidR="009151C9" w:rsidRPr="009151C9" w:rsidRDefault="009151C9" w:rsidP="009151C9">
      <w:pPr>
        <w:rPr>
          <w:rFonts w:ascii="Arial" w:hAnsi="Arial" w:cs="Arial"/>
          <w:b/>
          <w:sz w:val="24"/>
          <w:szCs w:val="24"/>
        </w:rPr>
      </w:pPr>
    </w:p>
    <w:p w14:paraId="39E4DC03" w14:textId="77777777" w:rsidR="009151C9" w:rsidRPr="009151C9" w:rsidRDefault="009151C9" w:rsidP="009151C9">
      <w:pPr>
        <w:rPr>
          <w:rFonts w:ascii="Arial" w:hAnsi="Arial" w:cs="Arial"/>
          <w:b/>
          <w:sz w:val="24"/>
          <w:szCs w:val="24"/>
        </w:rPr>
      </w:pPr>
      <w:r w:rsidRPr="009151C9">
        <w:rPr>
          <w:rFonts w:ascii="Arial" w:hAnsi="Arial" w:cs="Arial"/>
          <w:b/>
          <w:sz w:val="24"/>
          <w:szCs w:val="24"/>
        </w:rPr>
        <w:t>IDT</w:t>
      </w:r>
    </w:p>
    <w:p w14:paraId="1BD94525" w14:textId="77777777" w:rsidR="009151C9" w:rsidRPr="009151C9" w:rsidRDefault="009151C9" w:rsidP="009151C9">
      <w:pPr>
        <w:rPr>
          <w:rFonts w:ascii="Arial" w:eastAsiaTheme="minorEastAsia" w:hAnsi="Arial" w:cs="Arial"/>
          <w:sz w:val="24"/>
          <w:szCs w:val="24"/>
          <w:lang w:val="en-US" w:eastAsia="ja-JP"/>
        </w:rPr>
      </w:pPr>
    </w:p>
    <w:p w14:paraId="793E5F0D" w14:textId="77777777" w:rsidR="009151C9" w:rsidRPr="009151C9" w:rsidRDefault="009151C9" w:rsidP="009151C9">
      <w:pPr>
        <w:rPr>
          <w:rFonts w:ascii="Arial" w:hAnsi="Arial" w:cs="Arial"/>
          <w:b/>
          <w:sz w:val="24"/>
          <w:szCs w:val="24"/>
        </w:rPr>
      </w:pPr>
      <w:r w:rsidRPr="009151C9">
        <w:rPr>
          <w:rFonts w:ascii="Arial" w:hAnsi="Arial" w:cs="Arial"/>
          <w:b/>
          <w:sz w:val="24"/>
          <w:szCs w:val="24"/>
        </w:rPr>
        <w:t xml:space="preserve">(b) (ii) </w:t>
      </w:r>
    </w:p>
    <w:p w14:paraId="68D161EB" w14:textId="77777777" w:rsidR="009151C9" w:rsidRPr="009151C9" w:rsidRDefault="009151C9" w:rsidP="009151C9">
      <w:pPr>
        <w:rPr>
          <w:rFonts w:ascii="Arial" w:hAnsi="Arial" w:cs="Arial"/>
          <w:b/>
          <w:sz w:val="24"/>
          <w:szCs w:val="24"/>
        </w:rPr>
      </w:pPr>
    </w:p>
    <w:p w14:paraId="43A6594D" w14:textId="6B32D096" w:rsidR="009151C9" w:rsidRPr="009151C9" w:rsidRDefault="009151C9" w:rsidP="009151C9">
      <w:pPr>
        <w:rPr>
          <w:rFonts w:ascii="Arial" w:hAnsi="Arial" w:cs="Arial"/>
          <w:b/>
          <w:sz w:val="24"/>
          <w:szCs w:val="24"/>
        </w:rPr>
      </w:pPr>
      <w:r w:rsidRPr="009151C9">
        <w:rPr>
          <w:rFonts w:ascii="Arial" w:hAnsi="Arial" w:cs="Arial"/>
          <w:b/>
          <w:sz w:val="24"/>
          <w:szCs w:val="24"/>
        </w:rPr>
        <w:t xml:space="preserve">Externally commissioned and facilitated investigation report/s with outcome affecting </w:t>
      </w:r>
      <w:r w:rsidR="0096141B">
        <w:rPr>
          <w:rFonts w:ascii="Arial" w:hAnsi="Arial" w:cs="Arial"/>
          <w:b/>
          <w:sz w:val="24"/>
          <w:szCs w:val="24"/>
        </w:rPr>
        <w:t>the IDT</w:t>
      </w:r>
    </w:p>
    <w:p w14:paraId="5FBCAC26" w14:textId="77777777" w:rsidR="009151C9" w:rsidRPr="009151C9" w:rsidRDefault="009151C9" w:rsidP="009151C9">
      <w:pPr>
        <w:rPr>
          <w:rFonts w:ascii="Arial" w:hAnsi="Arial" w:cs="Arial"/>
          <w:b/>
          <w:sz w:val="24"/>
          <w:szCs w:val="24"/>
        </w:rPr>
      </w:pPr>
    </w:p>
    <w:p w14:paraId="64250B17" w14:textId="77777777" w:rsidR="009151C9" w:rsidRPr="009151C9" w:rsidRDefault="009151C9" w:rsidP="009151C9">
      <w:pPr>
        <w:rPr>
          <w:rFonts w:ascii="Arial" w:hAnsi="Arial" w:cs="Arial"/>
          <w:b/>
          <w:sz w:val="24"/>
          <w:szCs w:val="24"/>
        </w:rPr>
      </w:pPr>
    </w:p>
    <w:tbl>
      <w:tblPr>
        <w:tblStyle w:val="TableGrid"/>
        <w:tblW w:w="5000" w:type="pct"/>
        <w:tblLook w:val="04A0" w:firstRow="1" w:lastRow="0" w:firstColumn="1" w:lastColumn="0" w:noHBand="0" w:noVBand="1"/>
      </w:tblPr>
      <w:tblGrid>
        <w:gridCol w:w="2587"/>
        <w:gridCol w:w="2467"/>
        <w:gridCol w:w="2149"/>
        <w:gridCol w:w="2510"/>
      </w:tblGrid>
      <w:tr w:rsidR="009151C9" w:rsidRPr="009151C9" w14:paraId="4D0DA458" w14:textId="77777777" w:rsidTr="004B7DA5">
        <w:tc>
          <w:tcPr>
            <w:tcW w:w="1332" w:type="pct"/>
            <w:shd w:val="clear" w:color="auto" w:fill="D9D9D9" w:themeFill="background1" w:themeFillShade="D9"/>
          </w:tcPr>
          <w:p w14:paraId="7C2750A9" w14:textId="77777777" w:rsidR="009151C9" w:rsidRPr="009151C9" w:rsidRDefault="009151C9" w:rsidP="004B7DA5">
            <w:pPr>
              <w:rPr>
                <w:rFonts w:ascii="Arial" w:hAnsi="Arial" w:cs="Arial"/>
                <w:b/>
                <w:sz w:val="24"/>
                <w:szCs w:val="24"/>
              </w:rPr>
            </w:pPr>
            <w:r w:rsidRPr="009151C9">
              <w:rPr>
                <w:rFonts w:ascii="Arial" w:hAnsi="Arial" w:cs="Arial"/>
                <w:b/>
                <w:sz w:val="24"/>
                <w:szCs w:val="24"/>
              </w:rPr>
              <w:t>(aa) Name of the Report</w:t>
            </w:r>
          </w:p>
        </w:tc>
        <w:tc>
          <w:tcPr>
            <w:tcW w:w="1270" w:type="pct"/>
            <w:shd w:val="clear" w:color="auto" w:fill="D9D9D9" w:themeFill="background1" w:themeFillShade="D9"/>
          </w:tcPr>
          <w:p w14:paraId="0B4E6566" w14:textId="77777777" w:rsidR="009151C9" w:rsidRPr="009151C9" w:rsidRDefault="009151C9" w:rsidP="004B7DA5">
            <w:pPr>
              <w:rPr>
                <w:rFonts w:ascii="Arial" w:hAnsi="Arial" w:cs="Arial"/>
                <w:b/>
                <w:sz w:val="24"/>
                <w:szCs w:val="24"/>
              </w:rPr>
            </w:pPr>
            <w:r w:rsidRPr="009151C9">
              <w:rPr>
                <w:rFonts w:ascii="Arial" w:hAnsi="Arial" w:cs="Arial"/>
                <w:b/>
                <w:sz w:val="24"/>
                <w:szCs w:val="24"/>
              </w:rPr>
              <w:t>(bb) Subject matter</w:t>
            </w:r>
          </w:p>
        </w:tc>
        <w:tc>
          <w:tcPr>
            <w:tcW w:w="1106" w:type="pct"/>
            <w:shd w:val="clear" w:color="auto" w:fill="D9D9D9" w:themeFill="background1" w:themeFillShade="D9"/>
          </w:tcPr>
          <w:p w14:paraId="5994B339" w14:textId="77777777" w:rsidR="009151C9" w:rsidRPr="009151C9" w:rsidRDefault="009151C9" w:rsidP="004B7DA5">
            <w:pPr>
              <w:rPr>
                <w:rFonts w:ascii="Arial" w:hAnsi="Arial" w:cs="Arial"/>
                <w:b/>
                <w:sz w:val="24"/>
                <w:szCs w:val="24"/>
              </w:rPr>
            </w:pPr>
            <w:r w:rsidRPr="009151C9">
              <w:rPr>
                <w:rFonts w:ascii="Arial" w:hAnsi="Arial" w:cs="Arial"/>
                <w:b/>
                <w:sz w:val="24"/>
                <w:szCs w:val="24"/>
              </w:rPr>
              <w:t>(cc) Date of conclusion</w:t>
            </w:r>
          </w:p>
        </w:tc>
        <w:tc>
          <w:tcPr>
            <w:tcW w:w="1292" w:type="pct"/>
            <w:shd w:val="clear" w:color="auto" w:fill="D9D9D9" w:themeFill="background1" w:themeFillShade="D9"/>
          </w:tcPr>
          <w:p w14:paraId="38AC8240" w14:textId="77777777" w:rsidR="009151C9" w:rsidRPr="009151C9" w:rsidRDefault="009151C9" w:rsidP="004B7DA5">
            <w:pPr>
              <w:rPr>
                <w:rFonts w:ascii="Arial" w:hAnsi="Arial" w:cs="Arial"/>
                <w:b/>
                <w:sz w:val="24"/>
                <w:szCs w:val="24"/>
              </w:rPr>
            </w:pPr>
            <w:r w:rsidRPr="009151C9">
              <w:rPr>
                <w:rFonts w:ascii="Arial" w:hAnsi="Arial" w:cs="Arial"/>
                <w:b/>
                <w:sz w:val="24"/>
                <w:szCs w:val="24"/>
              </w:rPr>
              <w:t>Name of investigator</w:t>
            </w:r>
          </w:p>
        </w:tc>
      </w:tr>
      <w:tr w:rsidR="009151C9" w:rsidRPr="009151C9" w14:paraId="6956B7CA" w14:textId="77777777" w:rsidTr="004B7DA5">
        <w:tc>
          <w:tcPr>
            <w:tcW w:w="1332" w:type="pct"/>
          </w:tcPr>
          <w:p w14:paraId="1F66AEAB" w14:textId="77777777" w:rsidR="009151C9" w:rsidRPr="009151C9" w:rsidRDefault="009151C9" w:rsidP="004B7DA5">
            <w:pPr>
              <w:rPr>
                <w:rFonts w:ascii="Arial" w:hAnsi="Arial" w:cs="Arial"/>
                <w:color w:val="000000" w:themeColor="text1"/>
                <w:sz w:val="24"/>
                <w:szCs w:val="24"/>
              </w:rPr>
            </w:pPr>
            <w:r w:rsidRPr="009151C9">
              <w:rPr>
                <w:rFonts w:ascii="Arial" w:hAnsi="Arial" w:cs="Arial"/>
                <w:color w:val="000000" w:themeColor="text1"/>
                <w:sz w:val="24"/>
                <w:szCs w:val="24"/>
              </w:rPr>
              <w:t>Alleged irregularities in the procurement of service providers at Department of Correctional Services</w:t>
            </w:r>
          </w:p>
        </w:tc>
        <w:tc>
          <w:tcPr>
            <w:tcW w:w="1270" w:type="pct"/>
          </w:tcPr>
          <w:p w14:paraId="4147A2C6" w14:textId="77777777" w:rsidR="009151C9" w:rsidRPr="009151C9" w:rsidRDefault="009151C9" w:rsidP="004B7DA5">
            <w:pPr>
              <w:rPr>
                <w:rFonts w:ascii="Arial" w:hAnsi="Arial" w:cs="Arial"/>
                <w:color w:val="000000" w:themeColor="text1"/>
                <w:sz w:val="24"/>
                <w:szCs w:val="24"/>
              </w:rPr>
            </w:pPr>
            <w:r w:rsidRPr="009151C9">
              <w:rPr>
                <w:rFonts w:ascii="Arial" w:hAnsi="Arial" w:cs="Arial"/>
                <w:color w:val="000000" w:themeColor="text1"/>
                <w:sz w:val="24"/>
                <w:szCs w:val="24"/>
              </w:rPr>
              <w:t>Prisons Fencing Project</w:t>
            </w:r>
          </w:p>
        </w:tc>
        <w:tc>
          <w:tcPr>
            <w:tcW w:w="1106" w:type="pct"/>
          </w:tcPr>
          <w:p w14:paraId="743C58CC" w14:textId="4F085B84" w:rsidR="009151C9" w:rsidRPr="009151C9" w:rsidRDefault="0096141B" w:rsidP="004B7DA5">
            <w:pPr>
              <w:rPr>
                <w:rFonts w:ascii="Arial" w:hAnsi="Arial" w:cs="Arial"/>
                <w:color w:val="000000" w:themeColor="text1"/>
                <w:sz w:val="24"/>
                <w:szCs w:val="24"/>
              </w:rPr>
            </w:pPr>
            <w:r>
              <w:rPr>
                <w:rFonts w:ascii="Arial" w:hAnsi="Arial" w:cs="Arial"/>
                <w:color w:val="000000" w:themeColor="text1"/>
                <w:sz w:val="24"/>
                <w:szCs w:val="24"/>
              </w:rPr>
              <w:t>June 2016</w:t>
            </w:r>
          </w:p>
        </w:tc>
        <w:tc>
          <w:tcPr>
            <w:tcW w:w="1292" w:type="pct"/>
          </w:tcPr>
          <w:p w14:paraId="4A278644" w14:textId="77777777" w:rsidR="009151C9" w:rsidRPr="009151C9" w:rsidRDefault="009151C9" w:rsidP="004B7DA5">
            <w:pPr>
              <w:rPr>
                <w:rFonts w:ascii="Arial" w:hAnsi="Arial" w:cs="Arial"/>
                <w:sz w:val="24"/>
                <w:szCs w:val="24"/>
              </w:rPr>
            </w:pPr>
            <w:r w:rsidRPr="009151C9">
              <w:rPr>
                <w:rFonts w:ascii="Arial" w:hAnsi="Arial" w:cs="Arial"/>
                <w:sz w:val="24"/>
                <w:szCs w:val="24"/>
              </w:rPr>
              <w:t>National Treasury</w:t>
            </w:r>
          </w:p>
        </w:tc>
      </w:tr>
    </w:tbl>
    <w:p w14:paraId="3ED5BF76" w14:textId="77777777" w:rsidR="009151C9" w:rsidRPr="009151C9" w:rsidRDefault="009151C9" w:rsidP="009151C9">
      <w:pPr>
        <w:rPr>
          <w:rFonts w:ascii="Arial" w:hAnsi="Arial" w:cs="Arial"/>
          <w:sz w:val="24"/>
          <w:szCs w:val="24"/>
        </w:rPr>
      </w:pPr>
    </w:p>
    <w:p w14:paraId="291EEE1B" w14:textId="77777777" w:rsidR="009151C9" w:rsidRPr="009151C9" w:rsidRDefault="009151C9" w:rsidP="009151C9">
      <w:pPr>
        <w:rPr>
          <w:rFonts w:ascii="Arial" w:hAnsi="Arial" w:cs="Arial"/>
          <w:sz w:val="24"/>
          <w:szCs w:val="24"/>
        </w:rPr>
      </w:pPr>
    </w:p>
    <w:p w14:paraId="6713AA1C" w14:textId="77777777" w:rsidR="004C1695" w:rsidRPr="00736D67" w:rsidRDefault="00736D67" w:rsidP="00736D67">
      <w:pPr>
        <w:pStyle w:val="BodyTextIndent2"/>
        <w:tabs>
          <w:tab w:val="clear" w:pos="432"/>
          <w:tab w:val="clear" w:pos="864"/>
        </w:tabs>
        <w:spacing w:before="100" w:beforeAutospacing="1" w:after="100" w:afterAutospacing="1" w:line="240" w:lineRule="auto"/>
        <w:ind w:left="0" w:firstLine="0"/>
        <w:jc w:val="both"/>
        <w:rPr>
          <w:rFonts w:ascii="Arial" w:hAnsi="Arial" w:cs="Arial"/>
          <w:b/>
          <w:szCs w:val="24"/>
          <w:u w:val="single"/>
          <w:lang w:val="en-GB"/>
        </w:rPr>
      </w:pPr>
      <w:r w:rsidRPr="009151C9">
        <w:rPr>
          <w:rFonts w:ascii="Arial" w:hAnsi="Arial" w:cs="Arial"/>
          <w:b/>
          <w:szCs w:val="24"/>
          <w:lang w:val="en-GB"/>
        </w:rPr>
        <w:t>_________________________________________________</w:t>
      </w:r>
      <w:r>
        <w:rPr>
          <w:rFonts w:ascii="Arial" w:hAnsi="Arial" w:cs="Arial"/>
          <w:b/>
          <w:szCs w:val="24"/>
          <w:lang w:val="en-GB"/>
        </w:rPr>
        <w:t>_____________________</w:t>
      </w:r>
    </w:p>
    <w:sectPr w:rsidR="004C1695" w:rsidRPr="00736D67" w:rsidSect="00750950">
      <w:footerReference w:type="default" r:id="rId10"/>
      <w:pgSz w:w="12240" w:h="15840" w:code="1"/>
      <w:pgMar w:top="1134" w:right="1077" w:bottom="1440" w:left="1440" w:header="720" w:footer="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B622" w14:textId="77777777" w:rsidR="00447286" w:rsidRDefault="00447286" w:rsidP="00615855">
      <w:r>
        <w:separator/>
      </w:r>
    </w:p>
  </w:endnote>
  <w:endnote w:type="continuationSeparator" w:id="0">
    <w:p w14:paraId="24AED20C" w14:textId="77777777" w:rsidR="00447286" w:rsidRDefault="00447286" w:rsidP="0061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83C6" w14:textId="7D01E0CC" w:rsidR="0064230D" w:rsidRPr="0040003F" w:rsidRDefault="0064230D" w:rsidP="0044604B">
    <w:pPr>
      <w:pBdr>
        <w:top w:val="thinThickSmallGap" w:sz="24" w:space="1" w:color="943634" w:themeColor="accent2" w:themeShade="BF"/>
        <w:left w:val="thinThickSmallGap" w:sz="24" w:space="4" w:color="943634" w:themeColor="accent2" w:themeShade="BF"/>
        <w:bottom w:val="thickThinSmallGap" w:sz="24" w:space="1" w:color="943634" w:themeColor="accent2" w:themeShade="BF"/>
        <w:right w:val="thickThinSmallGap" w:sz="24" w:space="4" w:color="943634" w:themeColor="accent2" w:themeShade="BF"/>
      </w:pBdr>
      <w:spacing w:before="100" w:beforeAutospacing="1" w:after="100" w:afterAutospacing="1"/>
      <w:jc w:val="both"/>
      <w:rPr>
        <w:rFonts w:ascii="Arial" w:hAnsi="Arial" w:cs="Arial"/>
        <w:b/>
        <w:lang w:val="en-US"/>
      </w:rPr>
    </w:pPr>
    <w:r w:rsidRPr="0040003F">
      <w:rPr>
        <w:rFonts w:ascii="Arial" w:hAnsi="Arial" w:cs="Arial"/>
        <w:b/>
        <w:lang w:val="en-US"/>
      </w:rPr>
      <w:t xml:space="preserve">National Assembly Question No. </w:t>
    </w:r>
    <w:r>
      <w:rPr>
        <w:rFonts w:ascii="Arial" w:hAnsi="Arial" w:cs="Arial"/>
        <w:b/>
        <w:lang w:val="en-US"/>
      </w:rPr>
      <w:t>2307 – Written Reply –</w:t>
    </w:r>
    <w:r w:rsidR="0044604B">
      <w:rPr>
        <w:rFonts w:ascii="Arial" w:hAnsi="Arial" w:cs="Arial"/>
        <w:b/>
        <w:lang w:val="en-US"/>
      </w:rPr>
      <w:t xml:space="preserve"> </w:t>
    </w:r>
    <w:r>
      <w:rPr>
        <w:rFonts w:ascii="Arial" w:hAnsi="Arial" w:cs="Arial"/>
        <w:b/>
        <w:lang w:val="en-US"/>
      </w:rPr>
      <w:t>Ms N</w:t>
    </w:r>
    <w:r w:rsidR="0044604B">
      <w:rPr>
        <w:rFonts w:ascii="Arial" w:hAnsi="Arial" w:cs="Arial"/>
        <w:b/>
        <w:lang w:val="en-US"/>
      </w:rPr>
      <w:t xml:space="preserve"> </w:t>
    </w:r>
    <w:r>
      <w:rPr>
        <w:rFonts w:ascii="Arial" w:hAnsi="Arial" w:cs="Arial"/>
        <w:b/>
        <w:lang w:val="en-US"/>
      </w:rPr>
      <w:t>W</w:t>
    </w:r>
    <w:r w:rsidR="0044604B">
      <w:rPr>
        <w:rFonts w:ascii="Arial" w:hAnsi="Arial" w:cs="Arial"/>
        <w:b/>
        <w:lang w:val="en-US"/>
      </w:rPr>
      <w:t xml:space="preserve"> </w:t>
    </w:r>
    <w:r>
      <w:rPr>
        <w:rFonts w:ascii="Arial" w:hAnsi="Arial" w:cs="Arial"/>
        <w:b/>
        <w:lang w:val="en-US"/>
      </w:rPr>
      <w:t>A Mazzone</w:t>
    </w:r>
    <w:r w:rsidRPr="00A83C20">
      <w:rPr>
        <w:rFonts w:ascii="Arial" w:hAnsi="Arial" w:cs="Arial"/>
        <w:b/>
        <w:lang w:val="en-US"/>
      </w:rPr>
      <w:t xml:space="preserve"> </w:t>
    </w:r>
    <w:r w:rsidRPr="0040003F">
      <w:rPr>
        <w:rFonts w:ascii="Arial" w:hAnsi="Arial" w:cs="Arial"/>
        <w:b/>
        <w:lang w:val="en-US"/>
      </w:rPr>
      <w:t xml:space="preserve">(DA) </w:t>
    </w:r>
  </w:p>
  <w:p w14:paraId="4D5A23E3" w14:textId="27BD4271" w:rsidR="0064230D" w:rsidRPr="00257B3E" w:rsidRDefault="0064230D" w:rsidP="0040003F">
    <w:pPr>
      <w:pStyle w:val="Footer"/>
      <w:rPr>
        <w:rFonts w:eastAsiaTheme="majorEastAsia" w:cs="Arial"/>
      </w:rPr>
    </w:pPr>
    <w:r w:rsidRPr="00257B3E">
      <w:rPr>
        <w:rFonts w:eastAsiaTheme="majorEastAsia" w:cs="Arial"/>
      </w:rPr>
      <w:ptab w:relativeTo="margin" w:alignment="right" w:leader="none"/>
    </w:r>
    <w:r w:rsidR="0044604B">
      <w:rPr>
        <w:rFonts w:eastAsiaTheme="majorEastAsia" w:cs="Arial"/>
        <w:b/>
      </w:rPr>
      <w:t xml:space="preserve">PAGE </w:t>
    </w:r>
    <w:r w:rsidRPr="00257B3E">
      <w:rPr>
        <w:rFonts w:eastAsiaTheme="minorEastAsia" w:cs="Arial"/>
        <w:b/>
      </w:rPr>
      <w:fldChar w:fldCharType="begin"/>
    </w:r>
    <w:r w:rsidRPr="00257B3E">
      <w:rPr>
        <w:rFonts w:cs="Arial"/>
        <w:b/>
      </w:rPr>
      <w:instrText xml:space="preserve"> PAGE   \* MERGEFORMAT </w:instrText>
    </w:r>
    <w:r w:rsidRPr="00257B3E">
      <w:rPr>
        <w:rFonts w:eastAsiaTheme="minorEastAsia" w:cs="Arial"/>
        <w:b/>
      </w:rPr>
      <w:fldChar w:fldCharType="separate"/>
    </w:r>
    <w:r w:rsidR="00157069" w:rsidRPr="00157069">
      <w:rPr>
        <w:rFonts w:eastAsiaTheme="majorEastAsia" w:cs="Arial"/>
        <w:b/>
        <w:noProof/>
      </w:rPr>
      <w:t>1</w:t>
    </w:r>
    <w:r w:rsidRPr="00257B3E">
      <w:rPr>
        <w:rFonts w:eastAsiaTheme="majorEastAsia" w:cs="Arial"/>
        <w:b/>
        <w:noProof/>
      </w:rPr>
      <w:fldChar w:fldCharType="end"/>
    </w:r>
  </w:p>
  <w:p w14:paraId="161F96F5" w14:textId="77777777" w:rsidR="0064230D" w:rsidRDefault="006423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62F3" w14:textId="77777777" w:rsidR="00447286" w:rsidRDefault="00447286" w:rsidP="00615855">
      <w:r>
        <w:separator/>
      </w:r>
    </w:p>
  </w:footnote>
  <w:footnote w:type="continuationSeparator" w:id="0">
    <w:p w14:paraId="3A2F0108" w14:textId="77777777" w:rsidR="00447286" w:rsidRDefault="00447286" w:rsidP="00615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4F"/>
    <w:multiLevelType w:val="hybridMultilevel"/>
    <w:tmpl w:val="7E447A30"/>
    <w:lvl w:ilvl="0" w:tplc="867A8D0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2E779B5"/>
    <w:multiLevelType w:val="hybridMultilevel"/>
    <w:tmpl w:val="38AC9F64"/>
    <w:lvl w:ilvl="0" w:tplc="0FE666FC">
      <w:start w:val="2"/>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6C60BA7"/>
    <w:multiLevelType w:val="hybridMultilevel"/>
    <w:tmpl w:val="957C279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C42DAD"/>
    <w:multiLevelType w:val="hybridMultilevel"/>
    <w:tmpl w:val="EE48010E"/>
    <w:lvl w:ilvl="0" w:tplc="EB84C70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B449D"/>
    <w:multiLevelType w:val="hybridMultilevel"/>
    <w:tmpl w:val="13D05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B34C69"/>
    <w:multiLevelType w:val="hybridMultilevel"/>
    <w:tmpl w:val="03BCC3E0"/>
    <w:lvl w:ilvl="0" w:tplc="3EE6857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745BF7"/>
    <w:multiLevelType w:val="hybridMultilevel"/>
    <w:tmpl w:val="0BCAC7DA"/>
    <w:lvl w:ilvl="0" w:tplc="7154454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377EAC"/>
    <w:multiLevelType w:val="hybridMultilevel"/>
    <w:tmpl w:val="B094A1FA"/>
    <w:lvl w:ilvl="0" w:tplc="F07EA1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B685E97"/>
    <w:multiLevelType w:val="hybridMultilevel"/>
    <w:tmpl w:val="06728C6A"/>
    <w:lvl w:ilvl="0" w:tplc="605C46D0">
      <w:start w:val="10"/>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975389"/>
    <w:multiLevelType w:val="hybridMultilevel"/>
    <w:tmpl w:val="34EA4D8C"/>
    <w:lvl w:ilvl="0" w:tplc="3878C46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8A5D6A"/>
    <w:multiLevelType w:val="hybridMultilevel"/>
    <w:tmpl w:val="01F69AD8"/>
    <w:lvl w:ilvl="0" w:tplc="0EC4E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0F588B"/>
    <w:multiLevelType w:val="hybridMultilevel"/>
    <w:tmpl w:val="2DAA24CE"/>
    <w:lvl w:ilvl="0" w:tplc="1C09000F">
      <w:start w:val="1"/>
      <w:numFmt w:val="decimal"/>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2" w15:restartNumberingAfterBreak="0">
    <w:nsid w:val="37BF5F12"/>
    <w:multiLevelType w:val="hybridMultilevel"/>
    <w:tmpl w:val="0C0EB8A6"/>
    <w:lvl w:ilvl="0" w:tplc="1C090001">
      <w:start w:val="1"/>
      <w:numFmt w:val="bullet"/>
      <w:lvlText w:val=""/>
      <w:lvlJc w:val="left"/>
      <w:pPr>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3" w15:restartNumberingAfterBreak="0">
    <w:nsid w:val="38D57C7A"/>
    <w:multiLevelType w:val="hybridMultilevel"/>
    <w:tmpl w:val="5D028224"/>
    <w:lvl w:ilvl="0" w:tplc="570E129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554313"/>
    <w:multiLevelType w:val="hybridMultilevel"/>
    <w:tmpl w:val="DA58F6A4"/>
    <w:lvl w:ilvl="0" w:tplc="605AE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015810"/>
    <w:multiLevelType w:val="hybridMultilevel"/>
    <w:tmpl w:val="7D40A248"/>
    <w:lvl w:ilvl="0" w:tplc="F3D8250A">
      <w:start w:val="1"/>
      <w:numFmt w:val="decimal"/>
      <w:lvlText w:val="(%1)"/>
      <w:lvlJc w:val="left"/>
      <w:pPr>
        <w:ind w:left="840" w:hanging="4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E871C5"/>
    <w:multiLevelType w:val="hybridMultilevel"/>
    <w:tmpl w:val="32483B00"/>
    <w:lvl w:ilvl="0" w:tplc="A7561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20ED"/>
    <w:multiLevelType w:val="hybridMultilevel"/>
    <w:tmpl w:val="99B8C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CAB72C8"/>
    <w:multiLevelType w:val="hybridMultilevel"/>
    <w:tmpl w:val="D11252E4"/>
    <w:lvl w:ilvl="0" w:tplc="397A77A0">
      <w:start w:val="1"/>
      <w:numFmt w:val="lowerLetter"/>
      <w:lvlText w:val="(%1)"/>
      <w:lvlJc w:val="left"/>
      <w:pPr>
        <w:ind w:left="732" w:hanging="372"/>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172B68"/>
    <w:multiLevelType w:val="hybridMultilevel"/>
    <w:tmpl w:val="53D6B73A"/>
    <w:lvl w:ilvl="0" w:tplc="0BECAD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7BF737F"/>
    <w:multiLevelType w:val="hybridMultilevel"/>
    <w:tmpl w:val="E810608C"/>
    <w:lvl w:ilvl="0" w:tplc="943E7C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FB64EC"/>
    <w:multiLevelType w:val="hybridMultilevel"/>
    <w:tmpl w:val="A2845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2011CD6"/>
    <w:multiLevelType w:val="hybridMultilevel"/>
    <w:tmpl w:val="C9DA57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3B848BB"/>
    <w:multiLevelType w:val="multilevel"/>
    <w:tmpl w:val="E1A4CC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E1604A"/>
    <w:multiLevelType w:val="hybridMultilevel"/>
    <w:tmpl w:val="2D0C96CC"/>
    <w:lvl w:ilvl="0" w:tplc="182CC0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0EA165F"/>
    <w:multiLevelType w:val="hybridMultilevel"/>
    <w:tmpl w:val="C0284D8C"/>
    <w:lvl w:ilvl="0" w:tplc="CE9CB142">
      <w:start w:val="1"/>
      <w:numFmt w:val="decimal"/>
      <w:lvlText w:val="(%1)"/>
      <w:lvlJc w:val="left"/>
      <w:pPr>
        <w:ind w:left="362" w:hanging="360"/>
      </w:pPr>
      <w:rPr>
        <w:rFonts w:hint="default"/>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27" w15:restartNumberingAfterBreak="0">
    <w:nsid w:val="74A6471A"/>
    <w:multiLevelType w:val="multilevel"/>
    <w:tmpl w:val="D5942EA2"/>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B5101D"/>
    <w:multiLevelType w:val="hybridMultilevel"/>
    <w:tmpl w:val="CBC276B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9" w15:restartNumberingAfterBreak="0">
    <w:nsid w:val="76086C1F"/>
    <w:multiLevelType w:val="hybridMultilevel"/>
    <w:tmpl w:val="B9D60054"/>
    <w:lvl w:ilvl="0" w:tplc="4F1C5260">
      <w:start w:val="1"/>
      <w:numFmt w:val="lowerLetter"/>
      <w:lvlText w:val="(%1)"/>
      <w:lvlJc w:val="left"/>
      <w:pPr>
        <w:ind w:left="1069" w:hanging="360"/>
      </w:pPr>
      <w:rPr>
        <w:rFonts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78814D51"/>
    <w:multiLevelType w:val="hybridMultilevel"/>
    <w:tmpl w:val="C786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20628"/>
    <w:multiLevelType w:val="hybridMultilevel"/>
    <w:tmpl w:val="E760EF46"/>
    <w:lvl w:ilvl="0" w:tplc="C2549A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E141C2"/>
    <w:multiLevelType w:val="hybridMultilevel"/>
    <w:tmpl w:val="7C1C9EAC"/>
    <w:lvl w:ilvl="0" w:tplc="44CA46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88417C"/>
    <w:multiLevelType w:val="hybridMultilevel"/>
    <w:tmpl w:val="2112F5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12"/>
  </w:num>
  <w:num w:numId="7">
    <w:abstractNumId w:val="22"/>
  </w:num>
  <w:num w:numId="8">
    <w:abstractNumId w:val="14"/>
  </w:num>
  <w:num w:numId="9">
    <w:abstractNumId w:val="10"/>
  </w:num>
  <w:num w:numId="10">
    <w:abstractNumId w:val="9"/>
  </w:num>
  <w:num w:numId="11">
    <w:abstractNumId w:val="32"/>
  </w:num>
  <w:num w:numId="12">
    <w:abstractNumId w:val="13"/>
  </w:num>
  <w:num w:numId="13">
    <w:abstractNumId w:val="28"/>
  </w:num>
  <w:num w:numId="14">
    <w:abstractNumId w:val="2"/>
  </w:num>
  <w:num w:numId="15">
    <w:abstractNumId w:val="18"/>
  </w:num>
  <w:num w:numId="16">
    <w:abstractNumId w:val="15"/>
  </w:num>
  <w:num w:numId="17">
    <w:abstractNumId w:val="31"/>
  </w:num>
  <w:num w:numId="18">
    <w:abstractNumId w:val="3"/>
  </w:num>
  <w:num w:numId="19">
    <w:abstractNumId w:val="5"/>
  </w:num>
  <w:num w:numId="20">
    <w:abstractNumId w:val="8"/>
  </w:num>
  <w:num w:numId="21">
    <w:abstractNumId w:val="7"/>
  </w:num>
  <w:num w:numId="22">
    <w:abstractNumId w:val="16"/>
  </w:num>
  <w:num w:numId="23">
    <w:abstractNumId w:val="30"/>
  </w:num>
  <w:num w:numId="24">
    <w:abstractNumId w:val="25"/>
  </w:num>
  <w:num w:numId="25">
    <w:abstractNumId w:val="27"/>
  </w:num>
  <w:num w:numId="26">
    <w:abstractNumId w:val="6"/>
  </w:num>
  <w:num w:numId="27">
    <w:abstractNumId w:val="33"/>
  </w:num>
  <w:num w:numId="28">
    <w:abstractNumId w:val="24"/>
  </w:num>
  <w:num w:numId="29">
    <w:abstractNumId w:val="0"/>
  </w:num>
  <w:num w:numId="30">
    <w:abstractNumId w:val="19"/>
  </w:num>
  <w:num w:numId="31">
    <w:abstractNumId w:val="29"/>
  </w:num>
  <w:num w:numId="32">
    <w:abstractNumId w:val="1"/>
  </w:num>
  <w:num w:numId="33">
    <w:abstractNumId w:val="17"/>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5E"/>
    <w:rsid w:val="00000EEF"/>
    <w:rsid w:val="000030AC"/>
    <w:rsid w:val="000044D5"/>
    <w:rsid w:val="00013C93"/>
    <w:rsid w:val="000160A8"/>
    <w:rsid w:val="00025979"/>
    <w:rsid w:val="00036B2A"/>
    <w:rsid w:val="00044891"/>
    <w:rsid w:val="00051FE9"/>
    <w:rsid w:val="00053DFB"/>
    <w:rsid w:val="00061590"/>
    <w:rsid w:val="00082B6F"/>
    <w:rsid w:val="00091CF8"/>
    <w:rsid w:val="000A00BD"/>
    <w:rsid w:val="000B2B2C"/>
    <w:rsid w:val="000B411F"/>
    <w:rsid w:val="000B5795"/>
    <w:rsid w:val="000D6FE5"/>
    <w:rsid w:val="000E27BC"/>
    <w:rsid w:val="000E6A4A"/>
    <w:rsid w:val="000F5E9F"/>
    <w:rsid w:val="001349FB"/>
    <w:rsid w:val="0014327D"/>
    <w:rsid w:val="001448E0"/>
    <w:rsid w:val="00157069"/>
    <w:rsid w:val="00171C74"/>
    <w:rsid w:val="0018332C"/>
    <w:rsid w:val="001846C6"/>
    <w:rsid w:val="00184DED"/>
    <w:rsid w:val="00197243"/>
    <w:rsid w:val="001A7724"/>
    <w:rsid w:val="001B07E6"/>
    <w:rsid w:val="001B4416"/>
    <w:rsid w:val="001B630A"/>
    <w:rsid w:val="001D1E0F"/>
    <w:rsid w:val="001D76FD"/>
    <w:rsid w:val="001E3E77"/>
    <w:rsid w:val="001F3D8B"/>
    <w:rsid w:val="00201EF1"/>
    <w:rsid w:val="00204DCE"/>
    <w:rsid w:val="00215D9C"/>
    <w:rsid w:val="0021650F"/>
    <w:rsid w:val="00223300"/>
    <w:rsid w:val="00231F88"/>
    <w:rsid w:val="002324CD"/>
    <w:rsid w:val="00234553"/>
    <w:rsid w:val="00237397"/>
    <w:rsid w:val="00246E26"/>
    <w:rsid w:val="00255C64"/>
    <w:rsid w:val="00260742"/>
    <w:rsid w:val="002676D4"/>
    <w:rsid w:val="00272FFC"/>
    <w:rsid w:val="00281692"/>
    <w:rsid w:val="002818CA"/>
    <w:rsid w:val="0028279C"/>
    <w:rsid w:val="00291E81"/>
    <w:rsid w:val="00294CB4"/>
    <w:rsid w:val="002A5B1F"/>
    <w:rsid w:val="002C24CE"/>
    <w:rsid w:val="002D3326"/>
    <w:rsid w:val="002D7A3D"/>
    <w:rsid w:val="002E29B5"/>
    <w:rsid w:val="002E5328"/>
    <w:rsid w:val="002F6B2C"/>
    <w:rsid w:val="003133B3"/>
    <w:rsid w:val="003150BE"/>
    <w:rsid w:val="003165E9"/>
    <w:rsid w:val="003329FC"/>
    <w:rsid w:val="00336CEA"/>
    <w:rsid w:val="00353AA9"/>
    <w:rsid w:val="003643E0"/>
    <w:rsid w:val="00364873"/>
    <w:rsid w:val="00366847"/>
    <w:rsid w:val="003703CE"/>
    <w:rsid w:val="00387FC5"/>
    <w:rsid w:val="003A2A56"/>
    <w:rsid w:val="003B3B69"/>
    <w:rsid w:val="003D0F22"/>
    <w:rsid w:val="003D3FF0"/>
    <w:rsid w:val="003F0D96"/>
    <w:rsid w:val="003F4648"/>
    <w:rsid w:val="0040003F"/>
    <w:rsid w:val="004039F3"/>
    <w:rsid w:val="00404481"/>
    <w:rsid w:val="0041091B"/>
    <w:rsid w:val="00414F41"/>
    <w:rsid w:val="00430CB7"/>
    <w:rsid w:val="00435091"/>
    <w:rsid w:val="0044604B"/>
    <w:rsid w:val="00447286"/>
    <w:rsid w:val="00451356"/>
    <w:rsid w:val="00487B7F"/>
    <w:rsid w:val="004B39C7"/>
    <w:rsid w:val="004B6AF3"/>
    <w:rsid w:val="004C1695"/>
    <w:rsid w:val="004C26FF"/>
    <w:rsid w:val="004C42EE"/>
    <w:rsid w:val="004E0486"/>
    <w:rsid w:val="004E609E"/>
    <w:rsid w:val="0051296A"/>
    <w:rsid w:val="00523775"/>
    <w:rsid w:val="00526932"/>
    <w:rsid w:val="005654C8"/>
    <w:rsid w:val="00575E49"/>
    <w:rsid w:val="00586D82"/>
    <w:rsid w:val="00590E49"/>
    <w:rsid w:val="0059461B"/>
    <w:rsid w:val="005A455E"/>
    <w:rsid w:val="005B362D"/>
    <w:rsid w:val="005C6EB4"/>
    <w:rsid w:val="005C6F98"/>
    <w:rsid w:val="005E52CF"/>
    <w:rsid w:val="005E5AAA"/>
    <w:rsid w:val="005E6F53"/>
    <w:rsid w:val="005F4D39"/>
    <w:rsid w:val="006065E7"/>
    <w:rsid w:val="00612FC4"/>
    <w:rsid w:val="00615855"/>
    <w:rsid w:val="0061614C"/>
    <w:rsid w:val="0062537B"/>
    <w:rsid w:val="0064230D"/>
    <w:rsid w:val="00655D61"/>
    <w:rsid w:val="006658DA"/>
    <w:rsid w:val="0068749C"/>
    <w:rsid w:val="006B3514"/>
    <w:rsid w:val="006D7E86"/>
    <w:rsid w:val="006E0727"/>
    <w:rsid w:val="006E6952"/>
    <w:rsid w:val="006F1A0A"/>
    <w:rsid w:val="006F6A49"/>
    <w:rsid w:val="0071020D"/>
    <w:rsid w:val="00736D67"/>
    <w:rsid w:val="007375AA"/>
    <w:rsid w:val="00740C0E"/>
    <w:rsid w:val="00744D23"/>
    <w:rsid w:val="00750950"/>
    <w:rsid w:val="00752D15"/>
    <w:rsid w:val="00757488"/>
    <w:rsid w:val="00775AE7"/>
    <w:rsid w:val="0077759B"/>
    <w:rsid w:val="00790D50"/>
    <w:rsid w:val="007916C5"/>
    <w:rsid w:val="0079583D"/>
    <w:rsid w:val="00797005"/>
    <w:rsid w:val="00797416"/>
    <w:rsid w:val="007A386F"/>
    <w:rsid w:val="007A46B4"/>
    <w:rsid w:val="007B1F54"/>
    <w:rsid w:val="007B2BC4"/>
    <w:rsid w:val="007D21C8"/>
    <w:rsid w:val="007E3D2E"/>
    <w:rsid w:val="007F020A"/>
    <w:rsid w:val="00803691"/>
    <w:rsid w:val="00814572"/>
    <w:rsid w:val="00820E1F"/>
    <w:rsid w:val="00821CFC"/>
    <w:rsid w:val="00832B02"/>
    <w:rsid w:val="008331A2"/>
    <w:rsid w:val="00841085"/>
    <w:rsid w:val="0084557B"/>
    <w:rsid w:val="00850A79"/>
    <w:rsid w:val="00850EB6"/>
    <w:rsid w:val="008515EE"/>
    <w:rsid w:val="0085235B"/>
    <w:rsid w:val="00862D8F"/>
    <w:rsid w:val="0086685E"/>
    <w:rsid w:val="00873EF0"/>
    <w:rsid w:val="00876502"/>
    <w:rsid w:val="00890135"/>
    <w:rsid w:val="00890F4E"/>
    <w:rsid w:val="00895FFB"/>
    <w:rsid w:val="008A0DD5"/>
    <w:rsid w:val="008A704C"/>
    <w:rsid w:val="008C196D"/>
    <w:rsid w:val="008C321A"/>
    <w:rsid w:val="008D3671"/>
    <w:rsid w:val="008E0F33"/>
    <w:rsid w:val="008F2534"/>
    <w:rsid w:val="00900292"/>
    <w:rsid w:val="00901512"/>
    <w:rsid w:val="009151C9"/>
    <w:rsid w:val="00932D7F"/>
    <w:rsid w:val="00936ED3"/>
    <w:rsid w:val="00946FD6"/>
    <w:rsid w:val="0096141B"/>
    <w:rsid w:val="009639AF"/>
    <w:rsid w:val="00963D20"/>
    <w:rsid w:val="00984D4F"/>
    <w:rsid w:val="009927CB"/>
    <w:rsid w:val="0099651F"/>
    <w:rsid w:val="009A6BAB"/>
    <w:rsid w:val="009D67AC"/>
    <w:rsid w:val="009E0A4D"/>
    <w:rsid w:val="009E1C8C"/>
    <w:rsid w:val="009E25DF"/>
    <w:rsid w:val="009F1F9B"/>
    <w:rsid w:val="009F5E40"/>
    <w:rsid w:val="00A00B8C"/>
    <w:rsid w:val="00A047F6"/>
    <w:rsid w:val="00A234DB"/>
    <w:rsid w:val="00A25475"/>
    <w:rsid w:val="00A308A2"/>
    <w:rsid w:val="00A36F72"/>
    <w:rsid w:val="00A51259"/>
    <w:rsid w:val="00A570E4"/>
    <w:rsid w:val="00A629F4"/>
    <w:rsid w:val="00A64FD3"/>
    <w:rsid w:val="00A65C3E"/>
    <w:rsid w:val="00A83C20"/>
    <w:rsid w:val="00A87A11"/>
    <w:rsid w:val="00A94677"/>
    <w:rsid w:val="00AE036F"/>
    <w:rsid w:val="00AE69B9"/>
    <w:rsid w:val="00AF3F58"/>
    <w:rsid w:val="00AF666A"/>
    <w:rsid w:val="00B01472"/>
    <w:rsid w:val="00B2637D"/>
    <w:rsid w:val="00B404DA"/>
    <w:rsid w:val="00B5603D"/>
    <w:rsid w:val="00B6143D"/>
    <w:rsid w:val="00B6707F"/>
    <w:rsid w:val="00B7414F"/>
    <w:rsid w:val="00B80EC4"/>
    <w:rsid w:val="00B81E86"/>
    <w:rsid w:val="00B92CEE"/>
    <w:rsid w:val="00BA1F7C"/>
    <w:rsid w:val="00BA5AAE"/>
    <w:rsid w:val="00BB514A"/>
    <w:rsid w:val="00BD2C36"/>
    <w:rsid w:val="00BD40B1"/>
    <w:rsid w:val="00BE05B6"/>
    <w:rsid w:val="00BE423D"/>
    <w:rsid w:val="00C07D83"/>
    <w:rsid w:val="00C249C4"/>
    <w:rsid w:val="00C30CBC"/>
    <w:rsid w:val="00C464E2"/>
    <w:rsid w:val="00C61ED3"/>
    <w:rsid w:val="00C72A50"/>
    <w:rsid w:val="00C732CE"/>
    <w:rsid w:val="00C81D90"/>
    <w:rsid w:val="00C8769B"/>
    <w:rsid w:val="00C95522"/>
    <w:rsid w:val="00CB7EEE"/>
    <w:rsid w:val="00CE2986"/>
    <w:rsid w:val="00D11356"/>
    <w:rsid w:val="00D20F25"/>
    <w:rsid w:val="00D41FA8"/>
    <w:rsid w:val="00D66EDF"/>
    <w:rsid w:val="00D70583"/>
    <w:rsid w:val="00D72C5B"/>
    <w:rsid w:val="00D832EA"/>
    <w:rsid w:val="00DC6AE5"/>
    <w:rsid w:val="00DD092B"/>
    <w:rsid w:val="00DE1CA2"/>
    <w:rsid w:val="00DF45F0"/>
    <w:rsid w:val="00E169A6"/>
    <w:rsid w:val="00E174A2"/>
    <w:rsid w:val="00E25EA4"/>
    <w:rsid w:val="00E35F55"/>
    <w:rsid w:val="00E55CB0"/>
    <w:rsid w:val="00E6717E"/>
    <w:rsid w:val="00E67665"/>
    <w:rsid w:val="00E7028F"/>
    <w:rsid w:val="00E736CD"/>
    <w:rsid w:val="00E91C0C"/>
    <w:rsid w:val="00E93DD6"/>
    <w:rsid w:val="00E943CF"/>
    <w:rsid w:val="00EA0420"/>
    <w:rsid w:val="00EA29EE"/>
    <w:rsid w:val="00EA6293"/>
    <w:rsid w:val="00EA71D0"/>
    <w:rsid w:val="00EA76B1"/>
    <w:rsid w:val="00EB1911"/>
    <w:rsid w:val="00EC2F2E"/>
    <w:rsid w:val="00EC7BC9"/>
    <w:rsid w:val="00ED01EE"/>
    <w:rsid w:val="00ED2249"/>
    <w:rsid w:val="00ED4E24"/>
    <w:rsid w:val="00EE16EF"/>
    <w:rsid w:val="00EE1B71"/>
    <w:rsid w:val="00EF6E37"/>
    <w:rsid w:val="00F000AE"/>
    <w:rsid w:val="00F13C0B"/>
    <w:rsid w:val="00F274E9"/>
    <w:rsid w:val="00F3599E"/>
    <w:rsid w:val="00F4556A"/>
    <w:rsid w:val="00F54A6C"/>
    <w:rsid w:val="00F638F4"/>
    <w:rsid w:val="00F67141"/>
    <w:rsid w:val="00F730DA"/>
    <w:rsid w:val="00F761A4"/>
    <w:rsid w:val="00F83FB8"/>
    <w:rsid w:val="00FA0ADF"/>
    <w:rsid w:val="00FA39A3"/>
    <w:rsid w:val="00FC0504"/>
    <w:rsid w:val="00FC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568"/>
  <w15:docId w15:val="{5749F92F-BCF3-4DFF-B71E-520D43A4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3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55E"/>
    <w:rPr>
      <w:rFonts w:ascii="Tahoma" w:hAnsi="Tahoma" w:cs="Tahoma"/>
      <w:sz w:val="16"/>
      <w:szCs w:val="16"/>
    </w:rPr>
  </w:style>
  <w:style w:type="character" w:customStyle="1" w:styleId="BalloonTextChar">
    <w:name w:val="Balloon Text Char"/>
    <w:basedOn w:val="DefaultParagraphFont"/>
    <w:link w:val="BalloonText"/>
    <w:uiPriority w:val="99"/>
    <w:semiHidden/>
    <w:rsid w:val="005A455E"/>
    <w:rPr>
      <w:rFonts w:ascii="Tahoma" w:eastAsia="Times New Roman" w:hAnsi="Tahoma" w:cs="Tahoma"/>
      <w:sz w:val="16"/>
      <w:szCs w:val="16"/>
      <w:lang w:val="en-GB"/>
    </w:rPr>
  </w:style>
  <w:style w:type="paragraph" w:styleId="BodyTextIndent2">
    <w:name w:val="Body Text Indent 2"/>
    <w:basedOn w:val="Normal"/>
    <w:link w:val="BodyTextIndent2Char"/>
    <w:uiPriority w:val="99"/>
    <w:rsid w:val="007E3D2E"/>
    <w:pPr>
      <w:tabs>
        <w:tab w:val="left" w:pos="432"/>
        <w:tab w:val="left" w:pos="864"/>
      </w:tabs>
      <w:spacing w:line="360" w:lineRule="auto"/>
      <w:ind w:left="1440" w:hanging="1440"/>
    </w:pPr>
    <w:rPr>
      <w:rFonts w:ascii="CG Times" w:hAnsi="CG Times"/>
      <w:sz w:val="24"/>
      <w:lang w:val="en-US"/>
    </w:rPr>
  </w:style>
  <w:style w:type="character" w:customStyle="1" w:styleId="BodyTextIndent2Char">
    <w:name w:val="Body Text Indent 2 Char"/>
    <w:basedOn w:val="DefaultParagraphFont"/>
    <w:link w:val="BodyTextIndent2"/>
    <w:uiPriority w:val="99"/>
    <w:rsid w:val="007E3D2E"/>
    <w:rPr>
      <w:rFonts w:ascii="CG Times" w:eastAsia="Times New Roman" w:hAnsi="CG Times" w:cs="Times New Roman"/>
      <w:sz w:val="24"/>
      <w:szCs w:val="20"/>
    </w:rPr>
  </w:style>
  <w:style w:type="paragraph" w:styleId="Footer">
    <w:name w:val="footer"/>
    <w:basedOn w:val="Normal"/>
    <w:link w:val="FooterChar"/>
    <w:uiPriority w:val="99"/>
    <w:unhideWhenUsed/>
    <w:rsid w:val="00803691"/>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03691"/>
  </w:style>
  <w:style w:type="table" w:styleId="TableGrid">
    <w:name w:val="Table Grid"/>
    <w:basedOn w:val="TableNormal"/>
    <w:uiPriority w:val="39"/>
    <w:rsid w:val="0085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4D39"/>
    <w:rPr>
      <w:b/>
      <w:bCs/>
    </w:rPr>
  </w:style>
  <w:style w:type="paragraph" w:styleId="ListParagraph">
    <w:name w:val="List Paragraph"/>
    <w:basedOn w:val="Normal"/>
    <w:uiPriority w:val="34"/>
    <w:qFormat/>
    <w:rsid w:val="004E0486"/>
    <w:pPr>
      <w:ind w:left="720"/>
      <w:contextualSpacing/>
    </w:pPr>
  </w:style>
  <w:style w:type="paragraph" w:customStyle="1" w:styleId="Default">
    <w:name w:val="Default"/>
    <w:rsid w:val="00404481"/>
    <w:pPr>
      <w:autoSpaceDE w:val="0"/>
      <w:autoSpaceDN w:val="0"/>
      <w:adjustRightInd w:val="0"/>
      <w:spacing w:after="0" w:line="240" w:lineRule="auto"/>
    </w:pPr>
    <w:rPr>
      <w:rFonts w:ascii="Arial" w:hAnsi="Arial" w:cs="Arial"/>
      <w:color w:val="000000"/>
      <w:sz w:val="24"/>
      <w:szCs w:val="24"/>
      <w:lang w:val="en-ZA"/>
    </w:rPr>
  </w:style>
  <w:style w:type="table" w:customStyle="1" w:styleId="TableGrid1">
    <w:name w:val="Table Grid1"/>
    <w:basedOn w:val="TableNormal"/>
    <w:next w:val="TableGrid"/>
    <w:uiPriority w:val="59"/>
    <w:rsid w:val="00615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15855"/>
    <w:pPr>
      <w:tabs>
        <w:tab w:val="center" w:pos="4513"/>
        <w:tab w:val="right" w:pos="9026"/>
      </w:tabs>
    </w:pPr>
  </w:style>
  <w:style w:type="character" w:customStyle="1" w:styleId="HeaderChar">
    <w:name w:val="Header Char"/>
    <w:basedOn w:val="DefaultParagraphFont"/>
    <w:link w:val="Header"/>
    <w:rsid w:val="00615855"/>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40003F"/>
    <w:pPr>
      <w:spacing w:after="120"/>
      <w:ind w:left="283"/>
    </w:pPr>
  </w:style>
  <w:style w:type="character" w:customStyle="1" w:styleId="BodyTextIndentChar">
    <w:name w:val="Body Text Indent Char"/>
    <w:basedOn w:val="DefaultParagraphFont"/>
    <w:link w:val="BodyTextIndent"/>
    <w:uiPriority w:val="99"/>
    <w:semiHidden/>
    <w:rsid w:val="0040003F"/>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013C93"/>
    <w:rPr>
      <w:sz w:val="16"/>
      <w:szCs w:val="16"/>
    </w:rPr>
  </w:style>
  <w:style w:type="paragraph" w:styleId="CommentText">
    <w:name w:val="annotation text"/>
    <w:basedOn w:val="Normal"/>
    <w:link w:val="CommentTextChar"/>
    <w:uiPriority w:val="99"/>
    <w:semiHidden/>
    <w:unhideWhenUsed/>
    <w:rsid w:val="00013C93"/>
  </w:style>
  <w:style w:type="character" w:customStyle="1" w:styleId="CommentTextChar">
    <w:name w:val="Comment Text Char"/>
    <w:basedOn w:val="DefaultParagraphFont"/>
    <w:link w:val="CommentText"/>
    <w:uiPriority w:val="99"/>
    <w:semiHidden/>
    <w:rsid w:val="00013C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93"/>
    <w:rPr>
      <w:b/>
      <w:bCs/>
    </w:rPr>
  </w:style>
  <w:style w:type="character" w:customStyle="1" w:styleId="CommentSubjectChar">
    <w:name w:val="Comment Subject Char"/>
    <w:basedOn w:val="CommentTextChar"/>
    <w:link w:val="CommentSubject"/>
    <w:uiPriority w:val="99"/>
    <w:semiHidden/>
    <w:rsid w:val="00013C93"/>
    <w:rPr>
      <w:rFonts w:ascii="Times New Roman" w:eastAsia="Times New Roman" w:hAnsi="Times New Roman" w:cs="Times New Roman"/>
      <w:b/>
      <w:bCs/>
      <w:sz w:val="20"/>
      <w:szCs w:val="20"/>
      <w:lang w:val="en-GB"/>
    </w:rPr>
  </w:style>
  <w:style w:type="paragraph" w:styleId="NoSpacing">
    <w:name w:val="No Spacing"/>
    <w:link w:val="NoSpacingChar"/>
    <w:uiPriority w:val="1"/>
    <w:qFormat/>
    <w:rsid w:val="009151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51C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7303">
      <w:bodyDiv w:val="1"/>
      <w:marLeft w:val="0"/>
      <w:marRight w:val="0"/>
      <w:marTop w:val="0"/>
      <w:marBottom w:val="0"/>
      <w:divBdr>
        <w:top w:val="none" w:sz="0" w:space="0" w:color="auto"/>
        <w:left w:val="none" w:sz="0" w:space="0" w:color="auto"/>
        <w:bottom w:val="none" w:sz="0" w:space="0" w:color="auto"/>
        <w:right w:val="none" w:sz="0" w:space="0" w:color="auto"/>
      </w:divBdr>
    </w:div>
    <w:div w:id="1025786091">
      <w:bodyDiv w:val="1"/>
      <w:marLeft w:val="0"/>
      <w:marRight w:val="0"/>
      <w:marTop w:val="0"/>
      <w:marBottom w:val="0"/>
      <w:divBdr>
        <w:top w:val="none" w:sz="0" w:space="0" w:color="auto"/>
        <w:left w:val="none" w:sz="0" w:space="0" w:color="auto"/>
        <w:bottom w:val="none" w:sz="0" w:space="0" w:color="auto"/>
        <w:right w:val="none" w:sz="0" w:space="0" w:color="auto"/>
      </w:divBdr>
    </w:div>
    <w:div w:id="1632244621">
      <w:bodyDiv w:val="1"/>
      <w:marLeft w:val="0"/>
      <w:marRight w:val="0"/>
      <w:marTop w:val="0"/>
      <w:marBottom w:val="0"/>
      <w:divBdr>
        <w:top w:val="none" w:sz="0" w:space="0" w:color="auto"/>
        <w:left w:val="none" w:sz="0" w:space="0" w:color="auto"/>
        <w:bottom w:val="none" w:sz="0" w:space="0" w:color="auto"/>
        <w:right w:val="none" w:sz="0" w:space="0" w:color="auto"/>
      </w:divBdr>
    </w:div>
    <w:div w:id="2056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BF40-8631-4263-93BE-3B034976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 Njoko</dc:creator>
  <cp:lastModifiedBy>Sehlabela Chuene</cp:lastModifiedBy>
  <cp:revision>2</cp:revision>
  <cp:lastPrinted>2015-03-27T09:42:00Z</cp:lastPrinted>
  <dcterms:created xsi:type="dcterms:W3CDTF">2016-11-25T12:01:00Z</dcterms:created>
  <dcterms:modified xsi:type="dcterms:W3CDTF">2016-11-25T12:01:00Z</dcterms:modified>
</cp:coreProperties>
</file>