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6F2944" w:rsidRPr="00ED01AE" w14:paraId="32A88F29" w14:textId="77777777" w:rsidTr="00637380">
        <w:trPr>
          <w:trHeight w:val="1474"/>
        </w:trPr>
        <w:tc>
          <w:tcPr>
            <w:tcW w:w="4821" w:type="dxa"/>
            <w:gridSpan w:val="2"/>
            <w:hideMark/>
          </w:tcPr>
          <w:p w14:paraId="332C9826" w14:textId="77777777" w:rsidR="006F2944" w:rsidRPr="00ED01AE" w:rsidRDefault="006F2944" w:rsidP="00637380">
            <w:pPr>
              <w:tabs>
                <w:tab w:val="center" w:pos="4513"/>
                <w:tab w:val="right" w:pos="9026"/>
              </w:tabs>
              <w:rPr>
                <w:rFonts w:ascii="Arial" w:hAnsi="Arial" w:cs="Arial"/>
              </w:rPr>
            </w:pPr>
            <w:bookmarkStart w:id="0" w:name="_GoBack"/>
            <w:bookmarkEnd w:id="0"/>
            <w:r w:rsidRPr="00ED01AE">
              <w:rPr>
                <w:rFonts w:ascii="Arial" w:hAnsi="Arial" w:cs="Arial"/>
                <w:noProof/>
              </w:rPr>
              <w:drawing>
                <wp:inline distT="0" distB="0" distL="0" distR="0" wp14:anchorId="7A0D4F01" wp14:editId="6B9CC149">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50D5BC60" w14:textId="77777777" w:rsidR="006F2944" w:rsidRPr="00ED01AE" w:rsidRDefault="006F2944" w:rsidP="00637380">
            <w:pPr>
              <w:tabs>
                <w:tab w:val="center" w:pos="4513"/>
                <w:tab w:val="right" w:pos="9026"/>
              </w:tabs>
              <w:jc w:val="right"/>
              <w:rPr>
                <w:rFonts w:ascii="Arial" w:hAnsi="Arial" w:cs="Arial"/>
              </w:rPr>
            </w:pPr>
            <w:r w:rsidRPr="00ED01AE">
              <w:rPr>
                <w:rFonts w:ascii="Arial" w:hAnsi="Arial" w:cs="Arial"/>
                <w:noProof/>
              </w:rPr>
              <w:drawing>
                <wp:inline distT="0" distB="0" distL="0" distR="0" wp14:anchorId="77B00B52" wp14:editId="37AF4818">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6F2944" w:rsidRPr="00ED01AE" w14:paraId="28479228" w14:textId="77777777" w:rsidTr="00637380">
        <w:trPr>
          <w:trHeight w:val="80"/>
        </w:trPr>
        <w:tc>
          <w:tcPr>
            <w:tcW w:w="9026" w:type="dxa"/>
            <w:gridSpan w:val="3"/>
          </w:tcPr>
          <w:p w14:paraId="0788DB09" w14:textId="77777777" w:rsidR="006F2944" w:rsidRPr="00ED01AE" w:rsidRDefault="006F2944" w:rsidP="00637380">
            <w:pPr>
              <w:tabs>
                <w:tab w:val="center" w:pos="4513"/>
                <w:tab w:val="right" w:pos="9026"/>
              </w:tabs>
              <w:jc w:val="both"/>
              <w:rPr>
                <w:rFonts w:ascii="Arial" w:hAnsi="Arial" w:cs="Arial"/>
                <w:sz w:val="16"/>
                <w:szCs w:val="16"/>
              </w:rPr>
            </w:pPr>
          </w:p>
        </w:tc>
      </w:tr>
      <w:tr w:rsidR="006F2944" w:rsidRPr="00ED01AE" w14:paraId="41689F66" w14:textId="77777777" w:rsidTr="00637380">
        <w:trPr>
          <w:trHeight w:val="389"/>
        </w:trPr>
        <w:tc>
          <w:tcPr>
            <w:tcW w:w="1526" w:type="dxa"/>
          </w:tcPr>
          <w:p w14:paraId="5CBED09C" w14:textId="77777777" w:rsidR="006F2944" w:rsidRPr="00ED01AE" w:rsidRDefault="006F2944" w:rsidP="00637380">
            <w:pPr>
              <w:tabs>
                <w:tab w:val="center" w:pos="4513"/>
                <w:tab w:val="right" w:pos="9026"/>
              </w:tabs>
              <w:jc w:val="both"/>
              <w:rPr>
                <w:rFonts w:ascii="Arial" w:hAnsi="Arial" w:cs="Arial"/>
                <w:sz w:val="16"/>
                <w:szCs w:val="16"/>
              </w:rPr>
            </w:pPr>
          </w:p>
        </w:tc>
        <w:tc>
          <w:tcPr>
            <w:tcW w:w="7500" w:type="dxa"/>
            <w:gridSpan w:val="2"/>
            <w:hideMark/>
          </w:tcPr>
          <w:p w14:paraId="1F55E6D6" w14:textId="77777777" w:rsidR="006F2944" w:rsidRPr="00ED01AE" w:rsidRDefault="006F2944" w:rsidP="00637380">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14:paraId="3D856461" w14:textId="77777777" w:rsidR="006F2944" w:rsidRPr="00ED01AE" w:rsidRDefault="006F2944" w:rsidP="00637380">
            <w:pPr>
              <w:tabs>
                <w:tab w:val="center" w:pos="4513"/>
                <w:tab w:val="right" w:pos="9026"/>
              </w:tabs>
              <w:jc w:val="both"/>
              <w:rPr>
                <w:rFonts w:ascii="Arial" w:hAnsi="Arial" w:cs="Arial"/>
                <w:sz w:val="16"/>
                <w:szCs w:val="16"/>
              </w:rPr>
            </w:pPr>
            <w:r w:rsidRPr="00ED01AE">
              <w:rPr>
                <w:rFonts w:ascii="Arial" w:hAnsi="Arial" w:cs="Arial"/>
                <w:sz w:val="16"/>
                <w:szCs w:val="16"/>
              </w:rPr>
              <w:t xml:space="preserve">Tel: 012 312 0307.  </w:t>
            </w:r>
            <w:hyperlink r:id="rId8" w:history="1">
              <w:r w:rsidRPr="008B1A79">
                <w:rPr>
                  <w:rStyle w:val="Hyperlink"/>
                  <w:rFonts w:ascii="Arial" w:hAnsi="Arial" w:cs="Arial"/>
                  <w:sz w:val="16"/>
                  <w:szCs w:val="16"/>
                </w:rPr>
                <w:t>www.dpme.gov.za</w:t>
              </w:r>
            </w:hyperlink>
          </w:p>
        </w:tc>
      </w:tr>
    </w:tbl>
    <w:p w14:paraId="65B7F4CD" w14:textId="77777777" w:rsidR="009B2D6B" w:rsidRPr="009B2D6B" w:rsidRDefault="009B2D6B" w:rsidP="003A6E5D">
      <w:pPr>
        <w:spacing w:before="100" w:beforeAutospacing="1" w:after="100" w:afterAutospacing="1" w:line="240" w:lineRule="auto"/>
        <w:ind w:left="2291" w:firstLine="589"/>
        <w:jc w:val="both"/>
        <w:outlineLvl w:val="0"/>
        <w:rPr>
          <w:rFonts w:cs="Times New Roman"/>
          <w:bCs/>
          <w:sz w:val="36"/>
          <w:szCs w:val="36"/>
        </w:rPr>
      </w:pPr>
      <w:r w:rsidRPr="009B2D6B">
        <w:rPr>
          <w:rFonts w:cs="Times New Roman"/>
          <w:sz w:val="36"/>
          <w:szCs w:val="36"/>
        </w:rPr>
        <w:t>NATIONAL ASSEMBLY</w:t>
      </w:r>
    </w:p>
    <w:p w14:paraId="5D375A20" w14:textId="77777777" w:rsidR="009B2D6B" w:rsidRPr="009B2D6B" w:rsidRDefault="009B2D6B" w:rsidP="009B2D6B">
      <w:pPr>
        <w:pStyle w:val="Heading1"/>
        <w:spacing w:before="0" w:after="0"/>
        <w:jc w:val="center"/>
        <w:rPr>
          <w:rFonts w:asciiTheme="minorHAnsi" w:hAnsiTheme="minorHAnsi" w:cs="Times New Roman"/>
          <w:bCs w:val="0"/>
          <w:sz w:val="36"/>
          <w:szCs w:val="36"/>
        </w:rPr>
      </w:pPr>
      <w:r w:rsidRPr="009B2D6B">
        <w:rPr>
          <w:rFonts w:asciiTheme="minorHAnsi" w:hAnsiTheme="minorHAnsi" w:cs="Times New Roman"/>
          <w:bCs w:val="0"/>
          <w:sz w:val="36"/>
          <w:szCs w:val="36"/>
        </w:rPr>
        <w:t>INTERNAL QUESTION PAPER</w:t>
      </w:r>
    </w:p>
    <w:p w14:paraId="2F896EEB" w14:textId="77777777" w:rsidR="009B2D6B" w:rsidRPr="006F2944" w:rsidRDefault="009B2D6B" w:rsidP="009B2D6B">
      <w:pPr>
        <w:spacing w:before="100" w:beforeAutospacing="1" w:after="100" w:afterAutospacing="1" w:line="240" w:lineRule="auto"/>
        <w:ind w:left="851" w:hanging="851"/>
        <w:jc w:val="both"/>
        <w:outlineLvl w:val="0"/>
        <w:rPr>
          <w:rFonts w:ascii="Times New Roman" w:hAnsi="Times New Roman" w:cs="Times New Roman"/>
          <w:b/>
          <w:sz w:val="28"/>
          <w:szCs w:val="28"/>
        </w:rPr>
      </w:pPr>
      <w:r w:rsidRPr="006F2944">
        <w:rPr>
          <w:rFonts w:ascii="Times New Roman" w:hAnsi="Times New Roman" w:cs="Times New Roman"/>
          <w:b/>
          <w:sz w:val="28"/>
          <w:szCs w:val="28"/>
        </w:rPr>
        <w:t>2304.</w:t>
      </w:r>
      <w:r w:rsidRPr="006F2944">
        <w:rPr>
          <w:rFonts w:ascii="Times New Roman" w:hAnsi="Times New Roman" w:cs="Times New Roman"/>
          <w:b/>
          <w:sz w:val="28"/>
          <w:szCs w:val="28"/>
        </w:rPr>
        <w:tab/>
        <w:t xml:space="preserve">Mr T W </w:t>
      </w:r>
      <w:r w:rsidRPr="006F2944">
        <w:rPr>
          <w:rFonts w:ascii="Times New Roman" w:eastAsia="Times New Roman" w:hAnsi="Times New Roman" w:cs="Times New Roman"/>
          <w:b/>
          <w:sz w:val="28"/>
          <w:szCs w:val="28"/>
          <w:lang w:val="en-US"/>
        </w:rPr>
        <w:t>Mhlongo</w:t>
      </w:r>
      <w:r w:rsidRPr="006F2944">
        <w:rPr>
          <w:rFonts w:ascii="Times New Roman" w:hAnsi="Times New Roman" w:cs="Times New Roman"/>
          <w:b/>
          <w:sz w:val="28"/>
          <w:szCs w:val="28"/>
        </w:rPr>
        <w:t xml:space="preserve"> (DA) to ask the Minister in the Presidency:</w:t>
      </w:r>
    </w:p>
    <w:p w14:paraId="4670F96C" w14:textId="77777777" w:rsidR="009B2D6B" w:rsidRPr="006F2944" w:rsidRDefault="009B2D6B" w:rsidP="009B2D6B">
      <w:pPr>
        <w:spacing w:before="100" w:beforeAutospacing="1" w:after="100" w:afterAutospacing="1" w:line="240" w:lineRule="auto"/>
        <w:ind w:left="851"/>
        <w:jc w:val="both"/>
        <w:outlineLvl w:val="0"/>
        <w:rPr>
          <w:rFonts w:ascii="Times New Roman" w:hAnsi="Times New Roman" w:cs="Times New Roman"/>
          <w:sz w:val="28"/>
          <w:szCs w:val="28"/>
        </w:rPr>
      </w:pPr>
      <w:r w:rsidRPr="006F2944">
        <w:rPr>
          <w:rFonts w:ascii="Times New Roman" w:hAnsi="Times New Roman" w:cs="Times New Roman"/>
          <w:sz w:val="28"/>
          <w:szCs w:val="28"/>
        </w:rPr>
        <w:t>Whether any (a) internal and/or (b) external forensic reports pertaining to (i) his department and/or (ii) each entity reporting to him were completed from 1 January 2009 up to the latest specified date for which information is available; if not, in each case, why not; if so, what is the (aa) name, (bb) subject matter and (cc) date of conclusion of each of the specified forensic reports?</w:t>
      </w:r>
      <w:r w:rsidRPr="006F2944">
        <w:rPr>
          <w:rFonts w:ascii="Times New Roman" w:hAnsi="Times New Roman" w:cs="Times New Roman"/>
          <w:sz w:val="28"/>
          <w:szCs w:val="28"/>
        </w:rPr>
        <w:tab/>
      </w:r>
      <w:r w:rsidRPr="006F2944">
        <w:rPr>
          <w:rFonts w:ascii="Times New Roman" w:hAnsi="Times New Roman" w:cs="Times New Roman"/>
          <w:sz w:val="28"/>
          <w:szCs w:val="28"/>
        </w:rPr>
        <w:tab/>
      </w:r>
      <w:r w:rsidRPr="006F2944">
        <w:rPr>
          <w:rFonts w:ascii="Times New Roman" w:hAnsi="Times New Roman" w:cs="Times New Roman"/>
          <w:sz w:val="28"/>
          <w:szCs w:val="28"/>
        </w:rPr>
        <w:tab/>
      </w:r>
      <w:r w:rsidRPr="006F2944">
        <w:rPr>
          <w:rFonts w:ascii="Times New Roman" w:hAnsi="Times New Roman" w:cs="Times New Roman"/>
          <w:sz w:val="28"/>
          <w:szCs w:val="28"/>
        </w:rPr>
        <w:tab/>
      </w:r>
      <w:r w:rsidRPr="006F2944">
        <w:rPr>
          <w:rFonts w:ascii="Times New Roman" w:hAnsi="Times New Roman" w:cs="Times New Roman"/>
          <w:sz w:val="28"/>
          <w:szCs w:val="28"/>
        </w:rPr>
        <w:tab/>
        <w:t>NW2636E</w:t>
      </w:r>
    </w:p>
    <w:p w14:paraId="771D8C15" w14:textId="77777777" w:rsidR="006F2944" w:rsidRDefault="009B2D6B" w:rsidP="006F2944">
      <w:pPr>
        <w:rPr>
          <w:b/>
          <w:sz w:val="28"/>
          <w:szCs w:val="28"/>
        </w:rPr>
      </w:pPr>
      <w:r w:rsidRPr="006F2944">
        <w:rPr>
          <w:b/>
          <w:sz w:val="28"/>
          <w:szCs w:val="28"/>
        </w:rPr>
        <w:t>Reply:</w:t>
      </w:r>
    </w:p>
    <w:p w14:paraId="4393F864" w14:textId="77777777" w:rsidR="006F2944" w:rsidRDefault="009B2D6B" w:rsidP="003A6E5D">
      <w:pPr>
        <w:jc w:val="both"/>
        <w:rPr>
          <w:sz w:val="28"/>
          <w:szCs w:val="28"/>
        </w:rPr>
      </w:pPr>
      <w:r w:rsidRPr="006F2944">
        <w:rPr>
          <w:sz w:val="28"/>
          <w:szCs w:val="28"/>
        </w:rPr>
        <w:t>The Department of Planning Monitoring and Evaluation did not have (a) internal</w:t>
      </w:r>
      <w:r w:rsidR="006F2944">
        <w:rPr>
          <w:sz w:val="28"/>
          <w:szCs w:val="28"/>
        </w:rPr>
        <w:t xml:space="preserve"> </w:t>
      </w:r>
      <w:r w:rsidRPr="006F2944">
        <w:rPr>
          <w:sz w:val="28"/>
          <w:szCs w:val="28"/>
        </w:rPr>
        <w:t>or (b) external forensic investigations from the period 1 January 2009 to date. There were no cases that required forensic investigations and therefore there is no (aa) name (bb) subject matter and (cc) date of conclusion of forensic reports.</w:t>
      </w:r>
    </w:p>
    <w:p w14:paraId="1EACEA6C" w14:textId="77777777" w:rsidR="006F2944" w:rsidRDefault="006F2944" w:rsidP="003A6E5D">
      <w:pPr>
        <w:jc w:val="both"/>
        <w:rPr>
          <w:rFonts w:eastAsia="Calibri" w:cs="Arial"/>
          <w:sz w:val="28"/>
          <w:szCs w:val="28"/>
          <w:lang w:val="en-GB"/>
        </w:rPr>
      </w:pPr>
      <w:r w:rsidRPr="003A6E5D">
        <w:rPr>
          <w:rFonts w:eastAsia="Calibri" w:cs="Arial"/>
          <w:sz w:val="28"/>
          <w:szCs w:val="28"/>
          <w:lang w:val="en-GB"/>
        </w:rPr>
        <w:lastRenderedPageBreak/>
        <w:t>SekelaXabiso Consulting (Pty) Ltd was appointed by National Treasury on 12 September 2013 to do Forensic Investigation into the tender process and subsequent appointment of the successful bidder pertaining to tender number 12/09 for Statistics South Africa (Stats SA).</w:t>
      </w:r>
      <w:r w:rsidR="00483618">
        <w:rPr>
          <w:rFonts w:eastAsia="Calibri" w:cs="Arial"/>
          <w:sz w:val="28"/>
          <w:szCs w:val="28"/>
          <w:lang w:val="en-GB"/>
        </w:rPr>
        <w:t xml:space="preserve"> The response in regard to NYDA is as follows:</w:t>
      </w:r>
    </w:p>
    <w:tbl>
      <w:tblPr>
        <w:tblW w:w="1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7"/>
        <w:gridCol w:w="1134"/>
        <w:gridCol w:w="2268"/>
        <w:gridCol w:w="2694"/>
        <w:gridCol w:w="2338"/>
      </w:tblGrid>
      <w:tr w:rsidR="000048AA" w:rsidRPr="00483618" w14:paraId="2282B2B9" w14:textId="77777777" w:rsidTr="00483618">
        <w:tc>
          <w:tcPr>
            <w:tcW w:w="5697" w:type="dxa"/>
            <w:tcBorders>
              <w:top w:val="single" w:sz="4" w:space="0" w:color="auto"/>
              <w:left w:val="single" w:sz="4" w:space="0" w:color="auto"/>
              <w:bottom w:val="single" w:sz="4" w:space="0" w:color="auto"/>
              <w:right w:val="single" w:sz="4" w:space="0" w:color="auto"/>
            </w:tcBorders>
            <w:shd w:val="clear" w:color="auto" w:fill="808080"/>
            <w:hideMark/>
          </w:tcPr>
          <w:p w14:paraId="6AA9FFC2" w14:textId="77777777" w:rsidR="000048AA" w:rsidRPr="00483618" w:rsidRDefault="000048AA">
            <w:pPr>
              <w:rPr>
                <w:rFonts w:ascii="Calibri" w:hAnsi="Calibri"/>
                <w:b/>
                <w:color w:val="FFFFFF"/>
                <w:sz w:val="24"/>
                <w:szCs w:val="24"/>
                <w:lang w:val="en-US"/>
              </w:rPr>
            </w:pPr>
            <w:r w:rsidRPr="00483618">
              <w:rPr>
                <w:rFonts w:ascii="Calibri" w:hAnsi="Calibri"/>
                <w:b/>
                <w:color w:val="FFFFFF"/>
                <w:sz w:val="24"/>
                <w:szCs w:val="24"/>
                <w:lang w:val="en-US"/>
              </w:rPr>
              <w:t>Forensic Report - Nature</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14:paraId="16C59D1B" w14:textId="77777777" w:rsidR="000048AA" w:rsidRPr="00483618" w:rsidRDefault="000048AA">
            <w:pPr>
              <w:rPr>
                <w:rFonts w:ascii="Calibri" w:hAnsi="Calibri"/>
                <w:b/>
                <w:color w:val="FFFFFF"/>
                <w:sz w:val="24"/>
                <w:szCs w:val="24"/>
                <w:lang w:val="en-US"/>
              </w:rPr>
            </w:pPr>
            <w:r w:rsidRPr="00483618">
              <w:rPr>
                <w:rFonts w:ascii="Calibri" w:hAnsi="Calibri"/>
                <w:b/>
                <w:color w:val="FFFFFF"/>
                <w:sz w:val="24"/>
                <w:szCs w:val="24"/>
                <w:lang w:val="en-US"/>
              </w:rPr>
              <w:t>Internal / External</w:t>
            </w:r>
          </w:p>
        </w:tc>
        <w:tc>
          <w:tcPr>
            <w:tcW w:w="2268" w:type="dxa"/>
            <w:tcBorders>
              <w:top w:val="single" w:sz="4" w:space="0" w:color="auto"/>
              <w:left w:val="single" w:sz="4" w:space="0" w:color="auto"/>
              <w:bottom w:val="single" w:sz="4" w:space="0" w:color="auto"/>
              <w:right w:val="single" w:sz="4" w:space="0" w:color="auto"/>
            </w:tcBorders>
            <w:shd w:val="clear" w:color="auto" w:fill="808080"/>
            <w:hideMark/>
          </w:tcPr>
          <w:p w14:paraId="3628D04D" w14:textId="77777777" w:rsidR="000048AA" w:rsidRPr="00483618" w:rsidRDefault="000048AA">
            <w:pPr>
              <w:rPr>
                <w:rFonts w:ascii="Calibri" w:hAnsi="Calibri"/>
                <w:b/>
                <w:color w:val="FFFFFF"/>
                <w:sz w:val="24"/>
                <w:szCs w:val="24"/>
                <w:lang w:val="en-US"/>
              </w:rPr>
            </w:pPr>
            <w:r w:rsidRPr="00483618">
              <w:rPr>
                <w:rFonts w:ascii="Calibri" w:hAnsi="Calibri"/>
                <w:b/>
                <w:color w:val="FFFFFF"/>
                <w:sz w:val="24"/>
                <w:szCs w:val="24"/>
                <w:lang w:val="en-US"/>
              </w:rPr>
              <w:t>(aa) Name of the Investigation</w:t>
            </w:r>
          </w:p>
        </w:tc>
        <w:tc>
          <w:tcPr>
            <w:tcW w:w="2694" w:type="dxa"/>
            <w:tcBorders>
              <w:top w:val="single" w:sz="4" w:space="0" w:color="auto"/>
              <w:left w:val="single" w:sz="4" w:space="0" w:color="auto"/>
              <w:bottom w:val="single" w:sz="4" w:space="0" w:color="auto"/>
              <w:right w:val="single" w:sz="4" w:space="0" w:color="auto"/>
            </w:tcBorders>
            <w:shd w:val="clear" w:color="auto" w:fill="808080"/>
            <w:hideMark/>
          </w:tcPr>
          <w:p w14:paraId="56CBFC5A" w14:textId="77777777" w:rsidR="000048AA" w:rsidRPr="00483618" w:rsidRDefault="000048AA">
            <w:pPr>
              <w:rPr>
                <w:rFonts w:ascii="Calibri" w:hAnsi="Calibri"/>
                <w:b/>
                <w:color w:val="FFFFFF"/>
                <w:sz w:val="24"/>
                <w:szCs w:val="24"/>
                <w:lang w:val="en-US"/>
              </w:rPr>
            </w:pPr>
            <w:r w:rsidRPr="00483618">
              <w:rPr>
                <w:rFonts w:ascii="Calibri" w:hAnsi="Calibri"/>
                <w:b/>
                <w:color w:val="FFFFFF"/>
                <w:sz w:val="24"/>
                <w:szCs w:val="24"/>
                <w:lang w:val="en-US"/>
              </w:rPr>
              <w:t>(bb) Subject Matter</w:t>
            </w:r>
          </w:p>
        </w:tc>
        <w:tc>
          <w:tcPr>
            <w:tcW w:w="2338" w:type="dxa"/>
            <w:tcBorders>
              <w:top w:val="single" w:sz="4" w:space="0" w:color="auto"/>
              <w:left w:val="single" w:sz="4" w:space="0" w:color="auto"/>
              <w:bottom w:val="single" w:sz="4" w:space="0" w:color="auto"/>
              <w:right w:val="single" w:sz="4" w:space="0" w:color="auto"/>
            </w:tcBorders>
            <w:shd w:val="clear" w:color="auto" w:fill="808080"/>
            <w:hideMark/>
          </w:tcPr>
          <w:p w14:paraId="6A9CF57D" w14:textId="77777777" w:rsidR="000048AA" w:rsidRPr="00483618" w:rsidRDefault="000048AA">
            <w:pPr>
              <w:rPr>
                <w:rFonts w:ascii="Calibri" w:hAnsi="Calibri"/>
                <w:b/>
                <w:color w:val="FFFFFF"/>
                <w:sz w:val="24"/>
                <w:szCs w:val="24"/>
                <w:lang w:val="en-US"/>
              </w:rPr>
            </w:pPr>
            <w:r w:rsidRPr="00483618">
              <w:rPr>
                <w:rFonts w:ascii="Calibri" w:hAnsi="Calibri"/>
                <w:b/>
                <w:color w:val="FFFFFF"/>
                <w:sz w:val="24"/>
                <w:szCs w:val="24"/>
                <w:lang w:val="en-US"/>
              </w:rPr>
              <w:t>(cc) Date of Conclusion of the Forensic Report</w:t>
            </w:r>
          </w:p>
        </w:tc>
      </w:tr>
      <w:tr w:rsidR="000048AA" w:rsidRPr="00483618" w14:paraId="77165DD9" w14:textId="77777777" w:rsidTr="00483618">
        <w:tc>
          <w:tcPr>
            <w:tcW w:w="5697" w:type="dxa"/>
            <w:tcBorders>
              <w:top w:val="single" w:sz="4" w:space="0" w:color="auto"/>
              <w:left w:val="single" w:sz="4" w:space="0" w:color="auto"/>
              <w:bottom w:val="single" w:sz="4" w:space="0" w:color="auto"/>
              <w:right w:val="single" w:sz="4" w:space="0" w:color="auto"/>
            </w:tcBorders>
            <w:hideMark/>
          </w:tcPr>
          <w:p w14:paraId="0B0F35C8" w14:textId="77777777" w:rsidR="000048AA" w:rsidRPr="00483618" w:rsidRDefault="000048AA">
            <w:pPr>
              <w:autoSpaceDE w:val="0"/>
              <w:autoSpaceDN w:val="0"/>
              <w:adjustRightInd w:val="0"/>
              <w:jc w:val="both"/>
              <w:rPr>
                <w:rFonts w:ascii="Calibri" w:hAnsi="Calibri"/>
                <w:sz w:val="24"/>
                <w:szCs w:val="24"/>
                <w:lang w:eastAsia="en-ZA"/>
              </w:rPr>
            </w:pPr>
            <w:r w:rsidRPr="00483618">
              <w:rPr>
                <w:rFonts w:ascii="Calibri" w:hAnsi="Calibri"/>
                <w:sz w:val="24"/>
                <w:szCs w:val="24"/>
                <w:lang w:eastAsia="en-ZA"/>
              </w:rPr>
              <w:t>During the 2011 financial year, an investigation was initiated by the Public Protector to probe whether the hosting of the</w:t>
            </w:r>
          </w:p>
          <w:p w14:paraId="618EF393" w14:textId="77777777" w:rsidR="000048AA" w:rsidRPr="00483618" w:rsidRDefault="000048AA">
            <w:pPr>
              <w:autoSpaceDE w:val="0"/>
              <w:autoSpaceDN w:val="0"/>
              <w:adjustRightInd w:val="0"/>
              <w:jc w:val="both"/>
              <w:rPr>
                <w:rFonts w:ascii="Calibri" w:hAnsi="Calibri"/>
                <w:sz w:val="24"/>
                <w:szCs w:val="24"/>
                <w:lang w:eastAsia="en-GB"/>
              </w:rPr>
            </w:pPr>
            <w:r w:rsidRPr="00483618">
              <w:rPr>
                <w:rFonts w:ascii="Calibri" w:hAnsi="Calibri"/>
                <w:sz w:val="24"/>
                <w:szCs w:val="24"/>
                <w:lang w:eastAsia="en-ZA"/>
              </w:rPr>
              <w:t xml:space="preserve">World Festival of Youth and Students held in December 2010 had been within the NYDA’s mandate, whether the allocated funds had not been misappropriated and whether the relevant supply chain management prescripts had been followed. </w:t>
            </w:r>
          </w:p>
        </w:tc>
        <w:tc>
          <w:tcPr>
            <w:tcW w:w="1134" w:type="dxa"/>
            <w:tcBorders>
              <w:top w:val="single" w:sz="4" w:space="0" w:color="auto"/>
              <w:left w:val="single" w:sz="4" w:space="0" w:color="auto"/>
              <w:bottom w:val="single" w:sz="4" w:space="0" w:color="auto"/>
              <w:right w:val="single" w:sz="4" w:space="0" w:color="auto"/>
            </w:tcBorders>
            <w:hideMark/>
          </w:tcPr>
          <w:p w14:paraId="442337E7" w14:textId="77777777" w:rsidR="000048AA" w:rsidRPr="00483618" w:rsidRDefault="000048AA">
            <w:pPr>
              <w:rPr>
                <w:rFonts w:ascii="Calibri" w:hAnsi="Calibri"/>
                <w:sz w:val="24"/>
                <w:szCs w:val="24"/>
                <w:lang w:val="en-US"/>
              </w:rPr>
            </w:pPr>
            <w:r w:rsidRPr="00483618">
              <w:rPr>
                <w:rFonts w:ascii="Calibri" w:hAnsi="Calibri"/>
                <w:sz w:val="24"/>
                <w:szCs w:val="24"/>
                <w:lang w:val="en-US"/>
              </w:rPr>
              <w:t>External</w:t>
            </w:r>
          </w:p>
        </w:tc>
        <w:tc>
          <w:tcPr>
            <w:tcW w:w="2268" w:type="dxa"/>
            <w:tcBorders>
              <w:top w:val="single" w:sz="4" w:space="0" w:color="auto"/>
              <w:left w:val="single" w:sz="4" w:space="0" w:color="auto"/>
              <w:bottom w:val="single" w:sz="4" w:space="0" w:color="auto"/>
              <w:right w:val="single" w:sz="4" w:space="0" w:color="auto"/>
            </w:tcBorders>
            <w:hideMark/>
          </w:tcPr>
          <w:p w14:paraId="1624692B" w14:textId="77777777" w:rsidR="000048AA" w:rsidRPr="00483618" w:rsidRDefault="000048AA">
            <w:pPr>
              <w:rPr>
                <w:rFonts w:ascii="Calibri" w:hAnsi="Calibri"/>
                <w:sz w:val="24"/>
                <w:szCs w:val="24"/>
                <w:lang w:val="en-US"/>
              </w:rPr>
            </w:pPr>
            <w:r w:rsidRPr="00483618">
              <w:rPr>
                <w:rFonts w:ascii="Calibri" w:hAnsi="Calibri"/>
                <w:sz w:val="24"/>
                <w:szCs w:val="24"/>
                <w:lang w:eastAsia="en-ZA"/>
              </w:rPr>
              <w:t>World Festival of Youth and Students</w:t>
            </w:r>
          </w:p>
        </w:tc>
        <w:tc>
          <w:tcPr>
            <w:tcW w:w="2694" w:type="dxa"/>
            <w:tcBorders>
              <w:top w:val="single" w:sz="4" w:space="0" w:color="auto"/>
              <w:left w:val="single" w:sz="4" w:space="0" w:color="auto"/>
              <w:bottom w:val="single" w:sz="4" w:space="0" w:color="auto"/>
              <w:right w:val="single" w:sz="4" w:space="0" w:color="auto"/>
            </w:tcBorders>
            <w:hideMark/>
          </w:tcPr>
          <w:p w14:paraId="0DE35EB5" w14:textId="77777777" w:rsidR="000048AA" w:rsidRPr="00483618" w:rsidRDefault="000048AA">
            <w:pPr>
              <w:autoSpaceDE w:val="0"/>
              <w:autoSpaceDN w:val="0"/>
              <w:adjustRightInd w:val="0"/>
              <w:rPr>
                <w:rFonts w:ascii="Calibri" w:hAnsi="Calibri"/>
                <w:sz w:val="24"/>
                <w:szCs w:val="24"/>
                <w:lang w:eastAsia="en-ZA"/>
              </w:rPr>
            </w:pPr>
            <w:r w:rsidRPr="00483618">
              <w:rPr>
                <w:rFonts w:ascii="Calibri" w:hAnsi="Calibri"/>
                <w:sz w:val="24"/>
                <w:szCs w:val="24"/>
                <w:lang w:eastAsia="en-ZA"/>
              </w:rPr>
              <w:t>Hosting of the</w:t>
            </w:r>
          </w:p>
          <w:p w14:paraId="66B4EF30" w14:textId="77777777" w:rsidR="000048AA" w:rsidRPr="00483618" w:rsidRDefault="000048AA">
            <w:pPr>
              <w:jc w:val="both"/>
              <w:rPr>
                <w:rFonts w:ascii="Calibri" w:hAnsi="Calibri"/>
                <w:sz w:val="24"/>
                <w:szCs w:val="24"/>
                <w:lang w:val="en-US" w:eastAsia="en-GB"/>
              </w:rPr>
            </w:pPr>
            <w:r w:rsidRPr="00483618">
              <w:rPr>
                <w:rFonts w:ascii="Calibri" w:hAnsi="Calibri"/>
                <w:sz w:val="24"/>
                <w:szCs w:val="24"/>
                <w:lang w:eastAsia="en-ZA"/>
              </w:rPr>
              <w:t>World Festival of Youth and Students event had been within the NYDA’s mandate, whether the allocated funds had not been misappropriated and whether the relevant supply chain management prescripts had been followed.</w:t>
            </w:r>
          </w:p>
        </w:tc>
        <w:tc>
          <w:tcPr>
            <w:tcW w:w="2338" w:type="dxa"/>
            <w:tcBorders>
              <w:top w:val="single" w:sz="4" w:space="0" w:color="auto"/>
              <w:left w:val="single" w:sz="4" w:space="0" w:color="auto"/>
              <w:bottom w:val="single" w:sz="4" w:space="0" w:color="auto"/>
              <w:right w:val="single" w:sz="4" w:space="0" w:color="auto"/>
            </w:tcBorders>
            <w:hideMark/>
          </w:tcPr>
          <w:p w14:paraId="4648EF6F" w14:textId="77777777" w:rsidR="000048AA" w:rsidRPr="00483618" w:rsidRDefault="000048AA">
            <w:pPr>
              <w:rPr>
                <w:rFonts w:ascii="Calibri" w:hAnsi="Calibri"/>
                <w:sz w:val="24"/>
                <w:szCs w:val="24"/>
                <w:lang w:val="en-US"/>
              </w:rPr>
            </w:pPr>
            <w:r w:rsidRPr="00483618">
              <w:rPr>
                <w:rFonts w:ascii="Calibri" w:hAnsi="Calibri"/>
                <w:sz w:val="24"/>
                <w:szCs w:val="24"/>
                <w:lang w:eastAsia="en-ZA"/>
              </w:rPr>
              <w:t xml:space="preserve">To date, a final report had not been released by the Public Protector. </w:t>
            </w:r>
          </w:p>
        </w:tc>
      </w:tr>
      <w:tr w:rsidR="000048AA" w:rsidRPr="00483618" w14:paraId="58FF8CAA" w14:textId="77777777" w:rsidTr="00483618">
        <w:tc>
          <w:tcPr>
            <w:tcW w:w="5697" w:type="dxa"/>
            <w:tcBorders>
              <w:top w:val="single" w:sz="4" w:space="0" w:color="auto"/>
              <w:left w:val="single" w:sz="4" w:space="0" w:color="auto"/>
              <w:bottom w:val="single" w:sz="4" w:space="0" w:color="auto"/>
              <w:right w:val="single" w:sz="4" w:space="0" w:color="auto"/>
            </w:tcBorders>
            <w:hideMark/>
          </w:tcPr>
          <w:p w14:paraId="301B3695" w14:textId="77777777" w:rsidR="000048AA" w:rsidRPr="00483618" w:rsidRDefault="000048AA">
            <w:pPr>
              <w:jc w:val="both"/>
              <w:rPr>
                <w:rFonts w:ascii="Calibri" w:hAnsi="Calibri"/>
                <w:color w:val="000000"/>
                <w:sz w:val="24"/>
                <w:szCs w:val="24"/>
              </w:rPr>
            </w:pPr>
            <w:r w:rsidRPr="00483618">
              <w:rPr>
                <w:rFonts w:ascii="Calibri" w:hAnsi="Calibri"/>
                <w:color w:val="000000"/>
                <w:sz w:val="24"/>
                <w:szCs w:val="24"/>
                <w:lang w:val="en-US"/>
              </w:rPr>
              <w:t>Account Payable Manager Fraud</w:t>
            </w:r>
          </w:p>
        </w:tc>
        <w:tc>
          <w:tcPr>
            <w:tcW w:w="1134" w:type="dxa"/>
            <w:tcBorders>
              <w:top w:val="single" w:sz="4" w:space="0" w:color="auto"/>
              <w:left w:val="single" w:sz="4" w:space="0" w:color="auto"/>
              <w:bottom w:val="single" w:sz="4" w:space="0" w:color="auto"/>
              <w:right w:val="single" w:sz="4" w:space="0" w:color="auto"/>
            </w:tcBorders>
            <w:hideMark/>
          </w:tcPr>
          <w:p w14:paraId="1F09C993"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Internal</w:t>
            </w:r>
          </w:p>
        </w:tc>
        <w:tc>
          <w:tcPr>
            <w:tcW w:w="2268" w:type="dxa"/>
            <w:tcBorders>
              <w:top w:val="single" w:sz="4" w:space="0" w:color="auto"/>
              <w:left w:val="single" w:sz="4" w:space="0" w:color="auto"/>
              <w:bottom w:val="single" w:sz="4" w:space="0" w:color="auto"/>
              <w:right w:val="single" w:sz="4" w:space="0" w:color="auto"/>
            </w:tcBorders>
            <w:hideMark/>
          </w:tcPr>
          <w:p w14:paraId="5586BEE7"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Account Payable Fraud</w:t>
            </w:r>
          </w:p>
        </w:tc>
        <w:tc>
          <w:tcPr>
            <w:tcW w:w="2694" w:type="dxa"/>
            <w:tcBorders>
              <w:top w:val="single" w:sz="4" w:space="0" w:color="auto"/>
              <w:left w:val="single" w:sz="4" w:space="0" w:color="auto"/>
              <w:bottom w:val="single" w:sz="4" w:space="0" w:color="auto"/>
              <w:right w:val="single" w:sz="4" w:space="0" w:color="auto"/>
            </w:tcBorders>
            <w:hideMark/>
          </w:tcPr>
          <w:p w14:paraId="2D568E18" w14:textId="77777777" w:rsidR="000048AA" w:rsidRPr="00483618" w:rsidRDefault="000048AA">
            <w:pPr>
              <w:jc w:val="both"/>
              <w:rPr>
                <w:rFonts w:ascii="Calibri" w:hAnsi="Calibri"/>
                <w:color w:val="000000"/>
                <w:sz w:val="24"/>
                <w:szCs w:val="24"/>
                <w:lang w:val="en-US"/>
              </w:rPr>
            </w:pPr>
            <w:r w:rsidRPr="00483618">
              <w:rPr>
                <w:rFonts w:ascii="Calibri" w:hAnsi="Calibri"/>
                <w:color w:val="000000"/>
                <w:sz w:val="24"/>
                <w:szCs w:val="24"/>
                <w:lang w:val="en-US"/>
              </w:rPr>
              <w:t>Diverting funds to her accounts – fraud detection and funds recovery done.</w:t>
            </w:r>
          </w:p>
        </w:tc>
        <w:tc>
          <w:tcPr>
            <w:tcW w:w="2338" w:type="dxa"/>
            <w:tcBorders>
              <w:top w:val="single" w:sz="4" w:space="0" w:color="auto"/>
              <w:left w:val="single" w:sz="4" w:space="0" w:color="auto"/>
              <w:bottom w:val="single" w:sz="4" w:space="0" w:color="auto"/>
              <w:right w:val="single" w:sz="4" w:space="0" w:color="auto"/>
            </w:tcBorders>
            <w:hideMark/>
          </w:tcPr>
          <w:p w14:paraId="6C95F0F4"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 xml:space="preserve">30 September 2016 </w:t>
            </w:r>
          </w:p>
          <w:p w14:paraId="4F49B05C"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Case closed</w:t>
            </w:r>
          </w:p>
        </w:tc>
      </w:tr>
      <w:tr w:rsidR="000048AA" w:rsidRPr="00483618" w14:paraId="14757DAC" w14:textId="77777777" w:rsidTr="00483618">
        <w:tc>
          <w:tcPr>
            <w:tcW w:w="5697" w:type="dxa"/>
            <w:tcBorders>
              <w:top w:val="single" w:sz="4" w:space="0" w:color="auto"/>
              <w:left w:val="single" w:sz="4" w:space="0" w:color="auto"/>
              <w:bottom w:val="single" w:sz="4" w:space="0" w:color="auto"/>
              <w:right w:val="single" w:sz="4" w:space="0" w:color="auto"/>
            </w:tcBorders>
            <w:hideMark/>
          </w:tcPr>
          <w:p w14:paraId="5EC44E64" w14:textId="77777777" w:rsidR="000048AA" w:rsidRPr="00483618" w:rsidRDefault="000048AA">
            <w:pPr>
              <w:jc w:val="both"/>
              <w:rPr>
                <w:rFonts w:ascii="Calibri" w:hAnsi="Calibri"/>
                <w:color w:val="000000"/>
                <w:sz w:val="24"/>
                <w:szCs w:val="24"/>
                <w:lang w:val="en-US"/>
              </w:rPr>
            </w:pPr>
            <w:r w:rsidRPr="00483618">
              <w:rPr>
                <w:rFonts w:ascii="Calibri" w:hAnsi="Calibri"/>
                <w:color w:val="000000"/>
                <w:sz w:val="24"/>
                <w:szCs w:val="24"/>
                <w:lang w:val="en-US"/>
              </w:rPr>
              <w:t>Economic Development DJ project</w:t>
            </w:r>
          </w:p>
        </w:tc>
        <w:tc>
          <w:tcPr>
            <w:tcW w:w="1134" w:type="dxa"/>
            <w:tcBorders>
              <w:top w:val="single" w:sz="4" w:space="0" w:color="auto"/>
              <w:left w:val="single" w:sz="4" w:space="0" w:color="auto"/>
              <w:bottom w:val="single" w:sz="4" w:space="0" w:color="auto"/>
              <w:right w:val="single" w:sz="4" w:space="0" w:color="auto"/>
            </w:tcBorders>
            <w:hideMark/>
          </w:tcPr>
          <w:p w14:paraId="2C003D1A"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Internal</w:t>
            </w:r>
          </w:p>
        </w:tc>
        <w:tc>
          <w:tcPr>
            <w:tcW w:w="2268" w:type="dxa"/>
            <w:tcBorders>
              <w:top w:val="single" w:sz="4" w:space="0" w:color="auto"/>
              <w:left w:val="single" w:sz="4" w:space="0" w:color="auto"/>
              <w:bottom w:val="single" w:sz="4" w:space="0" w:color="auto"/>
              <w:right w:val="single" w:sz="4" w:space="0" w:color="auto"/>
            </w:tcBorders>
            <w:hideMark/>
          </w:tcPr>
          <w:p w14:paraId="2034E211"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DJ project</w:t>
            </w:r>
          </w:p>
        </w:tc>
        <w:tc>
          <w:tcPr>
            <w:tcW w:w="2694" w:type="dxa"/>
            <w:tcBorders>
              <w:top w:val="single" w:sz="4" w:space="0" w:color="auto"/>
              <w:left w:val="single" w:sz="4" w:space="0" w:color="auto"/>
              <w:bottom w:val="single" w:sz="4" w:space="0" w:color="auto"/>
              <w:right w:val="single" w:sz="4" w:space="0" w:color="auto"/>
            </w:tcBorders>
            <w:hideMark/>
          </w:tcPr>
          <w:p w14:paraId="27D174ED" w14:textId="77777777" w:rsidR="000048AA" w:rsidRPr="00483618" w:rsidRDefault="000048AA">
            <w:pPr>
              <w:jc w:val="both"/>
              <w:rPr>
                <w:rFonts w:ascii="Calibri" w:hAnsi="Calibri"/>
                <w:color w:val="000000"/>
                <w:sz w:val="24"/>
                <w:szCs w:val="24"/>
                <w:lang w:val="en-US"/>
              </w:rPr>
            </w:pPr>
            <w:r w:rsidRPr="00483618">
              <w:rPr>
                <w:rFonts w:ascii="Calibri" w:hAnsi="Calibri"/>
                <w:color w:val="000000"/>
                <w:sz w:val="24"/>
                <w:szCs w:val="24"/>
                <w:lang w:val="en-US"/>
              </w:rPr>
              <w:t xml:space="preserve">Supply of young DJ’s with DJ equipment, working </w:t>
            </w:r>
            <w:r w:rsidRPr="00483618">
              <w:rPr>
                <w:rFonts w:ascii="Calibri" w:hAnsi="Calibri"/>
                <w:color w:val="000000"/>
                <w:sz w:val="24"/>
                <w:szCs w:val="24"/>
                <w:lang w:val="en-US"/>
              </w:rPr>
              <w:lastRenderedPageBreak/>
              <w:t xml:space="preserve">capital and related branding </w:t>
            </w:r>
          </w:p>
        </w:tc>
        <w:tc>
          <w:tcPr>
            <w:tcW w:w="2338" w:type="dxa"/>
            <w:tcBorders>
              <w:top w:val="single" w:sz="4" w:space="0" w:color="auto"/>
              <w:left w:val="single" w:sz="4" w:space="0" w:color="auto"/>
              <w:bottom w:val="single" w:sz="4" w:space="0" w:color="auto"/>
              <w:right w:val="single" w:sz="4" w:space="0" w:color="auto"/>
            </w:tcBorders>
            <w:hideMark/>
          </w:tcPr>
          <w:p w14:paraId="297F7E44" w14:textId="77777777" w:rsidR="000048AA" w:rsidRPr="00483618" w:rsidRDefault="000048AA">
            <w:pPr>
              <w:jc w:val="both"/>
              <w:rPr>
                <w:rFonts w:ascii="Calibri" w:hAnsi="Calibri"/>
                <w:color w:val="000000"/>
                <w:sz w:val="24"/>
                <w:szCs w:val="24"/>
                <w:lang w:val="en-US"/>
              </w:rPr>
            </w:pPr>
            <w:r w:rsidRPr="00483618">
              <w:rPr>
                <w:rFonts w:ascii="Calibri" w:hAnsi="Calibri"/>
                <w:color w:val="000000"/>
                <w:sz w:val="24"/>
                <w:szCs w:val="24"/>
                <w:lang w:val="en-US"/>
              </w:rPr>
              <w:lastRenderedPageBreak/>
              <w:t xml:space="preserve">31 December 2013 </w:t>
            </w:r>
          </w:p>
          <w:p w14:paraId="1B1BCC33" w14:textId="77777777" w:rsidR="000048AA" w:rsidRPr="00483618" w:rsidRDefault="000048AA">
            <w:pPr>
              <w:jc w:val="both"/>
              <w:rPr>
                <w:rFonts w:ascii="Calibri" w:hAnsi="Calibri"/>
                <w:color w:val="000000"/>
                <w:sz w:val="24"/>
                <w:szCs w:val="24"/>
                <w:lang w:val="en-US"/>
              </w:rPr>
            </w:pPr>
            <w:r w:rsidRPr="00483618">
              <w:rPr>
                <w:rFonts w:ascii="Calibri" w:hAnsi="Calibri"/>
                <w:color w:val="000000"/>
                <w:sz w:val="24"/>
                <w:szCs w:val="24"/>
                <w:lang w:val="en-US"/>
              </w:rPr>
              <w:t>Case closed</w:t>
            </w:r>
          </w:p>
        </w:tc>
      </w:tr>
      <w:tr w:rsidR="000048AA" w:rsidRPr="00483618" w14:paraId="30BEEE40" w14:textId="77777777" w:rsidTr="00483618">
        <w:tc>
          <w:tcPr>
            <w:tcW w:w="5697" w:type="dxa"/>
            <w:tcBorders>
              <w:top w:val="single" w:sz="4" w:space="0" w:color="auto"/>
              <w:left w:val="single" w:sz="4" w:space="0" w:color="auto"/>
              <w:bottom w:val="single" w:sz="4" w:space="0" w:color="auto"/>
              <w:right w:val="single" w:sz="4" w:space="0" w:color="auto"/>
            </w:tcBorders>
          </w:tcPr>
          <w:p w14:paraId="7A62EB59" w14:textId="77777777" w:rsidR="000048AA" w:rsidRPr="00483618" w:rsidRDefault="000048AA">
            <w:pPr>
              <w:jc w:val="both"/>
              <w:rPr>
                <w:rFonts w:ascii="Calibri" w:hAnsi="Calibri"/>
                <w:color w:val="000000"/>
                <w:sz w:val="24"/>
                <w:szCs w:val="24"/>
                <w:lang w:val="en-US"/>
              </w:rPr>
            </w:pPr>
            <w:r w:rsidRPr="00483618">
              <w:rPr>
                <w:rFonts w:ascii="Calibri" w:hAnsi="Calibri"/>
                <w:color w:val="000000"/>
                <w:sz w:val="24"/>
                <w:szCs w:val="24"/>
                <w:lang w:val="en-US"/>
              </w:rPr>
              <w:lastRenderedPageBreak/>
              <w:t>Qualification review</w:t>
            </w:r>
          </w:p>
          <w:p w14:paraId="3FEBBA8E" w14:textId="77777777" w:rsidR="000048AA" w:rsidRPr="00483618" w:rsidRDefault="000048AA">
            <w:pPr>
              <w:jc w:val="both"/>
              <w:rPr>
                <w:rFonts w:ascii="Calibri" w:hAnsi="Calibr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160B1ED"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Internal</w:t>
            </w:r>
          </w:p>
        </w:tc>
        <w:tc>
          <w:tcPr>
            <w:tcW w:w="2268" w:type="dxa"/>
            <w:tcBorders>
              <w:top w:val="single" w:sz="4" w:space="0" w:color="auto"/>
              <w:left w:val="single" w:sz="4" w:space="0" w:color="auto"/>
              <w:bottom w:val="single" w:sz="4" w:space="0" w:color="auto"/>
              <w:right w:val="single" w:sz="4" w:space="0" w:color="auto"/>
            </w:tcBorders>
            <w:hideMark/>
          </w:tcPr>
          <w:p w14:paraId="0596B0DC"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Qualification Audit</w:t>
            </w:r>
          </w:p>
        </w:tc>
        <w:tc>
          <w:tcPr>
            <w:tcW w:w="2694" w:type="dxa"/>
            <w:tcBorders>
              <w:top w:val="single" w:sz="4" w:space="0" w:color="auto"/>
              <w:left w:val="single" w:sz="4" w:space="0" w:color="auto"/>
              <w:bottom w:val="single" w:sz="4" w:space="0" w:color="auto"/>
              <w:right w:val="single" w:sz="4" w:space="0" w:color="auto"/>
            </w:tcBorders>
            <w:hideMark/>
          </w:tcPr>
          <w:p w14:paraId="010BA0A6"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Review of qualification listed on employees CVs</w:t>
            </w:r>
          </w:p>
        </w:tc>
        <w:tc>
          <w:tcPr>
            <w:tcW w:w="2338" w:type="dxa"/>
            <w:tcBorders>
              <w:top w:val="single" w:sz="4" w:space="0" w:color="auto"/>
              <w:left w:val="single" w:sz="4" w:space="0" w:color="auto"/>
              <w:bottom w:val="single" w:sz="4" w:space="0" w:color="auto"/>
              <w:right w:val="single" w:sz="4" w:space="0" w:color="auto"/>
            </w:tcBorders>
            <w:hideMark/>
          </w:tcPr>
          <w:p w14:paraId="361EA0AD" w14:textId="77777777" w:rsidR="000048AA" w:rsidRPr="00483618" w:rsidRDefault="000048AA">
            <w:pPr>
              <w:jc w:val="both"/>
              <w:rPr>
                <w:rFonts w:ascii="Calibri" w:hAnsi="Calibri"/>
                <w:color w:val="000000"/>
                <w:sz w:val="24"/>
                <w:szCs w:val="24"/>
                <w:lang w:val="en-US"/>
              </w:rPr>
            </w:pPr>
            <w:r w:rsidRPr="00483618">
              <w:rPr>
                <w:rFonts w:ascii="Calibri" w:hAnsi="Calibri"/>
                <w:color w:val="000000"/>
                <w:sz w:val="24"/>
                <w:szCs w:val="24"/>
                <w:lang w:val="en-US"/>
              </w:rPr>
              <w:t xml:space="preserve">31 December 2015 </w:t>
            </w:r>
          </w:p>
          <w:p w14:paraId="5006D24F" w14:textId="77777777" w:rsidR="000048AA" w:rsidRPr="00483618" w:rsidRDefault="000048AA">
            <w:pPr>
              <w:jc w:val="both"/>
              <w:rPr>
                <w:rFonts w:ascii="Calibri" w:hAnsi="Calibri"/>
                <w:color w:val="000000"/>
                <w:sz w:val="24"/>
                <w:szCs w:val="24"/>
                <w:lang w:val="en-US"/>
              </w:rPr>
            </w:pPr>
            <w:r w:rsidRPr="00483618">
              <w:rPr>
                <w:rFonts w:ascii="Calibri" w:hAnsi="Calibri"/>
                <w:color w:val="000000"/>
                <w:sz w:val="24"/>
                <w:szCs w:val="24"/>
                <w:lang w:val="en-US"/>
              </w:rPr>
              <w:t>Case closed</w:t>
            </w:r>
          </w:p>
        </w:tc>
      </w:tr>
      <w:tr w:rsidR="000048AA" w:rsidRPr="00483618" w14:paraId="11E08957" w14:textId="77777777" w:rsidTr="00483618">
        <w:tc>
          <w:tcPr>
            <w:tcW w:w="5697" w:type="dxa"/>
            <w:tcBorders>
              <w:top w:val="single" w:sz="4" w:space="0" w:color="auto"/>
              <w:left w:val="single" w:sz="4" w:space="0" w:color="auto"/>
              <w:bottom w:val="single" w:sz="4" w:space="0" w:color="auto"/>
              <w:right w:val="single" w:sz="4" w:space="0" w:color="auto"/>
            </w:tcBorders>
            <w:hideMark/>
          </w:tcPr>
          <w:p w14:paraId="27C6E704" w14:textId="77777777" w:rsidR="000048AA" w:rsidRPr="00483618" w:rsidRDefault="000048AA">
            <w:pPr>
              <w:jc w:val="both"/>
              <w:rPr>
                <w:rFonts w:ascii="Calibri" w:hAnsi="Calibri"/>
                <w:color w:val="000000"/>
                <w:sz w:val="24"/>
                <w:szCs w:val="24"/>
                <w:lang w:val="en-US"/>
              </w:rPr>
            </w:pPr>
            <w:r w:rsidRPr="00483618">
              <w:rPr>
                <w:rFonts w:ascii="Calibri" w:hAnsi="Calibri"/>
                <w:sz w:val="24"/>
                <w:szCs w:val="24"/>
              </w:rPr>
              <w:t>Fraudulent activity in the Group Lending Programme at the East London Branch Office. The report named two specific group loans (Masiqandane and Khanya Group Loans).</w:t>
            </w:r>
          </w:p>
        </w:tc>
        <w:tc>
          <w:tcPr>
            <w:tcW w:w="1134" w:type="dxa"/>
            <w:tcBorders>
              <w:top w:val="single" w:sz="4" w:space="0" w:color="auto"/>
              <w:left w:val="single" w:sz="4" w:space="0" w:color="auto"/>
              <w:bottom w:val="single" w:sz="4" w:space="0" w:color="auto"/>
              <w:right w:val="single" w:sz="4" w:space="0" w:color="auto"/>
            </w:tcBorders>
            <w:hideMark/>
          </w:tcPr>
          <w:p w14:paraId="14994F29" w14:textId="77777777" w:rsidR="000048AA" w:rsidRPr="00483618" w:rsidRDefault="000048AA">
            <w:pPr>
              <w:rPr>
                <w:rFonts w:ascii="Calibri" w:hAnsi="Calibri"/>
                <w:color w:val="000000"/>
                <w:sz w:val="24"/>
                <w:szCs w:val="24"/>
                <w:lang w:val="en-US"/>
              </w:rPr>
            </w:pPr>
            <w:r w:rsidRPr="00483618">
              <w:rPr>
                <w:rFonts w:ascii="Calibri" w:hAnsi="Calibri"/>
                <w:color w:val="000000"/>
                <w:sz w:val="24"/>
                <w:szCs w:val="24"/>
                <w:lang w:val="en-US"/>
              </w:rPr>
              <w:t>Internal</w:t>
            </w:r>
          </w:p>
        </w:tc>
        <w:tc>
          <w:tcPr>
            <w:tcW w:w="2268" w:type="dxa"/>
            <w:tcBorders>
              <w:top w:val="single" w:sz="4" w:space="0" w:color="auto"/>
              <w:left w:val="single" w:sz="4" w:space="0" w:color="auto"/>
              <w:bottom w:val="single" w:sz="4" w:space="0" w:color="auto"/>
              <w:right w:val="single" w:sz="4" w:space="0" w:color="auto"/>
            </w:tcBorders>
            <w:hideMark/>
          </w:tcPr>
          <w:p w14:paraId="587E8F0A" w14:textId="77777777" w:rsidR="000048AA" w:rsidRPr="00483618" w:rsidRDefault="000048AA">
            <w:pPr>
              <w:rPr>
                <w:rFonts w:ascii="Calibri" w:hAnsi="Calibri"/>
                <w:color w:val="000000"/>
                <w:sz w:val="24"/>
                <w:szCs w:val="24"/>
                <w:lang w:val="en-US"/>
              </w:rPr>
            </w:pPr>
            <w:r w:rsidRPr="00483618">
              <w:rPr>
                <w:rFonts w:ascii="Calibri" w:hAnsi="Calibri"/>
                <w:sz w:val="24"/>
                <w:szCs w:val="24"/>
              </w:rPr>
              <w:t>Group Loan</w:t>
            </w:r>
          </w:p>
        </w:tc>
        <w:tc>
          <w:tcPr>
            <w:tcW w:w="2694" w:type="dxa"/>
            <w:tcBorders>
              <w:top w:val="single" w:sz="4" w:space="0" w:color="auto"/>
              <w:left w:val="single" w:sz="4" w:space="0" w:color="auto"/>
              <w:bottom w:val="single" w:sz="4" w:space="0" w:color="auto"/>
              <w:right w:val="single" w:sz="4" w:space="0" w:color="auto"/>
            </w:tcBorders>
            <w:hideMark/>
          </w:tcPr>
          <w:p w14:paraId="0A4266DA" w14:textId="77777777" w:rsidR="000048AA" w:rsidRPr="00483618" w:rsidRDefault="000048AA">
            <w:pPr>
              <w:rPr>
                <w:rFonts w:ascii="Calibri" w:hAnsi="Calibri"/>
                <w:color w:val="000000"/>
                <w:sz w:val="24"/>
                <w:szCs w:val="24"/>
                <w:lang w:val="en-US"/>
              </w:rPr>
            </w:pPr>
            <w:r w:rsidRPr="00483618">
              <w:rPr>
                <w:rFonts w:ascii="Calibri" w:hAnsi="Calibri"/>
                <w:sz w:val="24"/>
                <w:szCs w:val="24"/>
              </w:rPr>
              <w:t>Fraudulent loan</w:t>
            </w:r>
          </w:p>
        </w:tc>
        <w:tc>
          <w:tcPr>
            <w:tcW w:w="2338" w:type="dxa"/>
            <w:tcBorders>
              <w:top w:val="single" w:sz="4" w:space="0" w:color="auto"/>
              <w:left w:val="single" w:sz="4" w:space="0" w:color="auto"/>
              <w:bottom w:val="single" w:sz="4" w:space="0" w:color="auto"/>
              <w:right w:val="single" w:sz="4" w:space="0" w:color="auto"/>
            </w:tcBorders>
            <w:hideMark/>
          </w:tcPr>
          <w:p w14:paraId="3070621C" w14:textId="77777777" w:rsidR="000048AA" w:rsidRPr="00483618" w:rsidRDefault="000048AA">
            <w:pPr>
              <w:jc w:val="both"/>
              <w:rPr>
                <w:rFonts w:ascii="Calibri" w:hAnsi="Calibri"/>
                <w:sz w:val="24"/>
                <w:szCs w:val="24"/>
                <w:lang w:val="en-GB"/>
              </w:rPr>
            </w:pPr>
            <w:r w:rsidRPr="00483618">
              <w:rPr>
                <w:rFonts w:ascii="Calibri" w:hAnsi="Calibri"/>
                <w:sz w:val="24"/>
                <w:szCs w:val="24"/>
              </w:rPr>
              <w:t xml:space="preserve">05 November 2013 </w:t>
            </w:r>
          </w:p>
          <w:p w14:paraId="62708664" w14:textId="77777777" w:rsidR="000048AA" w:rsidRPr="00483618" w:rsidRDefault="000048AA">
            <w:pPr>
              <w:jc w:val="both"/>
              <w:rPr>
                <w:rFonts w:ascii="Calibri" w:hAnsi="Calibri"/>
                <w:color w:val="000000"/>
                <w:sz w:val="24"/>
                <w:szCs w:val="24"/>
                <w:lang w:val="en-US"/>
              </w:rPr>
            </w:pPr>
            <w:r w:rsidRPr="00483618">
              <w:rPr>
                <w:rFonts w:ascii="Calibri" w:hAnsi="Calibri"/>
                <w:sz w:val="24"/>
                <w:szCs w:val="24"/>
              </w:rPr>
              <w:t xml:space="preserve">Case closed </w:t>
            </w:r>
          </w:p>
        </w:tc>
      </w:tr>
    </w:tbl>
    <w:p w14:paraId="6E018E5E" w14:textId="77777777" w:rsidR="00483618" w:rsidRDefault="00485F53" w:rsidP="00483618">
      <w:pPr>
        <w:rPr>
          <w:rFonts w:ascii="Calibri" w:hAnsi="Calibri"/>
          <w:b/>
          <w:sz w:val="20"/>
          <w:szCs w:val="20"/>
          <w:lang w:val="en-US"/>
        </w:rPr>
      </w:pPr>
      <w:r w:rsidRPr="00483618">
        <w:rPr>
          <w:rFonts w:ascii="Calibri" w:hAnsi="Calibri"/>
          <w:b/>
          <w:sz w:val="20"/>
          <w:szCs w:val="20"/>
          <w:lang w:val="en-US"/>
        </w:rPr>
        <w:t xml:space="preserve"> </w:t>
      </w:r>
    </w:p>
    <w:p w14:paraId="4CBF9C17" w14:textId="77777777" w:rsidR="006F2944" w:rsidRPr="003A6E5D" w:rsidRDefault="00485F53" w:rsidP="00FC6D0A">
      <w:pPr>
        <w:rPr>
          <w:rFonts w:eastAsia="Calibri" w:cs="Arial"/>
          <w:lang w:val="en-GB"/>
        </w:rPr>
      </w:pPr>
      <w:r>
        <w:rPr>
          <w:rFonts w:ascii="Calibri" w:hAnsi="Calibri"/>
          <w:b/>
          <w:sz w:val="16"/>
          <w:szCs w:val="16"/>
          <w:lang w:val="en-US"/>
        </w:rPr>
        <w:t xml:space="preserve"> </w:t>
      </w:r>
    </w:p>
    <w:p w14:paraId="6DD40694" w14:textId="77777777" w:rsidR="009B2D6B" w:rsidRPr="006F2944" w:rsidRDefault="009B2D6B">
      <w:pPr>
        <w:rPr>
          <w:sz w:val="28"/>
          <w:szCs w:val="28"/>
        </w:rPr>
      </w:pPr>
    </w:p>
    <w:sectPr w:rsidR="009B2D6B" w:rsidRPr="006F2944" w:rsidSect="0048361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C4A5" w14:textId="77777777" w:rsidR="00D60700" w:rsidRDefault="00D60700" w:rsidP="009B2D6B">
      <w:pPr>
        <w:spacing w:after="0" w:line="240" w:lineRule="auto"/>
      </w:pPr>
      <w:r>
        <w:separator/>
      </w:r>
    </w:p>
  </w:endnote>
  <w:endnote w:type="continuationSeparator" w:id="0">
    <w:p w14:paraId="26303152" w14:textId="77777777" w:rsidR="00D60700" w:rsidRDefault="00D60700" w:rsidP="009B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D8B92" w14:textId="77777777" w:rsidR="00D60700" w:rsidRDefault="00D60700" w:rsidP="009B2D6B">
      <w:pPr>
        <w:spacing w:after="0" w:line="240" w:lineRule="auto"/>
      </w:pPr>
      <w:r>
        <w:separator/>
      </w:r>
    </w:p>
  </w:footnote>
  <w:footnote w:type="continuationSeparator" w:id="0">
    <w:p w14:paraId="35ACC005" w14:textId="77777777" w:rsidR="00D60700" w:rsidRDefault="00D60700" w:rsidP="009B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0383678"/>
      <w:docPartObj>
        <w:docPartGallery w:val="Page Numbers (Top of Page)"/>
        <w:docPartUnique/>
      </w:docPartObj>
    </w:sdtPr>
    <w:sdtEndPr/>
    <w:sdtContent>
      <w:p w14:paraId="4B8518CB" w14:textId="77777777" w:rsidR="009B2D6B" w:rsidRPr="009B2D6B" w:rsidRDefault="009B2D6B" w:rsidP="009B2D6B">
        <w:pPr>
          <w:pStyle w:val="Header"/>
          <w:rPr>
            <w:lang w:val="en-GB"/>
          </w:rPr>
        </w:pPr>
        <w:r w:rsidRPr="009B2D6B">
          <w:rPr>
            <w:i/>
            <w:lang w:val="en-GB"/>
          </w:rPr>
          <w:t>Friday, 21 October 2016</w:t>
        </w:r>
        <w:r w:rsidRPr="009B2D6B">
          <w:rPr>
            <w:i/>
            <w:lang w:val="en-GB"/>
          </w:rPr>
          <w:tab/>
        </w:r>
        <w:r w:rsidRPr="009B2D6B">
          <w:rPr>
            <w:lang w:val="en-GB"/>
          </w:rPr>
          <w:fldChar w:fldCharType="begin"/>
        </w:r>
        <w:r w:rsidRPr="009B2D6B">
          <w:rPr>
            <w:lang w:val="en-GB"/>
          </w:rPr>
          <w:instrText xml:space="preserve"> PAGE   \* MERGEFORMAT </w:instrText>
        </w:r>
        <w:r w:rsidRPr="009B2D6B">
          <w:rPr>
            <w:lang w:val="en-GB"/>
          </w:rPr>
          <w:fldChar w:fldCharType="separate"/>
        </w:r>
        <w:r w:rsidR="00AB0411">
          <w:rPr>
            <w:noProof/>
            <w:lang w:val="en-GB"/>
          </w:rPr>
          <w:t>2</w:t>
        </w:r>
        <w:r w:rsidRPr="009B2D6B">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6B"/>
    <w:rsid w:val="000048AA"/>
    <w:rsid w:val="000A01CB"/>
    <w:rsid w:val="00154D38"/>
    <w:rsid w:val="00156237"/>
    <w:rsid w:val="001A1B77"/>
    <w:rsid w:val="002B3E4B"/>
    <w:rsid w:val="002E3E2C"/>
    <w:rsid w:val="003A6E5D"/>
    <w:rsid w:val="00407474"/>
    <w:rsid w:val="00483618"/>
    <w:rsid w:val="00485F53"/>
    <w:rsid w:val="006F2944"/>
    <w:rsid w:val="009B2D6B"/>
    <w:rsid w:val="00A37C28"/>
    <w:rsid w:val="00AB0411"/>
    <w:rsid w:val="00D60700"/>
    <w:rsid w:val="00E70CE7"/>
    <w:rsid w:val="00FC6D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396D"/>
  <w15:docId w15:val="{9E3732BA-3EAC-4C75-B3FA-7142B58C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6B"/>
    <w:pPr>
      <w:spacing w:after="160" w:line="259" w:lineRule="auto"/>
    </w:pPr>
  </w:style>
  <w:style w:type="paragraph" w:styleId="Heading1">
    <w:name w:val="heading 1"/>
    <w:basedOn w:val="Normal"/>
    <w:next w:val="Normal"/>
    <w:link w:val="Heading1Char"/>
    <w:qFormat/>
    <w:rsid w:val="009B2D6B"/>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D6B"/>
  </w:style>
  <w:style w:type="paragraph" w:styleId="Footer">
    <w:name w:val="footer"/>
    <w:basedOn w:val="Normal"/>
    <w:link w:val="FooterChar"/>
    <w:uiPriority w:val="99"/>
    <w:unhideWhenUsed/>
    <w:rsid w:val="009B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D6B"/>
  </w:style>
  <w:style w:type="paragraph" w:styleId="BalloonText">
    <w:name w:val="Balloon Text"/>
    <w:basedOn w:val="Normal"/>
    <w:link w:val="BalloonTextChar"/>
    <w:uiPriority w:val="99"/>
    <w:semiHidden/>
    <w:unhideWhenUsed/>
    <w:rsid w:val="009B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6B"/>
    <w:rPr>
      <w:rFonts w:ascii="Tahoma" w:hAnsi="Tahoma" w:cs="Tahoma"/>
      <w:sz w:val="16"/>
      <w:szCs w:val="16"/>
    </w:rPr>
  </w:style>
  <w:style w:type="character" w:customStyle="1" w:styleId="Heading1Char">
    <w:name w:val="Heading 1 Char"/>
    <w:basedOn w:val="DefaultParagraphFont"/>
    <w:link w:val="Heading1"/>
    <w:rsid w:val="009B2D6B"/>
    <w:rPr>
      <w:rFonts w:ascii="Arial" w:eastAsia="Times New Roman" w:hAnsi="Arial" w:cs="Arial"/>
      <w:b/>
      <w:bCs/>
      <w:kern w:val="32"/>
      <w:sz w:val="32"/>
      <w:szCs w:val="32"/>
      <w:lang w:val="en-GB"/>
    </w:rPr>
  </w:style>
  <w:style w:type="character" w:styleId="Hyperlink">
    <w:name w:val="Hyperlink"/>
    <w:uiPriority w:val="99"/>
    <w:rsid w:val="006F2944"/>
    <w:rPr>
      <w:color w:val="0000FF"/>
      <w:u w:val="single"/>
    </w:rPr>
  </w:style>
  <w:style w:type="table" w:customStyle="1" w:styleId="TableGrid1">
    <w:name w:val="Table Grid1"/>
    <w:basedOn w:val="TableNormal"/>
    <w:next w:val="TableGrid"/>
    <w:uiPriority w:val="59"/>
    <w:rsid w:val="006F2944"/>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F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e.gov.z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Madale</dc:creator>
  <cp:lastModifiedBy>Sehlabela Chuene</cp:lastModifiedBy>
  <cp:revision>2</cp:revision>
  <cp:lastPrinted>2016-11-01T11:31:00Z</cp:lastPrinted>
  <dcterms:created xsi:type="dcterms:W3CDTF">2016-11-02T10:15:00Z</dcterms:created>
  <dcterms:modified xsi:type="dcterms:W3CDTF">2016-11-02T10:15:00Z</dcterms:modified>
</cp:coreProperties>
</file>