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3A7" w:rsidRDefault="00D513A7" w:rsidP="00D513A7">
      <w:pPr>
        <w:jc w:val="center"/>
        <w:rPr>
          <w:sz w:val="24"/>
          <w:szCs w:val="24"/>
        </w:rPr>
      </w:pPr>
      <w:r>
        <w:rPr>
          <w:noProof/>
          <w:sz w:val="24"/>
          <w:szCs w:val="24"/>
          <w:lang w:val="en-ZA" w:eastAsia="en-ZA"/>
        </w:rPr>
        <w:drawing>
          <wp:inline distT="0" distB="0" distL="0" distR="0">
            <wp:extent cx="2208530" cy="1449070"/>
            <wp:effectExtent l="0" t="0" r="1270" b="0"/>
            <wp:docPr id="2" name="Picture 2"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8530" cy="1449070"/>
                    </a:xfrm>
                    <a:prstGeom prst="rect">
                      <a:avLst/>
                    </a:prstGeom>
                    <a:noFill/>
                    <a:ln>
                      <a:noFill/>
                    </a:ln>
                  </pic:spPr>
                </pic:pic>
              </a:graphicData>
            </a:graphic>
          </wp:inline>
        </w:drawing>
      </w:r>
    </w:p>
    <w:p w:rsidR="00D513A7" w:rsidRDefault="00D513A7" w:rsidP="00D513A7">
      <w:pPr>
        <w:spacing w:after="120" w:line="240" w:lineRule="auto"/>
        <w:jc w:val="center"/>
        <w:rPr>
          <w:rFonts w:ascii="Arial" w:hAnsi="Arial" w:cs="Arial"/>
          <w:sz w:val="20"/>
          <w:szCs w:val="24"/>
        </w:rPr>
      </w:pPr>
      <w:r>
        <w:rPr>
          <w:rFonts w:ascii="Arial" w:hAnsi="Arial" w:cs="Arial"/>
          <w:sz w:val="20"/>
          <w:szCs w:val="24"/>
        </w:rPr>
        <w:t>Private Bag X893, Pretoria, 0001, Tel (012) 312 5555, Fax (012) 323 5618</w:t>
      </w:r>
    </w:p>
    <w:p w:rsidR="00D513A7" w:rsidRDefault="00D513A7" w:rsidP="00D513A7">
      <w:pPr>
        <w:spacing w:after="120" w:line="240" w:lineRule="auto"/>
        <w:jc w:val="center"/>
        <w:rPr>
          <w:rFonts w:ascii="Arial" w:hAnsi="Arial" w:cs="Arial"/>
          <w:sz w:val="20"/>
          <w:szCs w:val="24"/>
        </w:rPr>
      </w:pPr>
      <w:r>
        <w:rPr>
          <w:rFonts w:ascii="Arial" w:hAnsi="Arial" w:cs="Arial"/>
          <w:sz w:val="20"/>
          <w:szCs w:val="24"/>
        </w:rPr>
        <w:t>Private Bag X9192, Cape Town, 8000, Tel (021) 469 5150, Fax: (021) 465 7956</w:t>
      </w:r>
    </w:p>
    <w:p w:rsidR="00D513A7" w:rsidRDefault="00D513A7" w:rsidP="00D513A7">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Pr>
          <w:rFonts w:cs="Arial"/>
          <w:b/>
          <w:bCs/>
          <w:sz w:val="24"/>
          <w:szCs w:val="24"/>
          <w:lang w:val="en-ZA"/>
        </w:rPr>
        <w:tab/>
      </w:r>
      <w:r>
        <w:rPr>
          <w:rFonts w:ascii="Arial" w:hAnsi="Arial" w:cs="Arial"/>
          <w:b/>
          <w:bCs/>
          <w:sz w:val="24"/>
          <w:szCs w:val="24"/>
          <w:lang w:val="en-ZA"/>
        </w:rPr>
        <w:t>Memorandum from the Parliamentary Office</w:t>
      </w:r>
    </w:p>
    <w:p w:rsidR="00D513A7" w:rsidRDefault="00D513A7" w:rsidP="00D513A7">
      <w:pPr>
        <w:jc w:val="center"/>
        <w:rPr>
          <w:rFonts w:ascii="Arial" w:hAnsi="Arial" w:cs="Arial"/>
          <w:b/>
          <w:bCs/>
          <w:sz w:val="24"/>
          <w:szCs w:val="24"/>
        </w:rPr>
      </w:pPr>
      <w:r>
        <w:rPr>
          <w:rFonts w:ascii="Arial" w:hAnsi="Arial" w:cs="Arial"/>
          <w:b/>
          <w:bCs/>
          <w:sz w:val="24"/>
          <w:szCs w:val="24"/>
          <w:lang w:val="en-ZA"/>
        </w:rPr>
        <w:t>NATIONAL ASSEMBLY</w:t>
      </w:r>
      <w:r>
        <w:rPr>
          <w:rFonts w:ascii="Arial" w:hAnsi="Arial" w:cs="Arial"/>
          <w:b/>
          <w:bCs/>
          <w:sz w:val="24"/>
          <w:szCs w:val="24"/>
        </w:rPr>
        <w:t xml:space="preserve"> </w:t>
      </w:r>
    </w:p>
    <w:p w:rsidR="00D513A7" w:rsidRDefault="00D513A7" w:rsidP="00D513A7">
      <w:pPr>
        <w:jc w:val="center"/>
        <w:rPr>
          <w:rFonts w:ascii="Arial" w:hAnsi="Arial" w:cs="Arial"/>
          <w:b/>
          <w:bCs/>
          <w:sz w:val="24"/>
          <w:szCs w:val="24"/>
        </w:rPr>
      </w:pPr>
      <w:r>
        <w:rPr>
          <w:rFonts w:ascii="Arial" w:hAnsi="Arial" w:cs="Arial"/>
          <w:b/>
          <w:bCs/>
          <w:sz w:val="24"/>
          <w:szCs w:val="24"/>
        </w:rPr>
        <w:t>FOR WRITTEN REPLY</w:t>
      </w:r>
    </w:p>
    <w:p w:rsidR="00C3677B" w:rsidRPr="00ED188E" w:rsidRDefault="00C654A2" w:rsidP="00DD6D16">
      <w:pPr>
        <w:jc w:val="center"/>
        <w:rPr>
          <w:rFonts w:ascii="Arial" w:hAnsi="Arial" w:cs="Arial"/>
          <w:b/>
          <w:bCs/>
          <w:sz w:val="24"/>
          <w:szCs w:val="24"/>
        </w:rPr>
      </w:pPr>
      <w:r w:rsidRPr="00ED188E">
        <w:rPr>
          <w:rFonts w:ascii="Arial" w:hAnsi="Arial" w:cs="Arial"/>
          <w:b/>
          <w:bCs/>
          <w:sz w:val="24"/>
          <w:szCs w:val="24"/>
        </w:rPr>
        <w:t xml:space="preserve">QUESTION </w:t>
      </w:r>
      <w:r w:rsidR="00B71C72">
        <w:rPr>
          <w:rFonts w:ascii="Arial" w:hAnsi="Arial" w:cs="Arial"/>
          <w:b/>
          <w:bCs/>
          <w:sz w:val="24"/>
          <w:szCs w:val="24"/>
        </w:rPr>
        <w:t>23</w:t>
      </w:r>
    </w:p>
    <w:p w:rsidR="00C3677B" w:rsidRPr="00ED188E" w:rsidRDefault="00C3677B" w:rsidP="00DD6D16">
      <w:pPr>
        <w:jc w:val="center"/>
        <w:rPr>
          <w:rFonts w:ascii="Arial" w:hAnsi="Arial" w:cs="Arial"/>
          <w:b/>
          <w:bCs/>
          <w:sz w:val="24"/>
          <w:szCs w:val="24"/>
          <w:u w:val="single"/>
        </w:rPr>
      </w:pPr>
      <w:r w:rsidRPr="00ED188E">
        <w:rPr>
          <w:rFonts w:ascii="Arial" w:hAnsi="Arial" w:cs="Arial"/>
          <w:b/>
          <w:bCs/>
          <w:sz w:val="24"/>
          <w:szCs w:val="24"/>
          <w:u w:val="single"/>
        </w:rPr>
        <w:t>DATE OF PUBLICATIO</w:t>
      </w:r>
      <w:r w:rsidR="009B0E09" w:rsidRPr="00ED188E">
        <w:rPr>
          <w:rFonts w:ascii="Arial" w:hAnsi="Arial" w:cs="Arial"/>
          <w:b/>
          <w:bCs/>
          <w:sz w:val="24"/>
          <w:szCs w:val="24"/>
          <w:u w:val="single"/>
        </w:rPr>
        <w:t xml:space="preserve">N OF INTERNAL QUESTION PAPER: </w:t>
      </w:r>
      <w:r w:rsidR="002C0C62">
        <w:rPr>
          <w:rFonts w:ascii="Arial" w:hAnsi="Arial" w:cs="Arial"/>
          <w:b/>
          <w:bCs/>
          <w:sz w:val="24"/>
          <w:szCs w:val="24"/>
          <w:u w:val="single"/>
        </w:rPr>
        <w:t>08</w:t>
      </w:r>
      <w:r w:rsidR="00E103E5" w:rsidRPr="00ED188E">
        <w:rPr>
          <w:rFonts w:ascii="Arial" w:hAnsi="Arial" w:cs="Arial"/>
          <w:b/>
          <w:bCs/>
          <w:sz w:val="24"/>
          <w:szCs w:val="24"/>
          <w:u w:val="single"/>
        </w:rPr>
        <w:t>/</w:t>
      </w:r>
      <w:r w:rsidR="002C0C62">
        <w:rPr>
          <w:rFonts w:ascii="Arial" w:hAnsi="Arial" w:cs="Arial"/>
          <w:b/>
          <w:bCs/>
          <w:sz w:val="24"/>
          <w:szCs w:val="24"/>
          <w:u w:val="single"/>
        </w:rPr>
        <w:t>02</w:t>
      </w:r>
      <w:r w:rsidR="00F73D24" w:rsidRPr="00ED188E">
        <w:rPr>
          <w:rFonts w:ascii="Arial" w:hAnsi="Arial" w:cs="Arial"/>
          <w:b/>
          <w:bCs/>
          <w:sz w:val="24"/>
          <w:szCs w:val="24"/>
          <w:u w:val="single"/>
        </w:rPr>
        <w:t>/201</w:t>
      </w:r>
      <w:r w:rsidR="002C0C62">
        <w:rPr>
          <w:rFonts w:ascii="Arial" w:hAnsi="Arial" w:cs="Arial"/>
          <w:b/>
          <w:bCs/>
          <w:sz w:val="24"/>
          <w:szCs w:val="24"/>
          <w:u w:val="single"/>
        </w:rPr>
        <w:t>8</w:t>
      </w:r>
    </w:p>
    <w:p w:rsidR="00F177A6" w:rsidRPr="00ED188E" w:rsidRDefault="009B0E09" w:rsidP="00491C5B">
      <w:pPr>
        <w:spacing w:before="100" w:beforeAutospacing="1" w:after="100" w:afterAutospacing="1"/>
        <w:jc w:val="center"/>
        <w:outlineLvl w:val="0"/>
        <w:rPr>
          <w:rFonts w:ascii="Arial" w:hAnsi="Arial" w:cs="Arial"/>
          <w:b/>
          <w:bCs/>
          <w:sz w:val="24"/>
          <w:szCs w:val="24"/>
          <w:u w:val="single"/>
        </w:rPr>
      </w:pPr>
      <w:r w:rsidRPr="00ED188E">
        <w:rPr>
          <w:rFonts w:ascii="Arial" w:hAnsi="Arial" w:cs="Arial"/>
          <w:b/>
          <w:bCs/>
          <w:sz w:val="24"/>
          <w:szCs w:val="24"/>
          <w:u w:val="single"/>
        </w:rPr>
        <w:t xml:space="preserve">(INTERNAL QUESTION PAPER </w:t>
      </w:r>
      <w:r w:rsidR="002C0C62">
        <w:rPr>
          <w:rFonts w:ascii="Arial" w:hAnsi="Arial" w:cs="Arial"/>
          <w:b/>
          <w:bCs/>
          <w:sz w:val="24"/>
          <w:szCs w:val="24"/>
          <w:u w:val="single"/>
        </w:rPr>
        <w:t>NO 1</w:t>
      </w:r>
      <w:r w:rsidR="008A5D41" w:rsidRPr="00ED188E">
        <w:rPr>
          <w:rFonts w:ascii="Arial" w:hAnsi="Arial" w:cs="Arial"/>
          <w:b/>
          <w:bCs/>
          <w:sz w:val="24"/>
          <w:szCs w:val="24"/>
          <w:u w:val="single"/>
        </w:rPr>
        <w:t xml:space="preserve"> </w:t>
      </w:r>
      <w:r w:rsidR="00F73D24" w:rsidRPr="00ED188E">
        <w:rPr>
          <w:rFonts w:ascii="Arial" w:hAnsi="Arial" w:cs="Arial"/>
          <w:b/>
          <w:bCs/>
          <w:sz w:val="24"/>
          <w:szCs w:val="24"/>
          <w:u w:val="single"/>
        </w:rPr>
        <w:t>OF 201</w:t>
      </w:r>
      <w:r w:rsidR="002C0C62">
        <w:rPr>
          <w:rFonts w:ascii="Arial" w:hAnsi="Arial" w:cs="Arial"/>
          <w:b/>
          <w:bCs/>
          <w:sz w:val="24"/>
          <w:szCs w:val="24"/>
          <w:u w:val="single"/>
        </w:rPr>
        <w:t>8</w:t>
      </w:r>
      <w:r w:rsidR="00E02103" w:rsidRPr="00ED188E">
        <w:rPr>
          <w:rFonts w:ascii="Arial" w:hAnsi="Arial" w:cs="Arial"/>
          <w:b/>
          <w:bCs/>
          <w:sz w:val="24"/>
          <w:szCs w:val="24"/>
          <w:u w:val="single"/>
        </w:rPr>
        <w:t>)</w:t>
      </w:r>
    </w:p>
    <w:p w:rsidR="002A76BD" w:rsidRPr="00ED188E" w:rsidRDefault="00B71C72" w:rsidP="002A76BD">
      <w:pPr>
        <w:spacing w:before="100" w:beforeAutospacing="1" w:after="100" w:afterAutospacing="1" w:line="360" w:lineRule="auto"/>
        <w:ind w:left="851" w:hanging="851"/>
        <w:jc w:val="both"/>
        <w:rPr>
          <w:rFonts w:ascii="Arial" w:hAnsi="Arial" w:cs="Arial"/>
          <w:b/>
          <w:noProof/>
          <w:sz w:val="24"/>
          <w:szCs w:val="24"/>
          <w:lang w:val="af-ZA"/>
        </w:rPr>
      </w:pPr>
      <w:r w:rsidRPr="00B71C72">
        <w:rPr>
          <w:rFonts w:ascii="Arial" w:hAnsi="Arial" w:cs="Arial"/>
          <w:b/>
          <w:noProof/>
          <w:sz w:val="24"/>
          <w:szCs w:val="24"/>
          <w:lang w:val="af-ZA"/>
        </w:rPr>
        <w:t xml:space="preserve">Prof B Bozzoli (DA) </w:t>
      </w:r>
      <w:r w:rsidR="002A76BD" w:rsidRPr="00ED188E">
        <w:rPr>
          <w:rFonts w:ascii="Arial" w:hAnsi="Arial" w:cs="Arial"/>
          <w:b/>
          <w:noProof/>
          <w:sz w:val="24"/>
          <w:szCs w:val="24"/>
          <w:lang w:val="af-ZA"/>
        </w:rPr>
        <w:t>to ask the Minister of Higher Education and Training:</w:t>
      </w:r>
    </w:p>
    <w:p w:rsidR="002A76BD" w:rsidRPr="002C0C62" w:rsidRDefault="00B71C72" w:rsidP="002C0C62">
      <w:pPr>
        <w:spacing w:before="100" w:beforeAutospacing="1" w:after="100" w:afterAutospacing="1" w:line="360" w:lineRule="auto"/>
        <w:jc w:val="both"/>
        <w:rPr>
          <w:rFonts w:ascii="Arial" w:hAnsi="Arial" w:cs="Arial"/>
          <w:noProof/>
          <w:sz w:val="24"/>
          <w:szCs w:val="24"/>
          <w:lang w:val="af-ZA"/>
        </w:rPr>
      </w:pPr>
      <w:r w:rsidRPr="00B71C72">
        <w:rPr>
          <w:rFonts w:ascii="Arial" w:hAnsi="Arial" w:cs="Arial"/>
          <w:noProof/>
          <w:sz w:val="24"/>
          <w:szCs w:val="24"/>
          <w:lang w:val="af-ZA"/>
        </w:rPr>
        <w:t>With reference to her reply to question 2463 on 5 September 2017 regarding the amount of debt owed to the National Student Financial Aid Scheme (NSFAS) by drop-outs, (a) what is the total number of students who dropped out whose debt adds up to R4,002 billion, (b) of this number, how many dropped out due to (i) academic exclusion, (ii) financial exclusion and (iii) other reasons, (c) what proportion of the debt owed by drop-outs has been repayable for (i) less than three years and (ii) more than three years, (d) what amount of the drop-out debt has (i) prescribed and (ii) been written off and (e) whether each amount has been included in the total amount of debt owed to NSFAS by drop-outs?</w:t>
      </w:r>
      <w:r w:rsidR="002A76BD" w:rsidRPr="002C0C62">
        <w:rPr>
          <w:rFonts w:ascii="Arial" w:hAnsi="Arial" w:cs="Arial"/>
          <w:noProof/>
          <w:sz w:val="24"/>
          <w:szCs w:val="24"/>
          <w:lang w:val="af-ZA"/>
        </w:rPr>
        <w:tab/>
      </w:r>
      <w:r w:rsidR="002A76BD" w:rsidRPr="002C0C62">
        <w:rPr>
          <w:rFonts w:ascii="Arial" w:hAnsi="Arial" w:cs="Arial"/>
          <w:noProof/>
          <w:sz w:val="24"/>
          <w:szCs w:val="24"/>
          <w:lang w:val="af-ZA"/>
        </w:rPr>
        <w:tab/>
      </w:r>
      <w:r w:rsidR="002A76BD" w:rsidRPr="002C0C62">
        <w:rPr>
          <w:rFonts w:ascii="Arial" w:hAnsi="Arial" w:cs="Arial"/>
          <w:noProof/>
          <w:sz w:val="24"/>
          <w:szCs w:val="24"/>
          <w:lang w:val="af-ZA"/>
        </w:rPr>
        <w:tab/>
      </w:r>
      <w:r w:rsidR="002A76BD" w:rsidRPr="002C0C62">
        <w:rPr>
          <w:rFonts w:ascii="Arial" w:hAnsi="Arial" w:cs="Arial"/>
          <w:noProof/>
          <w:sz w:val="24"/>
          <w:szCs w:val="24"/>
          <w:lang w:val="af-ZA"/>
        </w:rPr>
        <w:tab/>
      </w:r>
    </w:p>
    <w:p w:rsidR="00A73DAA" w:rsidRPr="00ED188E" w:rsidRDefault="002C0C62" w:rsidP="00086EC6">
      <w:pPr>
        <w:spacing w:before="100" w:beforeAutospacing="1" w:after="100" w:afterAutospacing="1" w:line="360" w:lineRule="auto"/>
        <w:ind w:left="8364"/>
        <w:jc w:val="both"/>
        <w:rPr>
          <w:rFonts w:ascii="Arial" w:hAnsi="Arial" w:cs="Arial"/>
          <w:b/>
          <w:sz w:val="24"/>
          <w:szCs w:val="24"/>
          <w:lang w:val="en-ZA"/>
        </w:rPr>
      </w:pPr>
      <w:r w:rsidRPr="002C0C62">
        <w:rPr>
          <w:rFonts w:ascii="Arial" w:hAnsi="Arial" w:cs="Arial"/>
          <w:b/>
          <w:noProof/>
          <w:sz w:val="24"/>
          <w:szCs w:val="24"/>
          <w:lang w:val="af-ZA"/>
        </w:rPr>
        <w:t>NW</w:t>
      </w:r>
      <w:r w:rsidR="00B71C72">
        <w:rPr>
          <w:rFonts w:ascii="Arial" w:hAnsi="Arial" w:cs="Arial"/>
          <w:b/>
          <w:noProof/>
          <w:sz w:val="24"/>
          <w:szCs w:val="24"/>
          <w:lang w:val="af-ZA"/>
        </w:rPr>
        <w:t>27</w:t>
      </w:r>
      <w:r w:rsidRPr="002C0C62">
        <w:rPr>
          <w:rFonts w:ascii="Arial" w:hAnsi="Arial" w:cs="Arial"/>
          <w:b/>
          <w:noProof/>
          <w:sz w:val="24"/>
          <w:szCs w:val="24"/>
          <w:lang w:val="af-ZA"/>
        </w:rPr>
        <w:t>E</w:t>
      </w:r>
    </w:p>
    <w:p w:rsidR="007D5278" w:rsidRDefault="007D5278">
      <w:pPr>
        <w:spacing w:after="0" w:line="240" w:lineRule="auto"/>
        <w:rPr>
          <w:rFonts w:ascii="Arial" w:hAnsi="Arial" w:cs="Arial"/>
          <w:b/>
          <w:sz w:val="24"/>
          <w:szCs w:val="24"/>
        </w:rPr>
      </w:pPr>
      <w:r>
        <w:rPr>
          <w:rFonts w:ascii="Arial" w:hAnsi="Arial" w:cs="Arial"/>
          <w:b/>
          <w:sz w:val="24"/>
          <w:szCs w:val="24"/>
        </w:rPr>
        <w:br w:type="page"/>
      </w:r>
    </w:p>
    <w:p w:rsidR="004D6897" w:rsidRDefault="004D6897" w:rsidP="004D6897">
      <w:pPr>
        <w:spacing w:before="100" w:beforeAutospacing="1" w:after="100" w:afterAutospacing="1" w:line="360" w:lineRule="auto"/>
        <w:jc w:val="both"/>
        <w:rPr>
          <w:rFonts w:ascii="Arial" w:hAnsi="Arial" w:cs="Arial"/>
          <w:sz w:val="24"/>
          <w:szCs w:val="24"/>
        </w:rPr>
      </w:pPr>
      <w:r w:rsidRPr="009326E3">
        <w:rPr>
          <w:rFonts w:ascii="Arial" w:hAnsi="Arial" w:cs="Arial"/>
          <w:b/>
          <w:sz w:val="24"/>
          <w:szCs w:val="24"/>
        </w:rPr>
        <w:lastRenderedPageBreak/>
        <w:t>REPLY</w:t>
      </w:r>
      <w:r w:rsidRPr="009326E3">
        <w:rPr>
          <w:rFonts w:ascii="Arial" w:hAnsi="Arial" w:cs="Arial"/>
          <w:sz w:val="24"/>
          <w:szCs w:val="24"/>
        </w:rPr>
        <w:t xml:space="preserve">: </w:t>
      </w:r>
    </w:p>
    <w:p w:rsidR="006009C8" w:rsidRDefault="006009C8" w:rsidP="004D6897">
      <w:pPr>
        <w:spacing w:after="240" w:line="360" w:lineRule="auto"/>
        <w:jc w:val="both"/>
        <w:rPr>
          <w:rFonts w:ascii="Arial" w:hAnsi="Arial" w:cs="Arial"/>
          <w:sz w:val="24"/>
          <w:szCs w:val="24"/>
        </w:rPr>
      </w:pPr>
      <w:r>
        <w:rPr>
          <w:rFonts w:ascii="Arial" w:hAnsi="Arial" w:cs="Arial"/>
          <w:sz w:val="24"/>
          <w:szCs w:val="24"/>
        </w:rPr>
        <w:t xml:space="preserve">The </w:t>
      </w:r>
      <w:r w:rsidRPr="009326E3">
        <w:rPr>
          <w:rFonts w:ascii="Arial" w:hAnsi="Arial" w:cs="Arial"/>
          <w:sz w:val="24"/>
          <w:szCs w:val="24"/>
        </w:rPr>
        <w:t>National Student Financial Aid Scheme</w:t>
      </w:r>
      <w:r>
        <w:rPr>
          <w:rFonts w:ascii="Arial" w:hAnsi="Arial" w:cs="Arial"/>
          <w:sz w:val="24"/>
          <w:szCs w:val="24"/>
        </w:rPr>
        <w:t xml:space="preserve"> (NSFAS) has provided the following responses to the questions posed</w:t>
      </w:r>
      <w:r w:rsidR="00BA05E4">
        <w:rPr>
          <w:rFonts w:ascii="Arial" w:hAnsi="Arial" w:cs="Arial"/>
          <w:sz w:val="24"/>
          <w:szCs w:val="24"/>
        </w:rPr>
        <w:t>.</w:t>
      </w:r>
    </w:p>
    <w:p w:rsidR="004D6897" w:rsidRPr="009326E3" w:rsidRDefault="004D6897" w:rsidP="004D6897">
      <w:pPr>
        <w:pStyle w:val="ListParagraph"/>
        <w:numPr>
          <w:ilvl w:val="0"/>
          <w:numId w:val="14"/>
        </w:numPr>
        <w:spacing w:after="240" w:line="360" w:lineRule="auto"/>
        <w:ind w:left="567" w:hanging="567"/>
        <w:contextualSpacing w:val="0"/>
        <w:jc w:val="both"/>
        <w:rPr>
          <w:rFonts w:ascii="Arial" w:hAnsi="Arial" w:cs="Arial"/>
          <w:sz w:val="24"/>
          <w:szCs w:val="24"/>
          <w:lang w:val="en-ZA"/>
        </w:rPr>
      </w:pPr>
      <w:r w:rsidRPr="009326E3">
        <w:rPr>
          <w:rFonts w:ascii="Arial" w:hAnsi="Arial" w:cs="Arial"/>
          <w:sz w:val="24"/>
          <w:szCs w:val="24"/>
        </w:rPr>
        <w:t xml:space="preserve">The total number of students who dropped out </w:t>
      </w:r>
      <w:r>
        <w:rPr>
          <w:rFonts w:ascii="Arial" w:hAnsi="Arial" w:cs="Arial"/>
          <w:sz w:val="24"/>
          <w:szCs w:val="24"/>
        </w:rPr>
        <w:t xml:space="preserve">is </w:t>
      </w:r>
      <w:r>
        <w:rPr>
          <w:rFonts w:ascii="Arial" w:hAnsi="Arial" w:cs="Arial"/>
          <w:bCs/>
          <w:color w:val="000000"/>
          <w:sz w:val="24"/>
          <w:szCs w:val="24"/>
          <w:lang w:val="en-US"/>
        </w:rPr>
        <w:t xml:space="preserve">122 </w:t>
      </w:r>
      <w:r w:rsidRPr="009326E3">
        <w:rPr>
          <w:rFonts w:ascii="Arial" w:hAnsi="Arial" w:cs="Arial"/>
          <w:bCs/>
          <w:color w:val="000000"/>
          <w:sz w:val="24"/>
          <w:szCs w:val="24"/>
          <w:lang w:val="en-US"/>
        </w:rPr>
        <w:t>769</w:t>
      </w:r>
      <w:r>
        <w:rPr>
          <w:rFonts w:ascii="Arial" w:hAnsi="Arial" w:cs="Arial"/>
          <w:bCs/>
          <w:color w:val="000000"/>
          <w:sz w:val="24"/>
          <w:szCs w:val="24"/>
          <w:lang w:val="en-US"/>
        </w:rPr>
        <w:t>.</w:t>
      </w:r>
    </w:p>
    <w:p w:rsidR="004D6897" w:rsidRPr="009326E3" w:rsidRDefault="004D6897" w:rsidP="004D6897">
      <w:pPr>
        <w:pStyle w:val="ListParagraph"/>
        <w:numPr>
          <w:ilvl w:val="0"/>
          <w:numId w:val="14"/>
        </w:numPr>
        <w:spacing w:after="240" w:line="360" w:lineRule="auto"/>
        <w:ind w:left="567" w:hanging="567"/>
        <w:contextualSpacing w:val="0"/>
        <w:jc w:val="both"/>
        <w:rPr>
          <w:rFonts w:ascii="Arial" w:hAnsi="Arial" w:cs="Arial"/>
          <w:sz w:val="24"/>
          <w:szCs w:val="24"/>
          <w:lang w:val="en-ZA"/>
        </w:rPr>
      </w:pPr>
      <w:r w:rsidRPr="009326E3">
        <w:rPr>
          <w:rFonts w:ascii="Arial" w:hAnsi="Arial" w:cs="Arial"/>
          <w:sz w:val="24"/>
          <w:szCs w:val="24"/>
        </w:rPr>
        <w:t>NSFAS does not currently require universities to provide the reasons for students dropping out.</w:t>
      </w:r>
      <w:r>
        <w:rPr>
          <w:rFonts w:ascii="Arial" w:hAnsi="Arial" w:cs="Arial"/>
          <w:sz w:val="24"/>
          <w:szCs w:val="24"/>
        </w:rPr>
        <w:t xml:space="preserve"> NSFAS defines a drop</w:t>
      </w:r>
      <w:r w:rsidRPr="009326E3">
        <w:rPr>
          <w:rFonts w:ascii="Arial" w:hAnsi="Arial" w:cs="Arial"/>
          <w:sz w:val="24"/>
          <w:szCs w:val="24"/>
        </w:rPr>
        <w:t xml:space="preserve">out as a student </w:t>
      </w:r>
      <w:r>
        <w:rPr>
          <w:rFonts w:ascii="Arial" w:hAnsi="Arial" w:cs="Arial"/>
          <w:sz w:val="24"/>
          <w:szCs w:val="24"/>
        </w:rPr>
        <w:t>who</w:t>
      </w:r>
      <w:r w:rsidRPr="009326E3">
        <w:rPr>
          <w:rFonts w:ascii="Arial" w:hAnsi="Arial" w:cs="Arial"/>
          <w:sz w:val="24"/>
          <w:szCs w:val="24"/>
        </w:rPr>
        <w:t xml:space="preserve"> has not formally graduated from the university at which he/she was funded</w:t>
      </w:r>
      <w:r>
        <w:rPr>
          <w:rFonts w:ascii="Arial" w:hAnsi="Arial" w:cs="Arial"/>
          <w:sz w:val="24"/>
          <w:szCs w:val="24"/>
        </w:rPr>
        <w:t xml:space="preserve"> and is </w:t>
      </w:r>
      <w:r w:rsidRPr="009326E3">
        <w:rPr>
          <w:rFonts w:ascii="Arial" w:hAnsi="Arial" w:cs="Arial"/>
          <w:sz w:val="24"/>
          <w:szCs w:val="24"/>
        </w:rPr>
        <w:t xml:space="preserve">currently </w:t>
      </w:r>
      <w:r>
        <w:rPr>
          <w:rFonts w:ascii="Arial" w:hAnsi="Arial" w:cs="Arial"/>
          <w:sz w:val="24"/>
          <w:szCs w:val="24"/>
        </w:rPr>
        <w:t xml:space="preserve">not </w:t>
      </w:r>
      <w:r w:rsidRPr="009326E3">
        <w:rPr>
          <w:rFonts w:ascii="Arial" w:hAnsi="Arial" w:cs="Arial"/>
          <w:sz w:val="24"/>
          <w:szCs w:val="24"/>
        </w:rPr>
        <w:t xml:space="preserve">studying. Debtors are </w:t>
      </w:r>
      <w:r>
        <w:rPr>
          <w:rFonts w:ascii="Arial" w:hAnsi="Arial" w:cs="Arial"/>
          <w:sz w:val="24"/>
          <w:szCs w:val="24"/>
        </w:rPr>
        <w:t>classified as either “studying”,</w:t>
      </w:r>
      <w:r w:rsidRPr="009326E3">
        <w:rPr>
          <w:rFonts w:ascii="Arial" w:hAnsi="Arial" w:cs="Arial"/>
          <w:sz w:val="24"/>
          <w:szCs w:val="24"/>
        </w:rPr>
        <w:t xml:space="preserve"> “graduate” or “dropout” in the loan management system with no breakdown in terms of the reasons for a debtor having dropped out.</w:t>
      </w:r>
    </w:p>
    <w:p w:rsidR="004D6897" w:rsidRPr="009326E3" w:rsidRDefault="004D6897" w:rsidP="004D6897">
      <w:pPr>
        <w:pStyle w:val="ListParagraph"/>
        <w:spacing w:after="240" w:line="360" w:lineRule="auto"/>
        <w:ind w:left="567"/>
        <w:contextualSpacing w:val="0"/>
        <w:jc w:val="both"/>
        <w:rPr>
          <w:rFonts w:ascii="Arial" w:hAnsi="Arial" w:cs="Arial"/>
          <w:sz w:val="24"/>
          <w:szCs w:val="24"/>
          <w:lang w:val="en-ZA"/>
        </w:rPr>
      </w:pPr>
      <w:r w:rsidRPr="009326E3">
        <w:rPr>
          <w:rFonts w:ascii="Arial" w:hAnsi="Arial" w:cs="Arial"/>
          <w:sz w:val="24"/>
          <w:szCs w:val="24"/>
        </w:rPr>
        <w:t xml:space="preserve">Using </w:t>
      </w:r>
      <w:r>
        <w:rPr>
          <w:rFonts w:ascii="Arial" w:hAnsi="Arial" w:cs="Arial"/>
          <w:sz w:val="24"/>
          <w:szCs w:val="24"/>
        </w:rPr>
        <w:t xml:space="preserve">the </w:t>
      </w:r>
      <w:r w:rsidRPr="009326E3">
        <w:rPr>
          <w:rFonts w:ascii="Arial" w:hAnsi="Arial" w:cs="Arial"/>
          <w:sz w:val="24"/>
          <w:szCs w:val="24"/>
        </w:rPr>
        <w:t xml:space="preserve">Higher Education Management Information System </w:t>
      </w:r>
      <w:r>
        <w:rPr>
          <w:rFonts w:ascii="Arial" w:hAnsi="Arial" w:cs="Arial"/>
          <w:sz w:val="24"/>
          <w:szCs w:val="24"/>
        </w:rPr>
        <w:t>(</w:t>
      </w:r>
      <w:r w:rsidRPr="009326E3">
        <w:rPr>
          <w:rFonts w:ascii="Arial" w:hAnsi="Arial" w:cs="Arial"/>
          <w:sz w:val="24"/>
          <w:szCs w:val="24"/>
        </w:rPr>
        <w:t>HEMIS</w:t>
      </w:r>
      <w:r>
        <w:rPr>
          <w:rFonts w:ascii="Arial" w:hAnsi="Arial" w:cs="Arial"/>
          <w:sz w:val="24"/>
          <w:szCs w:val="24"/>
        </w:rPr>
        <w:t>)</w:t>
      </w:r>
      <w:r w:rsidRPr="009326E3">
        <w:rPr>
          <w:rFonts w:ascii="Arial" w:hAnsi="Arial" w:cs="Arial"/>
          <w:sz w:val="24"/>
          <w:szCs w:val="24"/>
        </w:rPr>
        <w:t xml:space="preserve"> and information submitted by the universities annually, NSFAS is able to determine whether a funded student has graduated from </w:t>
      </w:r>
      <w:r>
        <w:rPr>
          <w:rFonts w:ascii="Arial" w:hAnsi="Arial" w:cs="Arial"/>
          <w:sz w:val="24"/>
          <w:szCs w:val="24"/>
        </w:rPr>
        <w:t>an</w:t>
      </w:r>
      <w:r w:rsidRPr="009326E3">
        <w:rPr>
          <w:rFonts w:ascii="Arial" w:hAnsi="Arial" w:cs="Arial"/>
          <w:sz w:val="24"/>
          <w:szCs w:val="24"/>
        </w:rPr>
        <w:t xml:space="preserve"> undergraduate programme of</w:t>
      </w:r>
      <w:r>
        <w:rPr>
          <w:rFonts w:ascii="Arial" w:hAnsi="Arial" w:cs="Arial"/>
          <w:sz w:val="24"/>
          <w:szCs w:val="24"/>
        </w:rPr>
        <w:t xml:space="preserve"> study. </w:t>
      </w:r>
      <w:r w:rsidRPr="009326E3">
        <w:rPr>
          <w:rFonts w:ascii="Arial" w:hAnsi="Arial" w:cs="Arial"/>
          <w:sz w:val="24"/>
          <w:szCs w:val="24"/>
        </w:rPr>
        <w:t xml:space="preserve">NSFAS does not currently have a mechanism to identify if a student has transferred to another university for continued studies, </w:t>
      </w:r>
      <w:r>
        <w:rPr>
          <w:rFonts w:ascii="Arial" w:hAnsi="Arial" w:cs="Arial"/>
          <w:sz w:val="24"/>
          <w:szCs w:val="24"/>
        </w:rPr>
        <w:t xml:space="preserve">however it will be </w:t>
      </w:r>
      <w:r w:rsidRPr="009326E3">
        <w:rPr>
          <w:rFonts w:ascii="Arial" w:hAnsi="Arial" w:cs="Arial"/>
          <w:sz w:val="24"/>
          <w:szCs w:val="24"/>
        </w:rPr>
        <w:t>developing this capability in the future.</w:t>
      </w:r>
    </w:p>
    <w:p w:rsidR="004D6897" w:rsidRPr="00A04BE3" w:rsidRDefault="004D6897" w:rsidP="004D6897">
      <w:pPr>
        <w:pStyle w:val="ListParagraph"/>
        <w:numPr>
          <w:ilvl w:val="0"/>
          <w:numId w:val="14"/>
        </w:numPr>
        <w:spacing w:after="240" w:line="360" w:lineRule="auto"/>
        <w:ind w:left="567" w:hanging="567"/>
        <w:contextualSpacing w:val="0"/>
        <w:jc w:val="both"/>
        <w:rPr>
          <w:rFonts w:ascii="Arial" w:hAnsi="Arial" w:cs="Arial"/>
          <w:b/>
          <w:sz w:val="24"/>
          <w:szCs w:val="24"/>
          <w:lang w:val="en-ZA"/>
        </w:rPr>
      </w:pPr>
      <w:r w:rsidRPr="00A04BE3">
        <w:rPr>
          <w:rFonts w:ascii="Arial" w:hAnsi="Arial" w:cs="Arial"/>
          <w:sz w:val="24"/>
          <w:szCs w:val="24"/>
          <w:lang w:val="en-ZA"/>
        </w:rPr>
        <w:t>NSFAS debt becomes due and payable one year after a debtor has exi</w:t>
      </w:r>
      <w:r>
        <w:rPr>
          <w:rFonts w:ascii="Arial" w:hAnsi="Arial" w:cs="Arial"/>
          <w:sz w:val="24"/>
          <w:szCs w:val="24"/>
          <w:lang w:val="en-ZA"/>
        </w:rPr>
        <w:t xml:space="preserve">ted the higher education system, is employed and </w:t>
      </w:r>
      <w:r w:rsidRPr="00A04BE3">
        <w:rPr>
          <w:rFonts w:ascii="Arial" w:hAnsi="Arial" w:cs="Arial"/>
          <w:sz w:val="24"/>
          <w:szCs w:val="24"/>
          <w:lang w:val="en-ZA"/>
        </w:rPr>
        <w:t xml:space="preserve">earns more than R30 000 per annum. Debtors are required to inform NSFAS as soon as their status has changed, i.e. they have exited the higher education system, </w:t>
      </w:r>
      <w:r>
        <w:rPr>
          <w:rFonts w:ascii="Arial" w:hAnsi="Arial" w:cs="Arial"/>
          <w:sz w:val="24"/>
          <w:szCs w:val="24"/>
          <w:lang w:val="en-ZA"/>
        </w:rPr>
        <w:t xml:space="preserve">become </w:t>
      </w:r>
      <w:r w:rsidRPr="00A04BE3">
        <w:rPr>
          <w:rFonts w:ascii="Arial" w:hAnsi="Arial" w:cs="Arial"/>
          <w:sz w:val="24"/>
          <w:szCs w:val="24"/>
          <w:lang w:val="en-ZA"/>
        </w:rPr>
        <w:t>employed and earn</w:t>
      </w:r>
      <w:r>
        <w:rPr>
          <w:rFonts w:ascii="Arial" w:hAnsi="Arial" w:cs="Arial"/>
          <w:sz w:val="24"/>
          <w:szCs w:val="24"/>
          <w:lang w:val="en-ZA"/>
        </w:rPr>
        <w:t>ing</w:t>
      </w:r>
      <w:r w:rsidRPr="00A04BE3">
        <w:rPr>
          <w:rFonts w:ascii="Arial" w:hAnsi="Arial" w:cs="Arial"/>
          <w:sz w:val="24"/>
          <w:szCs w:val="24"/>
          <w:lang w:val="en-ZA"/>
        </w:rPr>
        <w:t xml:space="preserve"> above the repayment threshold. In terms of section 24 of the NSFAS Act No. 56 of 1999, as amended, NSFAS conducts a loan book matching exercise with the South African Revenue Service on a quarterly basis to establish the employment status and contact information of debtors where such information is available. </w:t>
      </w:r>
    </w:p>
    <w:p w:rsidR="004D6897" w:rsidRDefault="004D6897" w:rsidP="004D6897">
      <w:pPr>
        <w:pStyle w:val="ListParagraph"/>
        <w:spacing w:after="240" w:line="360" w:lineRule="auto"/>
        <w:ind w:left="567"/>
        <w:contextualSpacing w:val="0"/>
        <w:jc w:val="both"/>
        <w:rPr>
          <w:rFonts w:ascii="Arial" w:hAnsi="Arial" w:cs="Arial"/>
          <w:sz w:val="24"/>
          <w:szCs w:val="24"/>
          <w:lang w:val="en-ZA"/>
        </w:rPr>
      </w:pPr>
      <w:r w:rsidRPr="00A04BE3">
        <w:rPr>
          <w:rFonts w:ascii="Arial" w:hAnsi="Arial" w:cs="Arial"/>
          <w:sz w:val="24"/>
          <w:szCs w:val="24"/>
          <w:lang w:val="en-ZA"/>
        </w:rPr>
        <w:t>The table below shows the number of debtors who have dropped out of the higher education system, and the number of years that their debt has been repayable.</w:t>
      </w:r>
    </w:p>
    <w:p w:rsidR="004D6897" w:rsidRPr="00A04BE3" w:rsidRDefault="004D6897" w:rsidP="004D6897">
      <w:pPr>
        <w:pStyle w:val="ListParagraph"/>
        <w:spacing w:after="240" w:line="360" w:lineRule="auto"/>
        <w:ind w:left="567"/>
        <w:contextualSpacing w:val="0"/>
        <w:jc w:val="both"/>
        <w:rPr>
          <w:rFonts w:ascii="Arial" w:hAnsi="Arial" w:cs="Arial"/>
          <w:b/>
          <w:sz w:val="24"/>
          <w:szCs w:val="24"/>
          <w:lang w:val="en-ZA"/>
        </w:rPr>
      </w:pPr>
    </w:p>
    <w:tbl>
      <w:tblPr>
        <w:tblStyle w:val="TableGrid"/>
        <w:tblW w:w="8789" w:type="dxa"/>
        <w:tblInd w:w="562" w:type="dxa"/>
        <w:tblLook w:val="04A0" w:firstRow="1" w:lastRow="0" w:firstColumn="1" w:lastColumn="0" w:noHBand="0" w:noVBand="1"/>
      </w:tblPr>
      <w:tblGrid>
        <w:gridCol w:w="2268"/>
        <w:gridCol w:w="2410"/>
        <w:gridCol w:w="2977"/>
        <w:gridCol w:w="1134"/>
      </w:tblGrid>
      <w:tr w:rsidR="004D6897" w:rsidRPr="009326E3" w:rsidTr="003368BD">
        <w:trPr>
          <w:trHeight w:val="300"/>
        </w:trPr>
        <w:tc>
          <w:tcPr>
            <w:tcW w:w="2268" w:type="dxa"/>
            <w:shd w:val="clear" w:color="auto" w:fill="D9D9D9" w:themeFill="background1" w:themeFillShade="D9"/>
            <w:noWrap/>
            <w:vAlign w:val="center"/>
            <w:hideMark/>
          </w:tcPr>
          <w:p w:rsidR="004D6897" w:rsidRPr="00A04BE3" w:rsidRDefault="004D6897" w:rsidP="003368BD">
            <w:pPr>
              <w:spacing w:before="60" w:after="60" w:line="240" w:lineRule="auto"/>
              <w:jc w:val="center"/>
              <w:rPr>
                <w:rFonts w:ascii="Arial" w:hAnsi="Arial" w:cs="Arial"/>
                <w:b/>
                <w:bCs/>
                <w:color w:val="000000"/>
                <w:sz w:val="24"/>
                <w:szCs w:val="24"/>
                <w:lang w:val="en-US"/>
              </w:rPr>
            </w:pPr>
            <w:r w:rsidRPr="00A04BE3">
              <w:rPr>
                <w:rFonts w:ascii="Arial" w:hAnsi="Arial" w:cs="Arial"/>
                <w:b/>
                <w:bCs/>
                <w:color w:val="000000"/>
                <w:sz w:val="24"/>
                <w:szCs w:val="24"/>
                <w:lang w:val="en-US"/>
              </w:rPr>
              <w:lastRenderedPageBreak/>
              <w:t xml:space="preserve">Less than </w:t>
            </w:r>
            <w:r>
              <w:rPr>
                <w:rFonts w:ascii="Arial" w:hAnsi="Arial" w:cs="Arial"/>
                <w:b/>
                <w:bCs/>
                <w:color w:val="000000"/>
                <w:sz w:val="24"/>
                <w:szCs w:val="24"/>
                <w:lang w:val="en-US"/>
              </w:rPr>
              <w:t xml:space="preserve">3 </w:t>
            </w:r>
            <w:r w:rsidRPr="00A04BE3">
              <w:rPr>
                <w:rFonts w:ascii="Arial" w:hAnsi="Arial" w:cs="Arial"/>
                <w:b/>
                <w:bCs/>
                <w:color w:val="000000"/>
                <w:sz w:val="24"/>
                <w:szCs w:val="24"/>
                <w:lang w:val="en-US"/>
              </w:rPr>
              <w:t>years</w:t>
            </w:r>
          </w:p>
        </w:tc>
        <w:tc>
          <w:tcPr>
            <w:tcW w:w="2410" w:type="dxa"/>
            <w:shd w:val="clear" w:color="auto" w:fill="D9D9D9" w:themeFill="background1" w:themeFillShade="D9"/>
            <w:noWrap/>
            <w:vAlign w:val="center"/>
            <w:hideMark/>
          </w:tcPr>
          <w:p w:rsidR="004D6897" w:rsidRPr="00A04BE3" w:rsidRDefault="004D6897" w:rsidP="003368BD">
            <w:pPr>
              <w:spacing w:before="60" w:after="60" w:line="240" w:lineRule="auto"/>
              <w:jc w:val="center"/>
              <w:rPr>
                <w:rFonts w:ascii="Arial" w:hAnsi="Arial" w:cs="Arial"/>
                <w:b/>
                <w:bCs/>
                <w:color w:val="000000"/>
                <w:sz w:val="24"/>
                <w:szCs w:val="24"/>
                <w:lang w:val="en-US"/>
              </w:rPr>
            </w:pPr>
            <w:r w:rsidRPr="00A04BE3">
              <w:rPr>
                <w:rFonts w:ascii="Arial" w:hAnsi="Arial" w:cs="Arial"/>
                <w:b/>
                <w:bCs/>
                <w:color w:val="000000"/>
                <w:sz w:val="24"/>
                <w:szCs w:val="24"/>
                <w:lang w:val="en-US"/>
              </w:rPr>
              <w:t>More than 3 years</w:t>
            </w:r>
          </w:p>
        </w:tc>
        <w:tc>
          <w:tcPr>
            <w:tcW w:w="2977" w:type="dxa"/>
            <w:shd w:val="clear" w:color="auto" w:fill="D9D9D9" w:themeFill="background1" w:themeFillShade="D9"/>
            <w:noWrap/>
            <w:vAlign w:val="center"/>
            <w:hideMark/>
          </w:tcPr>
          <w:p w:rsidR="004D6897" w:rsidRPr="00A04BE3" w:rsidRDefault="004D6897" w:rsidP="003368BD">
            <w:pPr>
              <w:spacing w:before="60" w:after="60" w:line="240" w:lineRule="auto"/>
              <w:jc w:val="center"/>
              <w:rPr>
                <w:rFonts w:ascii="Arial" w:hAnsi="Arial" w:cs="Arial"/>
                <w:b/>
                <w:bCs/>
                <w:color w:val="000000"/>
                <w:sz w:val="24"/>
                <w:szCs w:val="24"/>
                <w:lang w:val="en-US"/>
              </w:rPr>
            </w:pPr>
            <w:r w:rsidRPr="00A04BE3">
              <w:rPr>
                <w:rFonts w:ascii="Arial" w:hAnsi="Arial" w:cs="Arial"/>
                <w:b/>
                <w:bCs/>
                <w:color w:val="000000"/>
                <w:sz w:val="24"/>
                <w:szCs w:val="24"/>
                <w:lang w:val="en-US"/>
              </w:rPr>
              <w:t>Not yet due and payable</w:t>
            </w:r>
          </w:p>
        </w:tc>
        <w:tc>
          <w:tcPr>
            <w:tcW w:w="1134" w:type="dxa"/>
            <w:shd w:val="clear" w:color="auto" w:fill="D9D9D9" w:themeFill="background1" w:themeFillShade="D9"/>
            <w:noWrap/>
            <w:vAlign w:val="center"/>
            <w:hideMark/>
          </w:tcPr>
          <w:p w:rsidR="004D6897" w:rsidRPr="00A04BE3" w:rsidRDefault="004D6897" w:rsidP="003368BD">
            <w:pPr>
              <w:spacing w:before="60" w:after="60" w:line="240" w:lineRule="auto"/>
              <w:jc w:val="center"/>
              <w:rPr>
                <w:rFonts w:ascii="Arial" w:hAnsi="Arial" w:cs="Arial"/>
                <w:b/>
                <w:bCs/>
                <w:color w:val="000000"/>
                <w:sz w:val="24"/>
                <w:szCs w:val="24"/>
                <w:lang w:val="en-US"/>
              </w:rPr>
            </w:pPr>
            <w:r w:rsidRPr="00A04BE3">
              <w:rPr>
                <w:rFonts w:ascii="Arial" w:hAnsi="Arial" w:cs="Arial"/>
                <w:b/>
                <w:bCs/>
                <w:color w:val="000000"/>
                <w:sz w:val="24"/>
                <w:szCs w:val="24"/>
                <w:lang w:val="en-US"/>
              </w:rPr>
              <w:t>Total</w:t>
            </w:r>
          </w:p>
        </w:tc>
      </w:tr>
      <w:tr w:rsidR="004D6897" w:rsidRPr="009326E3" w:rsidTr="003368BD">
        <w:trPr>
          <w:trHeight w:val="300"/>
        </w:trPr>
        <w:tc>
          <w:tcPr>
            <w:tcW w:w="2268" w:type="dxa"/>
            <w:noWrap/>
            <w:vAlign w:val="center"/>
            <w:hideMark/>
          </w:tcPr>
          <w:p w:rsidR="004D6897" w:rsidRPr="009326E3" w:rsidRDefault="004D6897" w:rsidP="003368BD">
            <w:pPr>
              <w:spacing w:before="60" w:after="60" w:line="240" w:lineRule="auto"/>
              <w:jc w:val="center"/>
              <w:rPr>
                <w:rFonts w:ascii="Arial" w:hAnsi="Arial" w:cs="Arial"/>
                <w:bCs/>
                <w:color w:val="000000"/>
                <w:sz w:val="24"/>
                <w:szCs w:val="24"/>
                <w:lang w:val="en-US"/>
              </w:rPr>
            </w:pPr>
            <w:r>
              <w:rPr>
                <w:rFonts w:ascii="Arial" w:hAnsi="Arial" w:cs="Arial"/>
                <w:bCs/>
                <w:color w:val="000000"/>
                <w:sz w:val="24"/>
                <w:szCs w:val="24"/>
                <w:lang w:val="en-US"/>
              </w:rPr>
              <w:t xml:space="preserve">31 </w:t>
            </w:r>
            <w:r w:rsidRPr="009326E3">
              <w:rPr>
                <w:rFonts w:ascii="Arial" w:hAnsi="Arial" w:cs="Arial"/>
                <w:bCs/>
                <w:color w:val="000000"/>
                <w:sz w:val="24"/>
                <w:szCs w:val="24"/>
                <w:lang w:val="en-US"/>
              </w:rPr>
              <w:t>627</w:t>
            </w:r>
          </w:p>
        </w:tc>
        <w:tc>
          <w:tcPr>
            <w:tcW w:w="2410" w:type="dxa"/>
            <w:noWrap/>
            <w:vAlign w:val="center"/>
            <w:hideMark/>
          </w:tcPr>
          <w:p w:rsidR="004D6897" w:rsidRPr="009326E3" w:rsidRDefault="004D6897" w:rsidP="003368BD">
            <w:pPr>
              <w:spacing w:before="60" w:after="60" w:line="240" w:lineRule="auto"/>
              <w:jc w:val="center"/>
              <w:rPr>
                <w:rFonts w:ascii="Arial" w:hAnsi="Arial" w:cs="Arial"/>
                <w:bCs/>
                <w:color w:val="000000"/>
                <w:sz w:val="24"/>
                <w:szCs w:val="24"/>
                <w:lang w:val="en-US"/>
              </w:rPr>
            </w:pPr>
            <w:r>
              <w:rPr>
                <w:rFonts w:ascii="Arial" w:hAnsi="Arial" w:cs="Arial"/>
                <w:bCs/>
                <w:color w:val="000000"/>
                <w:sz w:val="24"/>
                <w:szCs w:val="24"/>
                <w:lang w:val="en-US"/>
              </w:rPr>
              <w:t xml:space="preserve">67 </w:t>
            </w:r>
            <w:r w:rsidRPr="009326E3">
              <w:rPr>
                <w:rFonts w:ascii="Arial" w:hAnsi="Arial" w:cs="Arial"/>
                <w:bCs/>
                <w:color w:val="000000"/>
                <w:sz w:val="24"/>
                <w:szCs w:val="24"/>
                <w:lang w:val="en-US"/>
              </w:rPr>
              <w:t>348</w:t>
            </w:r>
          </w:p>
        </w:tc>
        <w:tc>
          <w:tcPr>
            <w:tcW w:w="2977" w:type="dxa"/>
            <w:noWrap/>
            <w:vAlign w:val="center"/>
            <w:hideMark/>
          </w:tcPr>
          <w:p w:rsidR="004D6897" w:rsidRPr="009326E3" w:rsidRDefault="004D6897" w:rsidP="003368BD">
            <w:pPr>
              <w:spacing w:before="60" w:after="60" w:line="240" w:lineRule="auto"/>
              <w:jc w:val="center"/>
              <w:rPr>
                <w:rFonts w:ascii="Arial" w:hAnsi="Arial" w:cs="Arial"/>
                <w:bCs/>
                <w:color w:val="000000"/>
                <w:sz w:val="24"/>
                <w:szCs w:val="24"/>
                <w:lang w:val="en-US"/>
              </w:rPr>
            </w:pPr>
            <w:r>
              <w:rPr>
                <w:rFonts w:ascii="Arial" w:hAnsi="Arial" w:cs="Arial"/>
                <w:bCs/>
                <w:color w:val="000000"/>
                <w:sz w:val="24"/>
                <w:szCs w:val="24"/>
                <w:lang w:val="en-US"/>
              </w:rPr>
              <w:t xml:space="preserve">23 </w:t>
            </w:r>
            <w:r w:rsidRPr="009326E3">
              <w:rPr>
                <w:rFonts w:ascii="Arial" w:hAnsi="Arial" w:cs="Arial"/>
                <w:bCs/>
                <w:color w:val="000000"/>
                <w:sz w:val="24"/>
                <w:szCs w:val="24"/>
                <w:lang w:val="en-US"/>
              </w:rPr>
              <w:t>794</w:t>
            </w:r>
          </w:p>
        </w:tc>
        <w:tc>
          <w:tcPr>
            <w:tcW w:w="1134" w:type="dxa"/>
            <w:noWrap/>
            <w:vAlign w:val="center"/>
            <w:hideMark/>
          </w:tcPr>
          <w:p w:rsidR="004D6897" w:rsidRPr="009326E3" w:rsidRDefault="004D6897" w:rsidP="003368BD">
            <w:pPr>
              <w:spacing w:before="60" w:after="60" w:line="240" w:lineRule="auto"/>
              <w:jc w:val="center"/>
              <w:rPr>
                <w:rFonts w:ascii="Arial" w:hAnsi="Arial" w:cs="Arial"/>
                <w:bCs/>
                <w:color w:val="000000"/>
                <w:sz w:val="24"/>
                <w:szCs w:val="24"/>
                <w:lang w:val="en-US"/>
              </w:rPr>
            </w:pPr>
            <w:r>
              <w:rPr>
                <w:rFonts w:ascii="Arial" w:hAnsi="Arial" w:cs="Arial"/>
                <w:bCs/>
                <w:color w:val="000000"/>
                <w:sz w:val="24"/>
                <w:szCs w:val="24"/>
                <w:lang w:val="en-US"/>
              </w:rPr>
              <w:t xml:space="preserve">122 </w:t>
            </w:r>
            <w:r w:rsidRPr="009326E3">
              <w:rPr>
                <w:rFonts w:ascii="Arial" w:hAnsi="Arial" w:cs="Arial"/>
                <w:bCs/>
                <w:color w:val="000000"/>
                <w:sz w:val="24"/>
                <w:szCs w:val="24"/>
                <w:lang w:val="en-US"/>
              </w:rPr>
              <w:t>769</w:t>
            </w:r>
          </w:p>
        </w:tc>
      </w:tr>
      <w:tr w:rsidR="004D6897" w:rsidRPr="009326E3" w:rsidTr="003368BD">
        <w:trPr>
          <w:trHeight w:val="300"/>
        </w:trPr>
        <w:tc>
          <w:tcPr>
            <w:tcW w:w="2268" w:type="dxa"/>
            <w:noWrap/>
            <w:vAlign w:val="center"/>
            <w:hideMark/>
          </w:tcPr>
          <w:p w:rsidR="004D6897" w:rsidRPr="009326E3" w:rsidRDefault="004D6897" w:rsidP="003368BD">
            <w:pPr>
              <w:spacing w:before="60" w:after="60" w:line="240" w:lineRule="auto"/>
              <w:jc w:val="center"/>
              <w:rPr>
                <w:rFonts w:ascii="Arial" w:hAnsi="Arial" w:cs="Arial"/>
                <w:color w:val="000000"/>
                <w:sz w:val="24"/>
                <w:szCs w:val="24"/>
                <w:lang w:val="en-US"/>
              </w:rPr>
            </w:pPr>
            <w:r w:rsidRPr="009326E3">
              <w:rPr>
                <w:rFonts w:ascii="Arial" w:hAnsi="Arial" w:cs="Arial"/>
                <w:color w:val="000000"/>
                <w:sz w:val="24"/>
                <w:szCs w:val="24"/>
                <w:lang w:val="en-US"/>
              </w:rPr>
              <w:t>26%</w:t>
            </w:r>
          </w:p>
        </w:tc>
        <w:tc>
          <w:tcPr>
            <w:tcW w:w="2410" w:type="dxa"/>
            <w:noWrap/>
            <w:vAlign w:val="center"/>
            <w:hideMark/>
          </w:tcPr>
          <w:p w:rsidR="004D6897" w:rsidRPr="009326E3" w:rsidRDefault="004D6897" w:rsidP="003368BD">
            <w:pPr>
              <w:spacing w:before="60" w:after="60" w:line="240" w:lineRule="auto"/>
              <w:jc w:val="center"/>
              <w:rPr>
                <w:rFonts w:ascii="Arial" w:hAnsi="Arial" w:cs="Arial"/>
                <w:color w:val="000000"/>
                <w:sz w:val="24"/>
                <w:szCs w:val="24"/>
                <w:lang w:val="en-US"/>
              </w:rPr>
            </w:pPr>
            <w:r w:rsidRPr="009326E3">
              <w:rPr>
                <w:rFonts w:ascii="Arial" w:hAnsi="Arial" w:cs="Arial"/>
                <w:color w:val="000000"/>
                <w:sz w:val="24"/>
                <w:szCs w:val="24"/>
                <w:lang w:val="en-US"/>
              </w:rPr>
              <w:t>55%</w:t>
            </w:r>
          </w:p>
        </w:tc>
        <w:tc>
          <w:tcPr>
            <w:tcW w:w="2977" w:type="dxa"/>
            <w:noWrap/>
            <w:vAlign w:val="center"/>
            <w:hideMark/>
          </w:tcPr>
          <w:p w:rsidR="004D6897" w:rsidRPr="009326E3" w:rsidRDefault="004D6897" w:rsidP="003368BD">
            <w:pPr>
              <w:spacing w:before="60" w:after="60" w:line="240" w:lineRule="auto"/>
              <w:jc w:val="center"/>
              <w:rPr>
                <w:rFonts w:ascii="Arial" w:hAnsi="Arial" w:cs="Arial"/>
                <w:color w:val="000000"/>
                <w:sz w:val="24"/>
                <w:szCs w:val="24"/>
                <w:lang w:val="en-US"/>
              </w:rPr>
            </w:pPr>
            <w:r w:rsidRPr="009326E3">
              <w:rPr>
                <w:rFonts w:ascii="Arial" w:hAnsi="Arial" w:cs="Arial"/>
                <w:color w:val="000000"/>
                <w:sz w:val="24"/>
                <w:szCs w:val="24"/>
                <w:lang w:val="en-US"/>
              </w:rPr>
              <w:t>19%</w:t>
            </w:r>
          </w:p>
        </w:tc>
        <w:tc>
          <w:tcPr>
            <w:tcW w:w="1134" w:type="dxa"/>
            <w:noWrap/>
            <w:vAlign w:val="center"/>
            <w:hideMark/>
          </w:tcPr>
          <w:p w:rsidR="004D6897" w:rsidRPr="009326E3" w:rsidRDefault="004D6897" w:rsidP="003368BD">
            <w:pPr>
              <w:spacing w:before="60" w:after="60" w:line="240" w:lineRule="auto"/>
              <w:jc w:val="center"/>
              <w:rPr>
                <w:rFonts w:ascii="Arial" w:hAnsi="Arial" w:cs="Arial"/>
                <w:color w:val="000000"/>
                <w:sz w:val="24"/>
                <w:szCs w:val="24"/>
                <w:lang w:val="en-US"/>
              </w:rPr>
            </w:pPr>
            <w:r w:rsidRPr="009326E3">
              <w:rPr>
                <w:rFonts w:ascii="Arial" w:hAnsi="Arial" w:cs="Arial"/>
                <w:color w:val="000000"/>
                <w:sz w:val="24"/>
                <w:szCs w:val="24"/>
                <w:lang w:val="en-US"/>
              </w:rPr>
              <w:t>100%</w:t>
            </w:r>
          </w:p>
        </w:tc>
      </w:tr>
    </w:tbl>
    <w:p w:rsidR="00A82B4C" w:rsidRPr="00A82B4C" w:rsidRDefault="004D6897" w:rsidP="00A82B4C">
      <w:pPr>
        <w:pStyle w:val="ListParagraph"/>
        <w:numPr>
          <w:ilvl w:val="0"/>
          <w:numId w:val="14"/>
        </w:numPr>
        <w:spacing w:before="360" w:after="240" w:line="360" w:lineRule="auto"/>
        <w:ind w:left="567" w:hanging="567"/>
        <w:contextualSpacing w:val="0"/>
        <w:jc w:val="both"/>
        <w:rPr>
          <w:rFonts w:ascii="Arial" w:hAnsi="Arial" w:cs="Arial"/>
          <w:b/>
          <w:sz w:val="24"/>
          <w:szCs w:val="24"/>
          <w:lang w:val="en-ZA"/>
        </w:rPr>
      </w:pPr>
      <w:r>
        <w:rPr>
          <w:rFonts w:ascii="Arial" w:hAnsi="Arial" w:cs="Arial"/>
          <w:sz w:val="24"/>
          <w:szCs w:val="24"/>
          <w:lang w:val="en-ZA"/>
        </w:rPr>
        <w:t>None of the drop</w:t>
      </w:r>
      <w:r w:rsidRPr="00A04BE3">
        <w:rPr>
          <w:rFonts w:ascii="Arial" w:hAnsi="Arial" w:cs="Arial"/>
          <w:sz w:val="24"/>
          <w:szCs w:val="24"/>
          <w:lang w:val="en-ZA"/>
        </w:rPr>
        <w:t xml:space="preserve">out debt was considered to have been prescribed as at </w:t>
      </w:r>
      <w:r>
        <w:rPr>
          <w:rFonts w:ascii="Arial" w:hAnsi="Arial" w:cs="Arial"/>
          <w:sz w:val="24"/>
          <w:szCs w:val="24"/>
          <w:lang w:val="en-ZA"/>
        </w:rPr>
        <w:br/>
      </w:r>
      <w:r w:rsidRPr="00A04BE3">
        <w:rPr>
          <w:rFonts w:ascii="Arial" w:hAnsi="Arial" w:cs="Arial"/>
          <w:sz w:val="24"/>
          <w:szCs w:val="24"/>
          <w:lang w:val="en-ZA"/>
        </w:rPr>
        <w:t xml:space="preserve">31 March 2017. </w:t>
      </w:r>
    </w:p>
    <w:p w:rsidR="004D6897" w:rsidRPr="00A82B4C" w:rsidRDefault="004D6897" w:rsidP="00A82B4C">
      <w:pPr>
        <w:pStyle w:val="ListParagraph"/>
        <w:spacing w:before="360" w:after="240" w:line="360" w:lineRule="auto"/>
        <w:ind w:left="567"/>
        <w:contextualSpacing w:val="0"/>
        <w:jc w:val="both"/>
        <w:rPr>
          <w:rFonts w:ascii="Arial" w:hAnsi="Arial" w:cs="Arial"/>
          <w:b/>
          <w:sz w:val="24"/>
          <w:szCs w:val="24"/>
          <w:lang w:val="en-ZA"/>
        </w:rPr>
      </w:pPr>
      <w:r w:rsidRPr="00A82B4C">
        <w:rPr>
          <w:rFonts w:ascii="Arial" w:hAnsi="Arial" w:cs="Arial"/>
          <w:sz w:val="24"/>
          <w:szCs w:val="24"/>
          <w:lang w:val="en-ZA"/>
        </w:rPr>
        <w:t>NSFAS only writes off debt in respect of individual debtors who are deceased or permanently disabled on receipt of death certificate and/or confirmation through the Department of Home Affairs in respect of deceased debtors and medical confirmation in respect of permanently disabled debtors. Data on write-offs in respect of debtors who have dropped out and are deceased or permanently disabled will require further analysis of the loan book.</w:t>
      </w:r>
    </w:p>
    <w:p w:rsidR="00F93BDA" w:rsidRDefault="004D6897" w:rsidP="00A82B4C">
      <w:pPr>
        <w:pStyle w:val="ListParagraph"/>
        <w:numPr>
          <w:ilvl w:val="0"/>
          <w:numId w:val="14"/>
        </w:numPr>
        <w:spacing w:before="360" w:after="240" w:line="360" w:lineRule="auto"/>
        <w:ind w:left="567" w:hanging="567"/>
        <w:contextualSpacing w:val="0"/>
        <w:jc w:val="both"/>
        <w:rPr>
          <w:rFonts w:ascii="Arial" w:hAnsi="Arial" w:cs="Arial"/>
          <w:b/>
          <w:sz w:val="24"/>
          <w:szCs w:val="24"/>
        </w:rPr>
      </w:pPr>
      <w:r w:rsidRPr="009326E3">
        <w:rPr>
          <w:rFonts w:ascii="Arial" w:hAnsi="Arial" w:cs="Arial"/>
          <w:sz w:val="24"/>
          <w:szCs w:val="24"/>
        </w:rPr>
        <w:t xml:space="preserve">Debt </w:t>
      </w:r>
      <w:r w:rsidRPr="001246ED">
        <w:rPr>
          <w:rFonts w:ascii="Arial" w:hAnsi="Arial" w:cs="Arial"/>
          <w:sz w:val="24"/>
          <w:szCs w:val="24"/>
          <w:lang w:val="en-ZA"/>
        </w:rPr>
        <w:t>written</w:t>
      </w:r>
      <w:r w:rsidRPr="009326E3">
        <w:rPr>
          <w:rFonts w:ascii="Arial" w:hAnsi="Arial" w:cs="Arial"/>
          <w:sz w:val="24"/>
          <w:szCs w:val="24"/>
        </w:rPr>
        <w:t xml:space="preserve"> off due to </w:t>
      </w:r>
      <w:r>
        <w:rPr>
          <w:rFonts w:ascii="Arial" w:hAnsi="Arial" w:cs="Arial"/>
          <w:sz w:val="24"/>
          <w:szCs w:val="24"/>
        </w:rPr>
        <w:t>death or permanent disability are</w:t>
      </w:r>
      <w:r w:rsidRPr="009326E3">
        <w:rPr>
          <w:rFonts w:ascii="Arial" w:hAnsi="Arial" w:cs="Arial"/>
          <w:sz w:val="24"/>
          <w:szCs w:val="24"/>
        </w:rPr>
        <w:t xml:space="preserve"> not included in the total amoun</w:t>
      </w:r>
      <w:r>
        <w:rPr>
          <w:rFonts w:ascii="Arial" w:hAnsi="Arial" w:cs="Arial"/>
          <w:sz w:val="24"/>
          <w:szCs w:val="24"/>
        </w:rPr>
        <w:t>t of debt owed to NSFAS by drop</w:t>
      </w:r>
      <w:r w:rsidRPr="009326E3">
        <w:rPr>
          <w:rFonts w:ascii="Arial" w:hAnsi="Arial" w:cs="Arial"/>
          <w:sz w:val="24"/>
          <w:szCs w:val="24"/>
        </w:rPr>
        <w:t>outs.</w:t>
      </w:r>
    </w:p>
    <w:p w:rsidR="007D5278" w:rsidRDefault="007D5278" w:rsidP="007D5278">
      <w:pPr>
        <w:spacing w:after="240" w:line="360" w:lineRule="auto"/>
        <w:rPr>
          <w:rFonts w:ascii="Arial" w:hAnsi="Arial" w:cs="Arial"/>
          <w:noProof/>
          <w:sz w:val="24"/>
          <w:szCs w:val="24"/>
          <w:lang w:val="af-ZA"/>
        </w:rPr>
      </w:pPr>
      <w:bookmarkStart w:id="0" w:name="_GoBack"/>
      <w:bookmarkEnd w:id="0"/>
      <w:r>
        <w:rPr>
          <w:rFonts w:ascii="Arial" w:hAnsi="Arial" w:cs="Arial"/>
          <w:noProof/>
          <w:sz w:val="24"/>
          <w:szCs w:val="24"/>
          <w:lang w:val="af-ZA"/>
        </w:rPr>
        <w:br w:type="page"/>
      </w:r>
    </w:p>
    <w:p w:rsidR="009B68D7" w:rsidRPr="001246ED" w:rsidRDefault="009B68D7" w:rsidP="009B68D7">
      <w:pPr>
        <w:spacing w:line="360" w:lineRule="auto"/>
        <w:jc w:val="both"/>
        <w:rPr>
          <w:rFonts w:ascii="Arial" w:hAnsi="Arial" w:cs="Arial"/>
          <w:b/>
          <w:bCs/>
          <w:sz w:val="24"/>
          <w:szCs w:val="24"/>
        </w:rPr>
      </w:pPr>
      <w:r w:rsidRPr="001246ED">
        <w:rPr>
          <w:rFonts w:ascii="Arial" w:hAnsi="Arial" w:cs="Arial"/>
          <w:b/>
          <w:bCs/>
          <w:sz w:val="24"/>
          <w:szCs w:val="24"/>
        </w:rPr>
        <w:lastRenderedPageBreak/>
        <w:t>COMPILER DETAILS</w:t>
      </w:r>
    </w:p>
    <w:p w:rsidR="009B68D7" w:rsidRPr="00D13BB2" w:rsidRDefault="009B68D7" w:rsidP="009B68D7">
      <w:pPr>
        <w:spacing w:line="360" w:lineRule="auto"/>
        <w:jc w:val="both"/>
        <w:rPr>
          <w:rFonts w:ascii="Arial" w:hAnsi="Arial" w:cs="Arial"/>
          <w:bCs/>
          <w:sz w:val="24"/>
          <w:szCs w:val="24"/>
        </w:rPr>
      </w:pPr>
      <w:r w:rsidRPr="00D13BB2">
        <w:rPr>
          <w:rFonts w:ascii="Arial" w:hAnsi="Arial" w:cs="Arial"/>
          <w:bCs/>
          <w:sz w:val="24"/>
          <w:szCs w:val="24"/>
        </w:rPr>
        <w:t>NAME AND SURNAME: MR MORGAN NHIWATIWA</w:t>
      </w:r>
    </w:p>
    <w:p w:rsidR="009B68D7" w:rsidRPr="00D13BB2" w:rsidRDefault="009B68D7" w:rsidP="009B68D7">
      <w:pPr>
        <w:spacing w:after="360" w:line="360" w:lineRule="auto"/>
        <w:jc w:val="both"/>
        <w:rPr>
          <w:rFonts w:ascii="Arial" w:hAnsi="Arial" w:cs="Arial"/>
          <w:bCs/>
          <w:sz w:val="24"/>
          <w:szCs w:val="24"/>
        </w:rPr>
      </w:pPr>
      <w:r w:rsidRPr="00D13BB2">
        <w:rPr>
          <w:rFonts w:ascii="Arial" w:hAnsi="Arial" w:cs="Arial"/>
          <w:bCs/>
          <w:sz w:val="24"/>
          <w:szCs w:val="24"/>
        </w:rPr>
        <w:t>CONTACT: 021 763 3200/EXTENSION 289</w:t>
      </w:r>
    </w:p>
    <w:p w:rsidR="009B68D7" w:rsidRPr="001246ED" w:rsidRDefault="009B68D7" w:rsidP="009B68D7">
      <w:pPr>
        <w:spacing w:line="360" w:lineRule="auto"/>
        <w:jc w:val="both"/>
        <w:rPr>
          <w:rFonts w:ascii="Arial" w:hAnsi="Arial" w:cs="Arial"/>
          <w:b/>
          <w:bCs/>
          <w:sz w:val="24"/>
          <w:szCs w:val="24"/>
        </w:rPr>
      </w:pPr>
      <w:r w:rsidRPr="001246ED">
        <w:rPr>
          <w:rFonts w:ascii="Arial" w:hAnsi="Arial" w:cs="Arial"/>
          <w:b/>
          <w:bCs/>
          <w:sz w:val="24"/>
          <w:szCs w:val="24"/>
        </w:rPr>
        <w:t xml:space="preserve">RECOMMENDATION </w:t>
      </w:r>
    </w:p>
    <w:p w:rsidR="009B68D7" w:rsidRPr="00D13BB2" w:rsidRDefault="009B68D7" w:rsidP="009B68D7">
      <w:pPr>
        <w:spacing w:line="360" w:lineRule="auto"/>
        <w:jc w:val="both"/>
        <w:rPr>
          <w:rFonts w:ascii="Arial" w:hAnsi="Arial" w:cs="Arial"/>
          <w:bCs/>
          <w:sz w:val="24"/>
          <w:szCs w:val="24"/>
        </w:rPr>
      </w:pPr>
      <w:r w:rsidRPr="00D13BB2">
        <w:rPr>
          <w:rFonts w:ascii="Arial" w:hAnsi="Arial" w:cs="Arial"/>
          <w:bCs/>
          <w:sz w:val="24"/>
          <w:szCs w:val="24"/>
        </w:rPr>
        <w:t xml:space="preserve">It is recommended that the Minister signs Parliamentary Question </w:t>
      </w:r>
      <w:r>
        <w:rPr>
          <w:rFonts w:ascii="Arial" w:hAnsi="Arial" w:cs="Arial"/>
          <w:sz w:val="24"/>
          <w:szCs w:val="24"/>
        </w:rPr>
        <w:t>23</w:t>
      </w:r>
      <w:r w:rsidRPr="00D13BB2">
        <w:rPr>
          <w:rFonts w:ascii="Arial" w:hAnsi="Arial" w:cs="Arial"/>
          <w:bCs/>
          <w:sz w:val="24"/>
          <w:szCs w:val="24"/>
        </w:rPr>
        <w:t>.</w:t>
      </w:r>
    </w:p>
    <w:p w:rsidR="009B68D7" w:rsidRPr="00D13BB2" w:rsidRDefault="009B68D7" w:rsidP="009B68D7">
      <w:pPr>
        <w:spacing w:line="360" w:lineRule="auto"/>
        <w:jc w:val="both"/>
        <w:rPr>
          <w:rFonts w:ascii="Arial" w:hAnsi="Arial" w:cs="Arial"/>
          <w:bCs/>
          <w:sz w:val="24"/>
          <w:szCs w:val="24"/>
        </w:rPr>
      </w:pPr>
    </w:p>
    <w:p w:rsidR="009B68D7" w:rsidRDefault="009B68D7" w:rsidP="009B68D7">
      <w:pPr>
        <w:spacing w:line="360" w:lineRule="auto"/>
        <w:jc w:val="both"/>
        <w:rPr>
          <w:rFonts w:ascii="Arial" w:hAnsi="Arial" w:cs="Arial"/>
          <w:bCs/>
          <w:sz w:val="24"/>
          <w:szCs w:val="24"/>
        </w:rPr>
      </w:pPr>
    </w:p>
    <w:p w:rsidR="009B68D7" w:rsidRPr="00D13BB2" w:rsidRDefault="009B68D7" w:rsidP="009B68D7">
      <w:pPr>
        <w:spacing w:line="360" w:lineRule="auto"/>
        <w:jc w:val="both"/>
        <w:rPr>
          <w:rFonts w:ascii="Arial" w:hAnsi="Arial" w:cs="Arial"/>
          <w:bCs/>
          <w:sz w:val="24"/>
          <w:szCs w:val="24"/>
        </w:rPr>
      </w:pPr>
    </w:p>
    <w:p w:rsidR="009B68D7" w:rsidRPr="00D13BB2" w:rsidRDefault="009B68D7" w:rsidP="009B68D7">
      <w:pPr>
        <w:spacing w:after="0" w:line="360" w:lineRule="auto"/>
        <w:jc w:val="both"/>
        <w:rPr>
          <w:rFonts w:ascii="Arial" w:hAnsi="Arial" w:cs="Arial"/>
          <w:sz w:val="24"/>
          <w:szCs w:val="24"/>
        </w:rPr>
      </w:pPr>
      <w:r w:rsidRPr="00D13BB2">
        <w:rPr>
          <w:rFonts w:ascii="Arial" w:hAnsi="Arial" w:cs="Arial"/>
          <w:sz w:val="24"/>
          <w:szCs w:val="24"/>
        </w:rPr>
        <w:t>MR GF QONDE</w:t>
      </w:r>
    </w:p>
    <w:p w:rsidR="009B68D7" w:rsidRPr="00D13BB2" w:rsidRDefault="009B68D7" w:rsidP="009B68D7">
      <w:pPr>
        <w:spacing w:line="360" w:lineRule="auto"/>
        <w:jc w:val="both"/>
        <w:rPr>
          <w:rFonts w:ascii="Arial" w:hAnsi="Arial" w:cs="Arial"/>
          <w:sz w:val="24"/>
          <w:szCs w:val="24"/>
        </w:rPr>
      </w:pPr>
      <w:r w:rsidRPr="00D13BB2">
        <w:rPr>
          <w:rFonts w:ascii="Arial" w:hAnsi="Arial" w:cs="Arial"/>
          <w:sz w:val="24"/>
          <w:szCs w:val="24"/>
        </w:rPr>
        <w:t xml:space="preserve">DIRECTOR–GENERAL: HIGHER EDUCATION AND TRAINING </w:t>
      </w:r>
    </w:p>
    <w:p w:rsidR="009B68D7" w:rsidRPr="00D13BB2" w:rsidRDefault="009B68D7" w:rsidP="009B68D7">
      <w:pPr>
        <w:spacing w:after="0" w:line="360" w:lineRule="auto"/>
        <w:jc w:val="both"/>
        <w:rPr>
          <w:rFonts w:ascii="Arial" w:hAnsi="Arial" w:cs="Arial"/>
          <w:sz w:val="24"/>
          <w:szCs w:val="24"/>
        </w:rPr>
      </w:pPr>
      <w:r w:rsidRPr="00D13BB2">
        <w:rPr>
          <w:rFonts w:ascii="Arial" w:hAnsi="Arial" w:cs="Arial"/>
          <w:sz w:val="24"/>
          <w:szCs w:val="24"/>
        </w:rPr>
        <w:t>DATE:</w:t>
      </w:r>
    </w:p>
    <w:p w:rsidR="009B68D7" w:rsidRPr="00D13BB2" w:rsidRDefault="009B68D7" w:rsidP="009B68D7">
      <w:pPr>
        <w:spacing w:after="360" w:line="360" w:lineRule="auto"/>
        <w:jc w:val="both"/>
        <w:rPr>
          <w:rFonts w:ascii="Arial" w:hAnsi="Arial" w:cs="Arial"/>
          <w:sz w:val="24"/>
          <w:szCs w:val="24"/>
        </w:rPr>
      </w:pPr>
    </w:p>
    <w:p w:rsidR="009B68D7" w:rsidRPr="00D13BB2" w:rsidRDefault="009B68D7" w:rsidP="009B68D7">
      <w:pPr>
        <w:spacing w:after="360" w:line="360" w:lineRule="auto"/>
        <w:jc w:val="both"/>
        <w:rPr>
          <w:rFonts w:ascii="Arial" w:hAnsi="Arial" w:cs="Arial"/>
          <w:sz w:val="24"/>
          <w:szCs w:val="24"/>
        </w:rPr>
      </w:pPr>
      <w:r w:rsidRPr="00D13BB2">
        <w:rPr>
          <w:rFonts w:ascii="Arial" w:hAnsi="Arial" w:cs="Arial"/>
          <w:sz w:val="24"/>
          <w:szCs w:val="24"/>
        </w:rPr>
        <w:t xml:space="preserve">PARLIAMENTARY QUESTION </w:t>
      </w:r>
      <w:r>
        <w:rPr>
          <w:rFonts w:ascii="Arial" w:hAnsi="Arial" w:cs="Arial"/>
          <w:bCs/>
          <w:sz w:val="24"/>
          <w:szCs w:val="24"/>
        </w:rPr>
        <w:t xml:space="preserve">23 </w:t>
      </w:r>
      <w:r w:rsidRPr="00D13BB2">
        <w:rPr>
          <w:rFonts w:ascii="Arial" w:hAnsi="Arial" w:cs="Arial"/>
          <w:sz w:val="24"/>
          <w:szCs w:val="24"/>
        </w:rPr>
        <w:t>IS APPROVED / NOT APPROVED / AMENDED.</w:t>
      </w:r>
    </w:p>
    <w:p w:rsidR="009B68D7" w:rsidRPr="00D13BB2" w:rsidRDefault="009B68D7" w:rsidP="009B68D7">
      <w:pPr>
        <w:spacing w:line="360" w:lineRule="auto"/>
        <w:jc w:val="both"/>
        <w:rPr>
          <w:rFonts w:ascii="Arial" w:hAnsi="Arial" w:cs="Arial"/>
          <w:sz w:val="24"/>
          <w:szCs w:val="24"/>
        </w:rPr>
      </w:pPr>
      <w:r w:rsidRPr="00D13BB2">
        <w:rPr>
          <w:rFonts w:ascii="Arial" w:hAnsi="Arial" w:cs="Arial"/>
          <w:sz w:val="24"/>
          <w:szCs w:val="24"/>
        </w:rPr>
        <w:t>COMMENTS</w:t>
      </w:r>
    </w:p>
    <w:p w:rsidR="009B68D7" w:rsidRPr="00D13BB2" w:rsidRDefault="009B68D7" w:rsidP="009B68D7">
      <w:pPr>
        <w:spacing w:line="360" w:lineRule="auto"/>
        <w:jc w:val="both"/>
        <w:rPr>
          <w:rFonts w:ascii="Arial" w:hAnsi="Arial" w:cs="Arial"/>
          <w:sz w:val="24"/>
          <w:szCs w:val="24"/>
        </w:rPr>
      </w:pPr>
    </w:p>
    <w:p w:rsidR="009B68D7" w:rsidRPr="00D13BB2" w:rsidRDefault="009B68D7" w:rsidP="009B68D7">
      <w:pPr>
        <w:spacing w:line="360" w:lineRule="auto"/>
        <w:jc w:val="both"/>
        <w:rPr>
          <w:rFonts w:ascii="Arial" w:hAnsi="Arial" w:cs="Arial"/>
          <w:sz w:val="24"/>
          <w:szCs w:val="24"/>
        </w:rPr>
      </w:pPr>
    </w:p>
    <w:p w:rsidR="009B68D7" w:rsidRPr="00D13BB2" w:rsidRDefault="009B68D7" w:rsidP="009B68D7">
      <w:pPr>
        <w:spacing w:line="360" w:lineRule="auto"/>
        <w:jc w:val="both"/>
        <w:rPr>
          <w:rFonts w:ascii="Arial" w:hAnsi="Arial" w:cs="Arial"/>
          <w:sz w:val="24"/>
          <w:szCs w:val="24"/>
        </w:rPr>
      </w:pPr>
    </w:p>
    <w:p w:rsidR="009B68D7" w:rsidRPr="00D13BB2" w:rsidRDefault="009B68D7" w:rsidP="009B68D7">
      <w:pPr>
        <w:spacing w:line="360" w:lineRule="auto"/>
        <w:jc w:val="both"/>
        <w:rPr>
          <w:rFonts w:ascii="Arial" w:hAnsi="Arial" w:cs="Arial"/>
          <w:sz w:val="24"/>
          <w:szCs w:val="24"/>
        </w:rPr>
      </w:pPr>
    </w:p>
    <w:p w:rsidR="009B68D7" w:rsidRPr="00D13BB2" w:rsidRDefault="009B68D7" w:rsidP="009B68D7">
      <w:pPr>
        <w:spacing w:after="0" w:line="360" w:lineRule="auto"/>
        <w:jc w:val="both"/>
        <w:rPr>
          <w:rFonts w:ascii="Arial" w:hAnsi="Arial" w:cs="Arial"/>
          <w:sz w:val="24"/>
          <w:szCs w:val="24"/>
        </w:rPr>
      </w:pPr>
      <w:r w:rsidRPr="00D13BB2">
        <w:rPr>
          <w:rFonts w:ascii="Arial" w:hAnsi="Arial" w:cs="Arial"/>
          <w:sz w:val="24"/>
          <w:szCs w:val="24"/>
        </w:rPr>
        <w:t>PROF HB MKHIZE, MP</w:t>
      </w:r>
    </w:p>
    <w:p w:rsidR="009B68D7" w:rsidRPr="00D13BB2" w:rsidRDefault="009B68D7" w:rsidP="009B68D7">
      <w:pPr>
        <w:spacing w:line="360" w:lineRule="auto"/>
        <w:jc w:val="both"/>
        <w:rPr>
          <w:rFonts w:ascii="Arial" w:hAnsi="Arial" w:cs="Arial"/>
          <w:sz w:val="24"/>
          <w:szCs w:val="24"/>
        </w:rPr>
      </w:pPr>
      <w:r w:rsidRPr="00D13BB2">
        <w:rPr>
          <w:rFonts w:ascii="Arial" w:hAnsi="Arial" w:cs="Arial"/>
          <w:sz w:val="24"/>
          <w:szCs w:val="24"/>
        </w:rPr>
        <w:t>MINISTER OF HIGHER EDUCATION AND TRAINING</w:t>
      </w:r>
    </w:p>
    <w:p w:rsidR="00D812CE" w:rsidRPr="00ED188E" w:rsidRDefault="009B68D7" w:rsidP="003067D4">
      <w:pPr>
        <w:spacing w:line="360" w:lineRule="auto"/>
        <w:jc w:val="both"/>
        <w:rPr>
          <w:rFonts w:ascii="Arial" w:hAnsi="Arial" w:cs="Arial"/>
          <w:sz w:val="24"/>
          <w:szCs w:val="24"/>
        </w:rPr>
      </w:pPr>
      <w:r w:rsidRPr="00D13BB2">
        <w:rPr>
          <w:rFonts w:ascii="Arial" w:hAnsi="Arial" w:cs="Arial"/>
          <w:sz w:val="24"/>
          <w:szCs w:val="24"/>
        </w:rPr>
        <w:t>DATE:</w:t>
      </w:r>
    </w:p>
    <w:sectPr w:rsidR="00D812CE" w:rsidRPr="00ED188E" w:rsidSect="007D5278">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4" w15:restartNumberingAfterBreak="0">
    <w:nsid w:val="253D4E51"/>
    <w:multiLevelType w:val="hybridMultilevel"/>
    <w:tmpl w:val="F9FE40E2"/>
    <w:lvl w:ilvl="0" w:tplc="6AAE30D8">
      <w:start w:val="1"/>
      <w:numFmt w:val="lowerLetter"/>
      <w:lvlText w:val="(%1)"/>
      <w:lvlJc w:val="left"/>
      <w:pPr>
        <w:ind w:left="360" w:hanging="360"/>
      </w:pPr>
      <w:rPr>
        <w:rFonts w:hint="default"/>
        <w:b w:val="0"/>
        <w:sz w:val="24"/>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8"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9"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1"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3"/>
  </w:num>
  <w:num w:numId="3">
    <w:abstractNumId w:val="9"/>
  </w:num>
  <w:num w:numId="4">
    <w:abstractNumId w:val="2"/>
  </w:num>
  <w:num w:numId="5">
    <w:abstractNumId w:val="12"/>
  </w:num>
  <w:num w:numId="6">
    <w:abstractNumId w:val="8"/>
  </w:num>
  <w:num w:numId="7">
    <w:abstractNumId w:val="10"/>
  </w:num>
  <w:num w:numId="8">
    <w:abstractNumId w:val="7"/>
  </w:num>
  <w:num w:numId="9">
    <w:abstractNumId w:val="11"/>
  </w:num>
  <w:num w:numId="10">
    <w:abstractNumId w:val="3"/>
  </w:num>
  <w:num w:numId="11">
    <w:abstractNumId w:val="5"/>
  </w:num>
  <w:num w:numId="12">
    <w:abstractNumId w:val="1"/>
  </w:num>
  <w:num w:numId="13">
    <w:abstractNumId w:val="6"/>
  </w:num>
  <w:num w:numId="1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7FB5"/>
    <w:rsid w:val="000D7B81"/>
    <w:rsid w:val="000E2985"/>
    <w:rsid w:val="000E44C0"/>
    <w:rsid w:val="000E44D4"/>
    <w:rsid w:val="000F4759"/>
    <w:rsid w:val="000F62AA"/>
    <w:rsid w:val="00101559"/>
    <w:rsid w:val="00102241"/>
    <w:rsid w:val="0010402E"/>
    <w:rsid w:val="0010795D"/>
    <w:rsid w:val="00117E3E"/>
    <w:rsid w:val="00125282"/>
    <w:rsid w:val="00127F6D"/>
    <w:rsid w:val="00135E62"/>
    <w:rsid w:val="00141436"/>
    <w:rsid w:val="00147BA4"/>
    <w:rsid w:val="0015436C"/>
    <w:rsid w:val="00154A43"/>
    <w:rsid w:val="001604E3"/>
    <w:rsid w:val="00161C06"/>
    <w:rsid w:val="001626A3"/>
    <w:rsid w:val="00163358"/>
    <w:rsid w:val="001648A7"/>
    <w:rsid w:val="0017030D"/>
    <w:rsid w:val="00170F48"/>
    <w:rsid w:val="00171E0F"/>
    <w:rsid w:val="001824D4"/>
    <w:rsid w:val="00183250"/>
    <w:rsid w:val="00187F34"/>
    <w:rsid w:val="00191755"/>
    <w:rsid w:val="001954F0"/>
    <w:rsid w:val="001958D8"/>
    <w:rsid w:val="00196461"/>
    <w:rsid w:val="001A01DC"/>
    <w:rsid w:val="001A06E7"/>
    <w:rsid w:val="001A1252"/>
    <w:rsid w:val="001A277A"/>
    <w:rsid w:val="001C33B5"/>
    <w:rsid w:val="001C6A3B"/>
    <w:rsid w:val="001C7AFC"/>
    <w:rsid w:val="001D3D9C"/>
    <w:rsid w:val="001D7C6A"/>
    <w:rsid w:val="001E0CB6"/>
    <w:rsid w:val="001E36DF"/>
    <w:rsid w:val="001E6697"/>
    <w:rsid w:val="001E6F96"/>
    <w:rsid w:val="001F4B7D"/>
    <w:rsid w:val="001F6833"/>
    <w:rsid w:val="001F7DEE"/>
    <w:rsid w:val="0020681E"/>
    <w:rsid w:val="0020779F"/>
    <w:rsid w:val="00217678"/>
    <w:rsid w:val="002264C4"/>
    <w:rsid w:val="00241F09"/>
    <w:rsid w:val="00245A6B"/>
    <w:rsid w:val="00247CDD"/>
    <w:rsid w:val="00250110"/>
    <w:rsid w:val="0025309B"/>
    <w:rsid w:val="00253A84"/>
    <w:rsid w:val="00264295"/>
    <w:rsid w:val="00265A26"/>
    <w:rsid w:val="00265A88"/>
    <w:rsid w:val="002670F8"/>
    <w:rsid w:val="00270825"/>
    <w:rsid w:val="00270D17"/>
    <w:rsid w:val="002803C5"/>
    <w:rsid w:val="002811BB"/>
    <w:rsid w:val="00281AF9"/>
    <w:rsid w:val="0029157E"/>
    <w:rsid w:val="002937B8"/>
    <w:rsid w:val="0029441E"/>
    <w:rsid w:val="0029445D"/>
    <w:rsid w:val="002A653F"/>
    <w:rsid w:val="002A76BD"/>
    <w:rsid w:val="002A7DF4"/>
    <w:rsid w:val="002C0C62"/>
    <w:rsid w:val="002C16FF"/>
    <w:rsid w:val="002C1EE8"/>
    <w:rsid w:val="002C5243"/>
    <w:rsid w:val="002C55C5"/>
    <w:rsid w:val="002C60A6"/>
    <w:rsid w:val="002D1424"/>
    <w:rsid w:val="002D59C2"/>
    <w:rsid w:val="002E3161"/>
    <w:rsid w:val="002E397C"/>
    <w:rsid w:val="002F4DC9"/>
    <w:rsid w:val="002F61C7"/>
    <w:rsid w:val="002F6B49"/>
    <w:rsid w:val="00300A04"/>
    <w:rsid w:val="00300C93"/>
    <w:rsid w:val="00305BF7"/>
    <w:rsid w:val="003067D4"/>
    <w:rsid w:val="003103EA"/>
    <w:rsid w:val="00313A4B"/>
    <w:rsid w:val="00315B13"/>
    <w:rsid w:val="00317B06"/>
    <w:rsid w:val="00323ED3"/>
    <w:rsid w:val="003309B5"/>
    <w:rsid w:val="003341B6"/>
    <w:rsid w:val="0033629B"/>
    <w:rsid w:val="0034213A"/>
    <w:rsid w:val="00344509"/>
    <w:rsid w:val="0034605E"/>
    <w:rsid w:val="003461B2"/>
    <w:rsid w:val="003517A1"/>
    <w:rsid w:val="00351E0F"/>
    <w:rsid w:val="0035694A"/>
    <w:rsid w:val="00356B7E"/>
    <w:rsid w:val="00361776"/>
    <w:rsid w:val="00366A3A"/>
    <w:rsid w:val="00375823"/>
    <w:rsid w:val="0037732E"/>
    <w:rsid w:val="00377C10"/>
    <w:rsid w:val="00387EBB"/>
    <w:rsid w:val="00394593"/>
    <w:rsid w:val="003A43F7"/>
    <w:rsid w:val="003A4577"/>
    <w:rsid w:val="003A5556"/>
    <w:rsid w:val="003A7BFD"/>
    <w:rsid w:val="003B48F6"/>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72ED"/>
    <w:rsid w:val="004800DC"/>
    <w:rsid w:val="00491C5B"/>
    <w:rsid w:val="00492A36"/>
    <w:rsid w:val="00493F06"/>
    <w:rsid w:val="004965B4"/>
    <w:rsid w:val="004A043E"/>
    <w:rsid w:val="004B7E13"/>
    <w:rsid w:val="004C4F38"/>
    <w:rsid w:val="004C54F6"/>
    <w:rsid w:val="004D1ED6"/>
    <w:rsid w:val="004D2BE1"/>
    <w:rsid w:val="004D6897"/>
    <w:rsid w:val="004D74FD"/>
    <w:rsid w:val="004E0458"/>
    <w:rsid w:val="00504B93"/>
    <w:rsid w:val="00506E45"/>
    <w:rsid w:val="005127E5"/>
    <w:rsid w:val="005223B8"/>
    <w:rsid w:val="005237E8"/>
    <w:rsid w:val="00532713"/>
    <w:rsid w:val="0054768E"/>
    <w:rsid w:val="00550767"/>
    <w:rsid w:val="00552E00"/>
    <w:rsid w:val="00555C31"/>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09C8"/>
    <w:rsid w:val="006014F3"/>
    <w:rsid w:val="00602765"/>
    <w:rsid w:val="0060322B"/>
    <w:rsid w:val="006034E7"/>
    <w:rsid w:val="00604366"/>
    <w:rsid w:val="00606507"/>
    <w:rsid w:val="00613250"/>
    <w:rsid w:val="006172DA"/>
    <w:rsid w:val="00620AF6"/>
    <w:rsid w:val="00620EFD"/>
    <w:rsid w:val="00621FE9"/>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32D"/>
    <w:rsid w:val="006B3F3B"/>
    <w:rsid w:val="006B438D"/>
    <w:rsid w:val="006B5024"/>
    <w:rsid w:val="006E3002"/>
    <w:rsid w:val="006E3244"/>
    <w:rsid w:val="006F3A6E"/>
    <w:rsid w:val="00702601"/>
    <w:rsid w:val="00702F9A"/>
    <w:rsid w:val="00703DAD"/>
    <w:rsid w:val="00707E92"/>
    <w:rsid w:val="007141FA"/>
    <w:rsid w:val="00714E5D"/>
    <w:rsid w:val="00714E82"/>
    <w:rsid w:val="0071591A"/>
    <w:rsid w:val="00716D6B"/>
    <w:rsid w:val="0073126D"/>
    <w:rsid w:val="0073173A"/>
    <w:rsid w:val="0073499F"/>
    <w:rsid w:val="00740B88"/>
    <w:rsid w:val="00743818"/>
    <w:rsid w:val="00743B02"/>
    <w:rsid w:val="00744BEC"/>
    <w:rsid w:val="0075414E"/>
    <w:rsid w:val="00755ED4"/>
    <w:rsid w:val="00762D5D"/>
    <w:rsid w:val="00763A07"/>
    <w:rsid w:val="00766859"/>
    <w:rsid w:val="00766ABE"/>
    <w:rsid w:val="00766ADD"/>
    <w:rsid w:val="00770DA0"/>
    <w:rsid w:val="007775FD"/>
    <w:rsid w:val="007810CD"/>
    <w:rsid w:val="00783AE6"/>
    <w:rsid w:val="00797E6D"/>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37482"/>
    <w:rsid w:val="008405D6"/>
    <w:rsid w:val="0084308D"/>
    <w:rsid w:val="008455F2"/>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5F73"/>
    <w:rsid w:val="008F42DA"/>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42B8"/>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B68D7"/>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22634"/>
    <w:rsid w:val="00A31100"/>
    <w:rsid w:val="00A35E21"/>
    <w:rsid w:val="00A37101"/>
    <w:rsid w:val="00A37621"/>
    <w:rsid w:val="00A4607B"/>
    <w:rsid w:val="00A51526"/>
    <w:rsid w:val="00A53CDA"/>
    <w:rsid w:val="00A55B89"/>
    <w:rsid w:val="00A73DAA"/>
    <w:rsid w:val="00A8120A"/>
    <w:rsid w:val="00A82B4C"/>
    <w:rsid w:val="00A858CE"/>
    <w:rsid w:val="00A86CC6"/>
    <w:rsid w:val="00A9633F"/>
    <w:rsid w:val="00A97D2E"/>
    <w:rsid w:val="00AA246C"/>
    <w:rsid w:val="00AA3944"/>
    <w:rsid w:val="00AA7A72"/>
    <w:rsid w:val="00AB006F"/>
    <w:rsid w:val="00AB0621"/>
    <w:rsid w:val="00AB25B2"/>
    <w:rsid w:val="00AB51D8"/>
    <w:rsid w:val="00AC2325"/>
    <w:rsid w:val="00AC5AB2"/>
    <w:rsid w:val="00AD1373"/>
    <w:rsid w:val="00AD2B1D"/>
    <w:rsid w:val="00AD7E6B"/>
    <w:rsid w:val="00AE0682"/>
    <w:rsid w:val="00AE3241"/>
    <w:rsid w:val="00B02C57"/>
    <w:rsid w:val="00B10FD3"/>
    <w:rsid w:val="00B122E9"/>
    <w:rsid w:val="00B12389"/>
    <w:rsid w:val="00B16C29"/>
    <w:rsid w:val="00B25D9E"/>
    <w:rsid w:val="00B30C6E"/>
    <w:rsid w:val="00B3246D"/>
    <w:rsid w:val="00B32FD8"/>
    <w:rsid w:val="00B41483"/>
    <w:rsid w:val="00B4178D"/>
    <w:rsid w:val="00B42D63"/>
    <w:rsid w:val="00B43DD3"/>
    <w:rsid w:val="00B4760C"/>
    <w:rsid w:val="00B64A91"/>
    <w:rsid w:val="00B71C72"/>
    <w:rsid w:val="00B757E2"/>
    <w:rsid w:val="00B8067B"/>
    <w:rsid w:val="00B84F03"/>
    <w:rsid w:val="00B8505E"/>
    <w:rsid w:val="00B85F42"/>
    <w:rsid w:val="00B93D55"/>
    <w:rsid w:val="00B943F8"/>
    <w:rsid w:val="00B9731E"/>
    <w:rsid w:val="00BA05E4"/>
    <w:rsid w:val="00BA0B15"/>
    <w:rsid w:val="00BB2D2A"/>
    <w:rsid w:val="00BC0761"/>
    <w:rsid w:val="00BC0884"/>
    <w:rsid w:val="00BC6170"/>
    <w:rsid w:val="00BD2317"/>
    <w:rsid w:val="00BE1AAF"/>
    <w:rsid w:val="00BE2524"/>
    <w:rsid w:val="00BF0299"/>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820B0"/>
    <w:rsid w:val="00C847AC"/>
    <w:rsid w:val="00C865AF"/>
    <w:rsid w:val="00C8668A"/>
    <w:rsid w:val="00C9549B"/>
    <w:rsid w:val="00CA1F30"/>
    <w:rsid w:val="00CA541F"/>
    <w:rsid w:val="00CB4850"/>
    <w:rsid w:val="00CB5B44"/>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3A7"/>
    <w:rsid w:val="00D516B0"/>
    <w:rsid w:val="00D53F58"/>
    <w:rsid w:val="00D62110"/>
    <w:rsid w:val="00D63390"/>
    <w:rsid w:val="00D6369F"/>
    <w:rsid w:val="00D65A88"/>
    <w:rsid w:val="00D65D79"/>
    <w:rsid w:val="00D70136"/>
    <w:rsid w:val="00D80F72"/>
    <w:rsid w:val="00D812CE"/>
    <w:rsid w:val="00D847C6"/>
    <w:rsid w:val="00D8583F"/>
    <w:rsid w:val="00D90D19"/>
    <w:rsid w:val="00D95878"/>
    <w:rsid w:val="00DA34D8"/>
    <w:rsid w:val="00DA76F7"/>
    <w:rsid w:val="00DB0A5E"/>
    <w:rsid w:val="00DB3DE6"/>
    <w:rsid w:val="00DB497C"/>
    <w:rsid w:val="00DB7628"/>
    <w:rsid w:val="00DC256F"/>
    <w:rsid w:val="00DC28A1"/>
    <w:rsid w:val="00DC3665"/>
    <w:rsid w:val="00DD6D16"/>
    <w:rsid w:val="00DE0865"/>
    <w:rsid w:val="00DE6F6F"/>
    <w:rsid w:val="00DF55B9"/>
    <w:rsid w:val="00E02103"/>
    <w:rsid w:val="00E103E5"/>
    <w:rsid w:val="00E10E6A"/>
    <w:rsid w:val="00E17428"/>
    <w:rsid w:val="00E21B37"/>
    <w:rsid w:val="00E27922"/>
    <w:rsid w:val="00E30ADD"/>
    <w:rsid w:val="00E33981"/>
    <w:rsid w:val="00E34FBD"/>
    <w:rsid w:val="00E360EA"/>
    <w:rsid w:val="00E37034"/>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6E65"/>
    <w:rsid w:val="00ED188E"/>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77A6"/>
    <w:rsid w:val="00F34F71"/>
    <w:rsid w:val="00F35781"/>
    <w:rsid w:val="00F454CC"/>
    <w:rsid w:val="00F46094"/>
    <w:rsid w:val="00F476E9"/>
    <w:rsid w:val="00F5542F"/>
    <w:rsid w:val="00F61F23"/>
    <w:rsid w:val="00F62865"/>
    <w:rsid w:val="00F6484F"/>
    <w:rsid w:val="00F73556"/>
    <w:rsid w:val="00F73D24"/>
    <w:rsid w:val="00F74316"/>
    <w:rsid w:val="00F774ED"/>
    <w:rsid w:val="00F8115C"/>
    <w:rsid w:val="00F81CC3"/>
    <w:rsid w:val="00F850E2"/>
    <w:rsid w:val="00F85DFA"/>
    <w:rsid w:val="00F901D3"/>
    <w:rsid w:val="00F93BDA"/>
    <w:rsid w:val="00F93BDB"/>
    <w:rsid w:val="00F95079"/>
    <w:rsid w:val="00F95BB9"/>
    <w:rsid w:val="00FA13FD"/>
    <w:rsid w:val="00FA1432"/>
    <w:rsid w:val="00FA205D"/>
    <w:rsid w:val="00FA3CFC"/>
    <w:rsid w:val="00FA63E7"/>
    <w:rsid w:val="00FB0272"/>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49220217">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AB127-3F66-411E-BB12-FAFDAD9F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674</Words>
  <Characters>3397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Malesela.Lesiba</cp:lastModifiedBy>
  <cp:revision>12</cp:revision>
  <cp:lastPrinted>2015-02-27T14:25:00Z</cp:lastPrinted>
  <dcterms:created xsi:type="dcterms:W3CDTF">2018-02-08T05:18:00Z</dcterms:created>
  <dcterms:modified xsi:type="dcterms:W3CDTF">2018-02-18T11:28:00Z</dcterms:modified>
</cp:coreProperties>
</file>