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39"/>
        <w:rPr>
          <w:rFonts w:ascii="Times New Roman"/>
          <w:sz w:val="20"/>
        </w:rPr>
      </w:pPr>
      <w:r>
        <w:rPr>
          <w:rFonts w:ascii="Times New Roman"/>
          <w:sz w:val="20"/>
        </w:rPr>
        <w:drawing>
          <wp:inline distT="0" distB="0" distL="0" distR="0">
            <wp:extent cx="1330215" cy="1285875"/>
            <wp:effectExtent l="0" t="0" r="0" b="0"/>
            <wp:docPr id="1" name="image1.jpeg" descr="http://www.gov.za/3dcoatl.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30215" cy="1285875"/>
                    </a:xfrm>
                    <a:prstGeom prst="rect">
                      <a:avLst/>
                    </a:prstGeom>
                  </pic:spPr>
                </pic:pic>
              </a:graphicData>
            </a:graphic>
          </wp:inline>
        </w:drawing>
      </w:r>
      <w:r>
        <w:rPr>
          <w:rFonts w:ascii="Times New Roman"/>
          <w:sz w:val="20"/>
        </w:rPr>
      </w:r>
    </w:p>
    <w:p>
      <w:pPr>
        <w:pStyle w:val="BodyText"/>
        <w:spacing w:before="4"/>
        <w:rPr>
          <w:rFonts w:ascii="Times New Roman"/>
          <w:sz w:val="15"/>
        </w:rPr>
      </w:pPr>
    </w:p>
    <w:p>
      <w:pPr>
        <w:spacing w:before="101"/>
        <w:ind w:left="3101" w:right="2923" w:hanging="447"/>
        <w:jc w:val="left"/>
        <w:rPr>
          <w:rFonts w:ascii="Tahoma"/>
          <w:b/>
          <w:sz w:val="22"/>
        </w:rPr>
      </w:pPr>
      <w:r>
        <w:rPr>
          <w:rFonts w:ascii="Tahoma"/>
          <w:b/>
          <w:sz w:val="22"/>
        </w:rPr>
        <w:t>DEPARTMENT: PUBLIC ENTERPRISES REPUBLIC OF SOUTH AFRICA</w:t>
      </w:r>
    </w:p>
    <w:p>
      <w:pPr>
        <w:spacing w:before="134"/>
        <w:ind w:left="3056" w:right="3037" w:firstLine="453"/>
        <w:jc w:val="left"/>
        <w:rPr>
          <w:rFonts w:ascii="Tahoma"/>
          <w:b/>
          <w:sz w:val="22"/>
        </w:rPr>
      </w:pPr>
      <w:r>
        <w:rPr>
          <w:rFonts w:ascii="Tahoma"/>
          <w:b/>
          <w:sz w:val="22"/>
        </w:rPr>
        <w:t>NATIONAL ASSEMBLY QUESTION FOR WRITTEN REPLY</w:t>
      </w:r>
    </w:p>
    <w:p>
      <w:pPr>
        <w:spacing w:line="265" w:lineRule="exact" w:before="0"/>
        <w:ind w:left="3457" w:right="0" w:firstLine="0"/>
        <w:jc w:val="left"/>
        <w:rPr>
          <w:rFonts w:ascii="Tahoma"/>
          <w:b/>
          <w:sz w:val="22"/>
        </w:rPr>
      </w:pPr>
      <w:r>
        <w:rPr>
          <w:rFonts w:ascii="Tahoma"/>
          <w:b/>
          <w:sz w:val="22"/>
        </w:rPr>
        <w:t>QUESTION NO.: PQ 2293</w:t>
      </w:r>
    </w:p>
    <w:p>
      <w:pPr>
        <w:pStyle w:val="BodyText"/>
        <w:rPr>
          <w:rFonts w:ascii="Tahoma"/>
          <w:b/>
          <w:sz w:val="26"/>
        </w:rPr>
      </w:pPr>
    </w:p>
    <w:p>
      <w:pPr>
        <w:pStyle w:val="BodyText"/>
        <w:spacing w:before="4"/>
        <w:rPr>
          <w:rFonts w:ascii="Tahoma"/>
          <w:b/>
          <w:sz w:val="25"/>
        </w:rPr>
      </w:pPr>
    </w:p>
    <w:p>
      <w:pPr>
        <w:spacing w:before="0"/>
        <w:ind w:left="115" w:right="0" w:firstLine="0"/>
        <w:jc w:val="left"/>
        <w:rPr>
          <w:b/>
          <w:sz w:val="22"/>
        </w:rPr>
      </w:pPr>
      <w:r>
        <w:rPr>
          <w:b/>
          <w:sz w:val="22"/>
          <w:u w:val="thick"/>
        </w:rPr>
        <w:t>QUESTION</w:t>
      </w:r>
      <w:r>
        <w:rPr>
          <w:b/>
          <w:sz w:val="22"/>
        </w:rPr>
        <w:t>:</w:t>
      </w:r>
    </w:p>
    <w:p>
      <w:pPr>
        <w:pStyle w:val="BodyText"/>
        <w:spacing w:before="1"/>
        <w:rPr>
          <w:b/>
          <w:sz w:val="22"/>
        </w:rPr>
      </w:pPr>
    </w:p>
    <w:p>
      <w:pPr>
        <w:pStyle w:val="Heading1"/>
        <w:jc w:val="both"/>
      </w:pPr>
      <w:r>
        <w:rPr/>
        <w:t>2293. Mrs O Clarke (DA) to ask the Minister of Public Enterprises:</w:t>
      </w:r>
    </w:p>
    <w:p>
      <w:pPr>
        <w:pStyle w:val="BodyText"/>
        <w:spacing w:before="11"/>
        <w:rPr>
          <w:b/>
          <w:sz w:val="32"/>
        </w:rPr>
      </w:pPr>
    </w:p>
    <w:p>
      <w:pPr>
        <w:pStyle w:val="BodyText"/>
        <w:spacing w:line="360" w:lineRule="auto"/>
        <w:ind w:left="103" w:right="112"/>
        <w:jc w:val="both"/>
      </w:pPr>
      <w:r>
        <w:rPr/>
        <w:t>Considering that contracts must be managed properly by suitably skilled and qualified persons</w:t>
      </w:r>
      <w:r>
        <w:rPr>
          <w:spacing w:val="-9"/>
        </w:rPr>
        <w:t> </w:t>
      </w:r>
      <w:r>
        <w:rPr/>
        <w:t>to</w:t>
      </w:r>
      <w:r>
        <w:rPr>
          <w:spacing w:val="-8"/>
        </w:rPr>
        <w:t> </w:t>
      </w:r>
      <w:r>
        <w:rPr/>
        <w:t>ensure</w:t>
      </w:r>
      <w:r>
        <w:rPr>
          <w:spacing w:val="-9"/>
        </w:rPr>
        <w:t> </w:t>
      </w:r>
      <w:r>
        <w:rPr/>
        <w:t>that</w:t>
      </w:r>
      <w:r>
        <w:rPr>
          <w:spacing w:val="-11"/>
        </w:rPr>
        <w:t> </w:t>
      </w:r>
      <w:r>
        <w:rPr/>
        <w:t>expiring</w:t>
      </w:r>
      <w:r>
        <w:rPr>
          <w:spacing w:val="-8"/>
        </w:rPr>
        <w:t> </w:t>
      </w:r>
      <w:r>
        <w:rPr/>
        <w:t>contracts</w:t>
      </w:r>
      <w:r>
        <w:rPr>
          <w:spacing w:val="-9"/>
        </w:rPr>
        <w:t> </w:t>
      </w:r>
      <w:r>
        <w:rPr/>
        <w:t>are</w:t>
      </w:r>
      <w:r>
        <w:rPr>
          <w:spacing w:val="-7"/>
        </w:rPr>
        <w:t> </w:t>
      </w:r>
      <w:r>
        <w:rPr/>
        <w:t>identified</w:t>
      </w:r>
      <w:r>
        <w:rPr>
          <w:spacing w:val="-8"/>
        </w:rPr>
        <w:t> </w:t>
      </w:r>
      <w:r>
        <w:rPr/>
        <w:t>timeously</w:t>
      </w:r>
      <w:r>
        <w:rPr>
          <w:spacing w:val="-10"/>
        </w:rPr>
        <w:t> </w:t>
      </w:r>
      <w:r>
        <w:rPr/>
        <w:t>and</w:t>
      </w:r>
      <w:r>
        <w:rPr>
          <w:spacing w:val="-8"/>
        </w:rPr>
        <w:t> </w:t>
      </w:r>
      <w:r>
        <w:rPr/>
        <w:t>that</w:t>
      </w:r>
      <w:r>
        <w:rPr>
          <w:spacing w:val="-9"/>
        </w:rPr>
        <w:t> </w:t>
      </w:r>
      <w:r>
        <w:rPr/>
        <w:t>the</w:t>
      </w:r>
      <w:r>
        <w:rPr>
          <w:spacing w:val="-8"/>
        </w:rPr>
        <w:t> </w:t>
      </w:r>
      <w:r>
        <w:rPr/>
        <w:t>appointment of</w:t>
      </w:r>
      <w:r>
        <w:rPr>
          <w:spacing w:val="-3"/>
        </w:rPr>
        <w:t> </w:t>
      </w:r>
      <w:r>
        <w:rPr/>
        <w:t>contractors</w:t>
      </w:r>
      <w:r>
        <w:rPr>
          <w:spacing w:val="-5"/>
        </w:rPr>
        <w:t> </w:t>
      </w:r>
      <w:r>
        <w:rPr/>
        <w:t>is</w:t>
      </w:r>
      <w:r>
        <w:rPr>
          <w:spacing w:val="-6"/>
        </w:rPr>
        <w:t> </w:t>
      </w:r>
      <w:r>
        <w:rPr/>
        <w:t>done</w:t>
      </w:r>
      <w:r>
        <w:rPr>
          <w:spacing w:val="-6"/>
        </w:rPr>
        <w:t> </w:t>
      </w:r>
      <w:r>
        <w:rPr/>
        <w:t>through</w:t>
      </w:r>
      <w:r>
        <w:rPr>
          <w:spacing w:val="-4"/>
        </w:rPr>
        <w:t> </w:t>
      </w:r>
      <w:r>
        <w:rPr/>
        <w:t>an</w:t>
      </w:r>
      <w:r>
        <w:rPr>
          <w:spacing w:val="-1"/>
        </w:rPr>
        <w:t> </w:t>
      </w:r>
      <w:r>
        <w:rPr/>
        <w:t>open</w:t>
      </w:r>
      <w:r>
        <w:rPr>
          <w:spacing w:val="-6"/>
        </w:rPr>
        <w:t> </w:t>
      </w:r>
      <w:r>
        <w:rPr/>
        <w:t>market</w:t>
      </w:r>
      <w:r>
        <w:rPr>
          <w:spacing w:val="-4"/>
        </w:rPr>
        <w:t> </w:t>
      </w:r>
      <w:r>
        <w:rPr/>
        <w:t>process,</w:t>
      </w:r>
      <w:r>
        <w:rPr>
          <w:spacing w:val="-5"/>
        </w:rPr>
        <w:t> </w:t>
      </w:r>
      <w:r>
        <w:rPr/>
        <w:t>what</w:t>
      </w:r>
      <w:r>
        <w:rPr>
          <w:spacing w:val="-4"/>
        </w:rPr>
        <w:t> </w:t>
      </w:r>
      <w:r>
        <w:rPr/>
        <w:t>(a)</w:t>
      </w:r>
      <w:r>
        <w:rPr>
          <w:spacing w:val="-7"/>
        </w:rPr>
        <w:t> </w:t>
      </w:r>
      <w:r>
        <w:rPr/>
        <w:t>processes</w:t>
      </w:r>
      <w:r>
        <w:rPr>
          <w:spacing w:val="-5"/>
        </w:rPr>
        <w:t> </w:t>
      </w:r>
      <w:r>
        <w:rPr/>
        <w:t>are</w:t>
      </w:r>
      <w:r>
        <w:rPr>
          <w:spacing w:val="-4"/>
        </w:rPr>
        <w:t> </w:t>
      </w:r>
      <w:r>
        <w:rPr/>
        <w:t>in</w:t>
      </w:r>
      <w:r>
        <w:rPr>
          <w:spacing w:val="-6"/>
        </w:rPr>
        <w:t> </w:t>
      </w:r>
      <w:r>
        <w:rPr/>
        <w:t>place</w:t>
      </w:r>
      <w:r>
        <w:rPr>
          <w:spacing w:val="-6"/>
        </w:rPr>
        <w:t> </w:t>
      </w:r>
      <w:r>
        <w:rPr/>
        <w:t>at Eskom to ensure that this is done, (b)(i) total number of contractors are currently in place on Eskom’s sites and (ii) have they been appointed to do, (c) total number of expiring contracts are coming up, (d) number of the appointed contractors did not adhere to the specifications and (e)(i) measurers were put in place to deal with defaulting contracts</w:t>
      </w:r>
      <w:r>
        <w:rPr>
          <w:spacing w:val="25"/>
        </w:rPr>
        <w:t> </w:t>
      </w:r>
      <w:r>
        <w:rPr>
          <w:spacing w:val="-2"/>
        </w:rPr>
        <w:t>and</w:t>
      </w:r>
    </w:p>
    <w:p>
      <w:pPr>
        <w:pStyle w:val="BodyText"/>
        <w:spacing w:line="275" w:lineRule="exact"/>
        <w:ind w:left="103"/>
        <w:jc w:val="both"/>
      </w:pPr>
      <w:r>
        <w:rPr/>
        <w:t>(ii) is the list of names of such contractors?</w:t>
      </w:r>
    </w:p>
    <w:p>
      <w:pPr>
        <w:pStyle w:val="BodyText"/>
        <w:rPr>
          <w:sz w:val="26"/>
        </w:rPr>
      </w:pPr>
    </w:p>
    <w:p>
      <w:pPr>
        <w:pStyle w:val="BodyText"/>
        <w:rPr>
          <w:sz w:val="26"/>
        </w:rPr>
      </w:pPr>
    </w:p>
    <w:p>
      <w:pPr>
        <w:pStyle w:val="BodyText"/>
        <w:spacing w:before="9"/>
        <w:rPr>
          <w:sz w:val="37"/>
        </w:rPr>
      </w:pPr>
    </w:p>
    <w:p>
      <w:pPr>
        <w:spacing w:before="0"/>
        <w:ind w:left="103" w:right="0" w:firstLine="0"/>
        <w:jc w:val="left"/>
        <w:rPr>
          <w:b/>
          <w:sz w:val="24"/>
        </w:rPr>
      </w:pPr>
      <w:r>
        <w:rPr>
          <w:b/>
          <w:sz w:val="24"/>
          <w:u w:val="thick"/>
        </w:rPr>
        <w:t>REPLY:</w:t>
      </w:r>
    </w:p>
    <w:p>
      <w:pPr>
        <w:pStyle w:val="BodyText"/>
        <w:spacing w:before="11"/>
        <w:rPr>
          <w:b/>
        </w:rPr>
      </w:pPr>
    </w:p>
    <w:p>
      <w:pPr>
        <w:spacing w:before="92"/>
        <w:ind w:left="103" w:right="0" w:firstLine="0"/>
        <w:jc w:val="left"/>
        <w:rPr>
          <w:b/>
          <w:sz w:val="24"/>
        </w:rPr>
      </w:pPr>
      <w:r>
        <w:rPr>
          <w:b/>
          <w:sz w:val="24"/>
        </w:rPr>
        <w:t>According to the information received from Eskom</w:t>
      </w:r>
    </w:p>
    <w:p>
      <w:pPr>
        <w:pStyle w:val="BodyText"/>
        <w:spacing w:before="9"/>
        <w:rPr>
          <w:b/>
          <w:sz w:val="32"/>
        </w:rPr>
      </w:pPr>
    </w:p>
    <w:p>
      <w:pPr>
        <w:pStyle w:val="BodyText"/>
        <w:spacing w:line="360" w:lineRule="auto"/>
        <w:ind w:left="552" w:right="108" w:hanging="450"/>
        <w:jc w:val="both"/>
      </w:pPr>
      <w:r>
        <w:rPr/>
        <w:t>(a) Eskom appoints contract managers with delegation, after contract award and upon confirmation that the individual has the necessary pre-requisite training as prescribed in the Procurement Procedure. Eskom has an approved Contract Management Competency</w:t>
      </w:r>
      <w:r>
        <w:rPr>
          <w:spacing w:val="-8"/>
        </w:rPr>
        <w:t> </w:t>
      </w:r>
      <w:r>
        <w:rPr/>
        <w:t>Development</w:t>
      </w:r>
      <w:r>
        <w:rPr>
          <w:spacing w:val="-6"/>
        </w:rPr>
        <w:t> </w:t>
      </w:r>
      <w:r>
        <w:rPr/>
        <w:t>Program,</w:t>
      </w:r>
      <w:r>
        <w:rPr>
          <w:spacing w:val="-6"/>
        </w:rPr>
        <w:t> </w:t>
      </w:r>
      <w:r>
        <w:rPr/>
        <w:t>that</w:t>
      </w:r>
      <w:r>
        <w:rPr>
          <w:spacing w:val="-4"/>
        </w:rPr>
        <w:t> </w:t>
      </w:r>
      <w:r>
        <w:rPr/>
        <w:t>is</w:t>
      </w:r>
      <w:r>
        <w:rPr>
          <w:spacing w:val="-7"/>
        </w:rPr>
        <w:t> </w:t>
      </w:r>
      <w:r>
        <w:rPr/>
        <w:t>run</w:t>
      </w:r>
      <w:r>
        <w:rPr>
          <w:spacing w:val="-3"/>
        </w:rPr>
        <w:t> </w:t>
      </w:r>
      <w:r>
        <w:rPr/>
        <w:t>with</w:t>
      </w:r>
      <w:r>
        <w:rPr>
          <w:spacing w:val="-4"/>
        </w:rPr>
        <w:t> </w:t>
      </w:r>
      <w:r>
        <w:rPr/>
        <w:t>the</w:t>
      </w:r>
      <w:r>
        <w:rPr>
          <w:spacing w:val="-6"/>
        </w:rPr>
        <w:t> </w:t>
      </w:r>
      <w:r>
        <w:rPr/>
        <w:t>Eskom</w:t>
      </w:r>
      <w:r>
        <w:rPr>
          <w:spacing w:val="-5"/>
        </w:rPr>
        <w:t> </w:t>
      </w:r>
      <w:r>
        <w:rPr/>
        <w:t>Academy</w:t>
      </w:r>
      <w:r>
        <w:rPr>
          <w:spacing w:val="-7"/>
        </w:rPr>
        <w:t> </w:t>
      </w:r>
      <w:r>
        <w:rPr/>
        <w:t>of</w:t>
      </w:r>
      <w:r>
        <w:rPr>
          <w:spacing w:val="-6"/>
        </w:rPr>
        <w:t> </w:t>
      </w:r>
      <w:r>
        <w:rPr/>
        <w:t>Learning.</w:t>
      </w:r>
    </w:p>
    <w:p>
      <w:pPr>
        <w:pStyle w:val="BodyText"/>
        <w:spacing w:before="2"/>
        <w:rPr>
          <w:sz w:val="22"/>
        </w:rPr>
      </w:pPr>
    </w:p>
    <w:p>
      <w:pPr>
        <w:pStyle w:val="BodyText"/>
        <w:spacing w:line="360" w:lineRule="auto"/>
        <w:ind w:left="552" w:right="113"/>
        <w:jc w:val="both"/>
      </w:pPr>
      <w:r>
        <w:rPr/>
        <w:t>In compliance with the National Treasury regulations and other legislative prescripts, Eskom has its approved Procurement Plans which serve as the basis for monitoring expiring contracts in accordance with project plans. Monthly reports on Procurement Plans provide status of each contract and flags contracts expiring, thus enabling the business to commence with the procurement process of replacing/placing new contracts in advance.</w:t>
      </w:r>
    </w:p>
    <w:p>
      <w:pPr>
        <w:pStyle w:val="BodyText"/>
        <w:spacing w:before="11"/>
        <w:rPr>
          <w:sz w:val="21"/>
        </w:rPr>
      </w:pPr>
    </w:p>
    <w:p>
      <w:pPr>
        <w:pStyle w:val="BodyText"/>
        <w:ind w:left="588"/>
        <w:jc w:val="both"/>
      </w:pPr>
      <w:r>
        <w:rPr/>
        <w:t>Guided</w:t>
      </w:r>
      <w:r>
        <w:rPr>
          <w:spacing w:val="-17"/>
        </w:rPr>
        <w:t> </w:t>
      </w:r>
      <w:r>
        <w:rPr/>
        <w:t>by</w:t>
      </w:r>
      <w:r>
        <w:rPr>
          <w:spacing w:val="-19"/>
        </w:rPr>
        <w:t> </w:t>
      </w:r>
      <w:r>
        <w:rPr/>
        <w:t>the</w:t>
      </w:r>
      <w:r>
        <w:rPr>
          <w:spacing w:val="-16"/>
        </w:rPr>
        <w:t> </w:t>
      </w:r>
      <w:r>
        <w:rPr/>
        <w:t>Eskom</w:t>
      </w:r>
      <w:r>
        <w:rPr>
          <w:spacing w:val="-17"/>
        </w:rPr>
        <w:t> </w:t>
      </w:r>
      <w:r>
        <w:rPr/>
        <w:t>Procurement</w:t>
      </w:r>
      <w:r>
        <w:rPr>
          <w:spacing w:val="-18"/>
        </w:rPr>
        <w:t> </w:t>
      </w:r>
      <w:r>
        <w:rPr/>
        <w:t>and</w:t>
      </w:r>
      <w:r>
        <w:rPr>
          <w:spacing w:val="-16"/>
        </w:rPr>
        <w:t> </w:t>
      </w:r>
      <w:r>
        <w:rPr/>
        <w:t>Supply</w:t>
      </w:r>
      <w:r>
        <w:rPr>
          <w:spacing w:val="-19"/>
        </w:rPr>
        <w:t> </w:t>
      </w:r>
      <w:r>
        <w:rPr/>
        <w:t>chain</w:t>
      </w:r>
      <w:r>
        <w:rPr>
          <w:spacing w:val="-16"/>
        </w:rPr>
        <w:t> </w:t>
      </w:r>
      <w:r>
        <w:rPr/>
        <w:t>Management</w:t>
      </w:r>
      <w:r>
        <w:rPr>
          <w:spacing w:val="-16"/>
        </w:rPr>
        <w:t> </w:t>
      </w:r>
      <w:r>
        <w:rPr/>
        <w:t>procedure,</w:t>
      </w:r>
      <w:r>
        <w:rPr>
          <w:spacing w:val="-17"/>
        </w:rPr>
        <w:t> </w:t>
      </w:r>
      <w:r>
        <w:rPr/>
        <w:t>various</w:t>
      </w:r>
    </w:p>
    <w:p>
      <w:pPr>
        <w:spacing w:after="0"/>
        <w:jc w:val="both"/>
        <w:sectPr>
          <w:type w:val="continuous"/>
          <w:pgSz w:w="11910" w:h="16840"/>
          <w:pgMar w:top="440" w:bottom="280" w:left="1020" w:right="1160"/>
        </w:sectPr>
      </w:pPr>
    </w:p>
    <w:p>
      <w:pPr>
        <w:pStyle w:val="BodyText"/>
        <w:spacing w:line="360" w:lineRule="auto" w:before="79"/>
        <w:ind w:left="552" w:right="115"/>
        <w:jc w:val="both"/>
      </w:pPr>
      <w:r>
        <w:rPr/>
        <w:t>procurement mechanisms are applied when acquiring the services of contractors depending on the nature of the service or product. The mechanisms include inter alia Open tender, Closed tender, Single/sole source, Urgent and Emergency</w:t>
      </w:r>
      <w:r>
        <w:rPr>
          <w:spacing w:val="-46"/>
        </w:rPr>
        <w:t> </w:t>
      </w:r>
      <w:r>
        <w:rPr/>
        <w:t>procurement as well as Informal tendering. In instances where the confined market/tendering mechanisms (i.e. Closed tender, Sole/Single source) must be applied, an approval is sought</w:t>
      </w:r>
      <w:r>
        <w:rPr>
          <w:spacing w:val="-9"/>
        </w:rPr>
        <w:t> </w:t>
      </w:r>
      <w:r>
        <w:rPr/>
        <w:t>from</w:t>
      </w:r>
      <w:r>
        <w:rPr>
          <w:spacing w:val="-4"/>
        </w:rPr>
        <w:t> </w:t>
      </w:r>
      <w:r>
        <w:rPr/>
        <w:t>National</w:t>
      </w:r>
      <w:r>
        <w:rPr>
          <w:spacing w:val="-9"/>
        </w:rPr>
        <w:t> </w:t>
      </w:r>
      <w:r>
        <w:rPr/>
        <w:t>Treasury</w:t>
      </w:r>
      <w:r>
        <w:rPr>
          <w:spacing w:val="-9"/>
        </w:rPr>
        <w:t> </w:t>
      </w:r>
      <w:r>
        <w:rPr/>
        <w:t>prior</w:t>
      </w:r>
      <w:r>
        <w:rPr>
          <w:spacing w:val="-7"/>
        </w:rPr>
        <w:t> </w:t>
      </w:r>
      <w:r>
        <w:rPr/>
        <w:t>to</w:t>
      </w:r>
      <w:r>
        <w:rPr>
          <w:spacing w:val="-6"/>
        </w:rPr>
        <w:t> </w:t>
      </w:r>
      <w:r>
        <w:rPr/>
        <w:t>commencement</w:t>
      </w:r>
      <w:r>
        <w:rPr>
          <w:spacing w:val="-5"/>
        </w:rPr>
        <w:t> </w:t>
      </w:r>
      <w:r>
        <w:rPr/>
        <w:t>with</w:t>
      </w:r>
      <w:r>
        <w:rPr>
          <w:spacing w:val="-6"/>
        </w:rPr>
        <w:t> </w:t>
      </w:r>
      <w:r>
        <w:rPr/>
        <w:t>the</w:t>
      </w:r>
      <w:r>
        <w:rPr>
          <w:spacing w:val="-5"/>
        </w:rPr>
        <w:t> </w:t>
      </w:r>
      <w:r>
        <w:rPr/>
        <w:t>procurement</w:t>
      </w:r>
      <w:r>
        <w:rPr>
          <w:spacing w:val="-6"/>
        </w:rPr>
        <w:t> </w:t>
      </w:r>
      <w:r>
        <w:rPr/>
        <w:t>process.</w:t>
      </w:r>
    </w:p>
    <w:p>
      <w:pPr>
        <w:pStyle w:val="BodyText"/>
        <w:rPr>
          <w:sz w:val="36"/>
        </w:rPr>
      </w:pPr>
    </w:p>
    <w:p>
      <w:pPr>
        <w:pStyle w:val="BodyText"/>
        <w:spacing w:line="360" w:lineRule="auto"/>
        <w:ind w:left="643" w:right="117" w:hanging="541"/>
        <w:jc w:val="both"/>
      </w:pPr>
      <w:r>
        <w:rPr/>
        <w:t>(b)(i) As at 1 November 2021 there 4547 active contracts at Eskom. Annexure A provides the number of contracts by plant code i.e. Divisional plant/operating unit/grid area.</w:t>
      </w:r>
    </w:p>
    <w:p>
      <w:pPr>
        <w:pStyle w:val="BodyText"/>
        <w:spacing w:before="10"/>
        <w:rPr>
          <w:sz w:val="21"/>
        </w:rPr>
      </w:pPr>
    </w:p>
    <w:p>
      <w:pPr>
        <w:pStyle w:val="BodyText"/>
        <w:ind w:left="643" w:right="121" w:hanging="541"/>
        <w:jc w:val="both"/>
      </w:pPr>
      <w:r>
        <w:rPr/>
        <w:t>(b)(ii)Eskom does not have readily available reports with description for each of the 4547 contracts.</w:t>
      </w:r>
    </w:p>
    <w:p>
      <w:pPr>
        <w:pStyle w:val="BodyText"/>
        <w:spacing w:before="2"/>
        <w:rPr>
          <w:sz w:val="22"/>
        </w:rPr>
      </w:pPr>
    </w:p>
    <w:p>
      <w:pPr>
        <w:pStyle w:val="BodyText"/>
        <w:spacing w:line="360" w:lineRule="auto"/>
        <w:ind w:left="643" w:right="110"/>
        <w:jc w:val="both"/>
      </w:pPr>
      <w:r>
        <w:rPr/>
        <w:t>However,</w:t>
      </w:r>
      <w:r>
        <w:rPr>
          <w:spacing w:val="-13"/>
        </w:rPr>
        <w:t> </w:t>
      </w:r>
      <w:r>
        <w:rPr/>
        <w:t>contracts</w:t>
      </w:r>
      <w:r>
        <w:rPr>
          <w:spacing w:val="-12"/>
        </w:rPr>
        <w:t> </w:t>
      </w:r>
      <w:r>
        <w:rPr/>
        <w:t>across</w:t>
      </w:r>
      <w:r>
        <w:rPr>
          <w:spacing w:val="-12"/>
        </w:rPr>
        <w:t> </w:t>
      </w:r>
      <w:r>
        <w:rPr/>
        <w:t>the</w:t>
      </w:r>
      <w:r>
        <w:rPr>
          <w:spacing w:val="-14"/>
        </w:rPr>
        <w:t> </w:t>
      </w:r>
      <w:r>
        <w:rPr/>
        <w:t>business</w:t>
      </w:r>
      <w:r>
        <w:rPr>
          <w:spacing w:val="-12"/>
        </w:rPr>
        <w:t> </w:t>
      </w:r>
      <w:r>
        <w:rPr/>
        <w:t>will</w:t>
      </w:r>
      <w:r>
        <w:rPr>
          <w:spacing w:val="-11"/>
        </w:rPr>
        <w:t> </w:t>
      </w:r>
      <w:r>
        <w:rPr/>
        <w:t>vary,</w:t>
      </w:r>
      <w:r>
        <w:rPr>
          <w:spacing w:val="-11"/>
        </w:rPr>
        <w:t> </w:t>
      </w:r>
      <w:r>
        <w:rPr/>
        <w:t>for</w:t>
      </w:r>
      <w:r>
        <w:rPr>
          <w:spacing w:val="-13"/>
        </w:rPr>
        <w:t> </w:t>
      </w:r>
      <w:r>
        <w:rPr/>
        <w:t>example</w:t>
      </w:r>
      <w:r>
        <w:rPr>
          <w:spacing w:val="49"/>
        </w:rPr>
        <w:t> </w:t>
      </w:r>
      <w:r>
        <w:rPr/>
        <w:t>Eskom</w:t>
      </w:r>
      <w:r>
        <w:rPr>
          <w:spacing w:val="-10"/>
        </w:rPr>
        <w:t> </w:t>
      </w:r>
      <w:r>
        <w:rPr/>
        <w:t>Distribution</w:t>
      </w:r>
      <w:r>
        <w:rPr>
          <w:spacing w:val="-12"/>
        </w:rPr>
        <w:t> </w:t>
      </w:r>
      <w:r>
        <w:rPr/>
        <w:t>will mainly have electrification, operations, and maintenance, vending and asset</w:t>
      </w:r>
      <w:r>
        <w:rPr>
          <w:spacing w:val="-45"/>
        </w:rPr>
        <w:t> </w:t>
      </w:r>
      <w:r>
        <w:rPr/>
        <w:t>creation contracts.</w:t>
      </w:r>
    </w:p>
    <w:p>
      <w:pPr>
        <w:pStyle w:val="BodyText"/>
        <w:spacing w:before="10"/>
        <w:rPr>
          <w:sz w:val="21"/>
        </w:rPr>
      </w:pPr>
    </w:p>
    <w:p>
      <w:pPr>
        <w:pStyle w:val="ListParagraph"/>
        <w:numPr>
          <w:ilvl w:val="0"/>
          <w:numId w:val="1"/>
        </w:numPr>
        <w:tabs>
          <w:tab w:pos="445" w:val="left" w:leader="none"/>
        </w:tabs>
        <w:spacing w:line="240" w:lineRule="auto" w:before="0" w:after="0"/>
        <w:ind w:left="444" w:right="0" w:hanging="342"/>
        <w:jc w:val="left"/>
        <w:rPr>
          <w:sz w:val="24"/>
        </w:rPr>
      </w:pPr>
      <w:r>
        <w:rPr>
          <w:sz w:val="24"/>
        </w:rPr>
        <w:t>Of the 4547 active</w:t>
      </w:r>
      <w:r>
        <w:rPr>
          <w:spacing w:val="-3"/>
          <w:sz w:val="24"/>
        </w:rPr>
        <w:t> </w:t>
      </w:r>
      <w:r>
        <w:rPr>
          <w:sz w:val="24"/>
        </w:rPr>
        <w:t>contracts:</w:t>
      </w:r>
    </w:p>
    <w:p>
      <w:pPr>
        <w:pStyle w:val="BodyText"/>
        <w:spacing w:before="3"/>
      </w:pPr>
    </w:p>
    <w:p>
      <w:pPr>
        <w:pStyle w:val="ListParagraph"/>
        <w:numPr>
          <w:ilvl w:val="1"/>
          <w:numId w:val="1"/>
        </w:numPr>
        <w:tabs>
          <w:tab w:pos="1272" w:val="left" w:leader="none"/>
          <w:tab w:pos="1273" w:val="left" w:leader="none"/>
        </w:tabs>
        <w:spacing w:line="240" w:lineRule="auto" w:before="0" w:after="0"/>
        <w:ind w:left="1272" w:right="0" w:hanging="630"/>
        <w:jc w:val="left"/>
        <w:rPr>
          <w:sz w:val="24"/>
        </w:rPr>
      </w:pPr>
      <w:r>
        <w:rPr>
          <w:sz w:val="24"/>
        </w:rPr>
        <w:t>537 of these contracts have an expiry date between 0 and 3</w:t>
      </w:r>
      <w:r>
        <w:rPr>
          <w:spacing w:val="-29"/>
          <w:sz w:val="24"/>
        </w:rPr>
        <w:t> </w:t>
      </w:r>
      <w:r>
        <w:rPr>
          <w:sz w:val="24"/>
        </w:rPr>
        <w:t>months.</w:t>
      </w:r>
    </w:p>
    <w:p>
      <w:pPr>
        <w:pStyle w:val="ListParagraph"/>
        <w:numPr>
          <w:ilvl w:val="1"/>
          <w:numId w:val="1"/>
        </w:numPr>
        <w:tabs>
          <w:tab w:pos="1272" w:val="left" w:leader="none"/>
          <w:tab w:pos="1273" w:val="left" w:leader="none"/>
        </w:tabs>
        <w:spacing w:line="240" w:lineRule="auto" w:before="136" w:after="0"/>
        <w:ind w:left="1272" w:right="0" w:hanging="630"/>
        <w:jc w:val="left"/>
        <w:rPr>
          <w:sz w:val="24"/>
        </w:rPr>
      </w:pPr>
      <w:r>
        <w:rPr>
          <w:sz w:val="24"/>
        </w:rPr>
        <w:t>1094 of these contracts have an expiry date between 0 and 6</w:t>
      </w:r>
      <w:r>
        <w:rPr>
          <w:spacing w:val="-22"/>
          <w:sz w:val="24"/>
        </w:rPr>
        <w:t> </w:t>
      </w:r>
      <w:r>
        <w:rPr>
          <w:sz w:val="24"/>
        </w:rPr>
        <w:t>months.</w:t>
      </w:r>
    </w:p>
    <w:p>
      <w:pPr>
        <w:pStyle w:val="ListParagraph"/>
        <w:numPr>
          <w:ilvl w:val="1"/>
          <w:numId w:val="1"/>
        </w:numPr>
        <w:tabs>
          <w:tab w:pos="1272" w:val="left" w:leader="none"/>
          <w:tab w:pos="1273" w:val="left" w:leader="none"/>
        </w:tabs>
        <w:spacing w:line="240" w:lineRule="auto" w:before="136" w:after="0"/>
        <w:ind w:left="1272" w:right="0" w:hanging="630"/>
        <w:jc w:val="left"/>
        <w:rPr>
          <w:sz w:val="24"/>
        </w:rPr>
      </w:pPr>
      <w:r>
        <w:rPr>
          <w:sz w:val="24"/>
        </w:rPr>
        <w:t>1920 of these contracts have an expiry date between 0 and 12 months;</w:t>
      </w:r>
      <w:r>
        <w:rPr>
          <w:spacing w:val="-22"/>
          <w:sz w:val="24"/>
        </w:rPr>
        <w:t> </w:t>
      </w:r>
      <w:r>
        <w:rPr>
          <w:sz w:val="24"/>
        </w:rPr>
        <w:t>and</w:t>
      </w:r>
    </w:p>
    <w:p>
      <w:pPr>
        <w:pStyle w:val="ListParagraph"/>
        <w:numPr>
          <w:ilvl w:val="1"/>
          <w:numId w:val="1"/>
        </w:numPr>
        <w:tabs>
          <w:tab w:pos="1272" w:val="left" w:leader="none"/>
          <w:tab w:pos="1273" w:val="left" w:leader="none"/>
        </w:tabs>
        <w:spacing w:line="240" w:lineRule="auto" w:before="138" w:after="0"/>
        <w:ind w:left="1272" w:right="0" w:hanging="630"/>
        <w:jc w:val="left"/>
        <w:rPr>
          <w:sz w:val="24"/>
        </w:rPr>
      </w:pPr>
      <w:r>
        <w:rPr>
          <w:sz w:val="24"/>
        </w:rPr>
        <w:t>2627 after 12</w:t>
      </w:r>
      <w:r>
        <w:rPr>
          <w:spacing w:val="-3"/>
          <w:sz w:val="24"/>
        </w:rPr>
        <w:t> </w:t>
      </w:r>
      <w:r>
        <w:rPr>
          <w:sz w:val="24"/>
        </w:rPr>
        <w:t>months.</w:t>
      </w:r>
    </w:p>
    <w:p>
      <w:pPr>
        <w:pStyle w:val="BodyText"/>
        <w:spacing w:before="7"/>
        <w:rPr>
          <w:sz w:val="33"/>
        </w:rPr>
      </w:pPr>
    </w:p>
    <w:p>
      <w:pPr>
        <w:pStyle w:val="ListParagraph"/>
        <w:numPr>
          <w:ilvl w:val="0"/>
          <w:numId w:val="1"/>
        </w:numPr>
        <w:tabs>
          <w:tab w:pos="483" w:val="left" w:leader="none"/>
        </w:tabs>
        <w:spacing w:line="360" w:lineRule="auto" w:before="0" w:after="0"/>
        <w:ind w:left="463" w:right="113" w:hanging="361"/>
        <w:jc w:val="both"/>
        <w:rPr>
          <w:sz w:val="24"/>
        </w:rPr>
      </w:pPr>
      <w:r>
        <w:rPr>
          <w:sz w:val="24"/>
        </w:rPr>
        <w:t>Eskom does not have consolidated records of contractors who did not adhere to the specifications. Defects are dealt with through contractual remedies in accordance with the specific contract, as explained in (e)(i)</w:t>
      </w:r>
      <w:r>
        <w:rPr>
          <w:spacing w:val="-8"/>
          <w:sz w:val="24"/>
        </w:rPr>
        <w:t> </w:t>
      </w:r>
      <w:r>
        <w:rPr>
          <w:sz w:val="24"/>
        </w:rPr>
        <w:t>below.</w:t>
      </w:r>
    </w:p>
    <w:p>
      <w:pPr>
        <w:pStyle w:val="BodyText"/>
        <w:rPr>
          <w:sz w:val="22"/>
        </w:rPr>
      </w:pPr>
    </w:p>
    <w:p>
      <w:pPr>
        <w:pStyle w:val="BodyText"/>
        <w:spacing w:line="360" w:lineRule="auto"/>
        <w:ind w:left="732" w:right="108" w:hanging="540"/>
        <w:jc w:val="both"/>
      </w:pPr>
      <w:r>
        <w:rPr/>
        <w:t>(e)(i) When Eskom enters into a contractual agreement with a contractor a performance evaluation criteria forms part of the agreement, against which the contractor’s performance is measured. Should the contractor not deliver according to the agreement, the contractor is given an opportunity to correct.</w:t>
      </w:r>
    </w:p>
    <w:p>
      <w:pPr>
        <w:pStyle w:val="BodyText"/>
        <w:spacing w:before="2"/>
        <w:rPr>
          <w:sz w:val="22"/>
        </w:rPr>
      </w:pPr>
    </w:p>
    <w:p>
      <w:pPr>
        <w:pStyle w:val="BodyText"/>
        <w:spacing w:line="360" w:lineRule="auto"/>
        <w:ind w:left="283" w:right="104"/>
        <w:jc w:val="both"/>
      </w:pPr>
      <w:r>
        <w:rPr/>
        <w:t>Non-conformance is addressed within the provisions of the contract via the Non- Conformance Request (“NCR’s”) process. When an NCR is raised, consultations take place with the contractor and if an agreement is reached the NCR is either closed (i.e. satisfactorily rectified) or voided / withdrawn (no longer regarded as a NCR). An NCR will</w:t>
      </w:r>
      <w:r>
        <w:rPr>
          <w:spacing w:val="-5"/>
        </w:rPr>
        <w:t> </w:t>
      </w:r>
      <w:r>
        <w:rPr/>
        <w:t>remain</w:t>
      </w:r>
      <w:r>
        <w:rPr>
          <w:spacing w:val="-6"/>
        </w:rPr>
        <w:t> </w:t>
      </w:r>
      <w:r>
        <w:rPr/>
        <w:t>open</w:t>
      </w:r>
      <w:r>
        <w:rPr>
          <w:spacing w:val="-6"/>
        </w:rPr>
        <w:t> </w:t>
      </w:r>
      <w:r>
        <w:rPr/>
        <w:t>until</w:t>
      </w:r>
      <w:r>
        <w:rPr>
          <w:spacing w:val="-5"/>
        </w:rPr>
        <w:t> </w:t>
      </w:r>
      <w:r>
        <w:rPr/>
        <w:t>it</w:t>
      </w:r>
      <w:r>
        <w:rPr>
          <w:spacing w:val="-6"/>
        </w:rPr>
        <w:t> </w:t>
      </w:r>
      <w:r>
        <w:rPr/>
        <w:t>is</w:t>
      </w:r>
      <w:r>
        <w:rPr>
          <w:spacing w:val="-4"/>
        </w:rPr>
        <w:t> </w:t>
      </w:r>
      <w:r>
        <w:rPr/>
        <w:t>resolved</w:t>
      </w:r>
      <w:r>
        <w:rPr>
          <w:spacing w:val="-4"/>
        </w:rPr>
        <w:t> </w:t>
      </w:r>
      <w:r>
        <w:rPr/>
        <w:t>or</w:t>
      </w:r>
      <w:r>
        <w:rPr>
          <w:spacing w:val="-7"/>
        </w:rPr>
        <w:t> </w:t>
      </w:r>
      <w:r>
        <w:rPr/>
        <w:t>rectified.</w:t>
      </w:r>
      <w:r>
        <w:rPr>
          <w:spacing w:val="-6"/>
        </w:rPr>
        <w:t> </w:t>
      </w:r>
      <w:r>
        <w:rPr/>
        <w:t>In</w:t>
      </w:r>
      <w:r>
        <w:rPr>
          <w:spacing w:val="-5"/>
        </w:rPr>
        <w:t> </w:t>
      </w:r>
      <w:r>
        <w:rPr/>
        <w:t>cases</w:t>
      </w:r>
      <w:r>
        <w:rPr>
          <w:spacing w:val="-4"/>
        </w:rPr>
        <w:t> </w:t>
      </w:r>
      <w:r>
        <w:rPr/>
        <w:t>where</w:t>
      </w:r>
      <w:r>
        <w:rPr>
          <w:spacing w:val="-6"/>
        </w:rPr>
        <w:t> </w:t>
      </w:r>
      <w:r>
        <w:rPr/>
        <w:t>there</w:t>
      </w:r>
      <w:r>
        <w:rPr>
          <w:spacing w:val="-4"/>
        </w:rPr>
        <w:t> </w:t>
      </w:r>
      <w:r>
        <w:rPr/>
        <w:t>is</w:t>
      </w:r>
      <w:r>
        <w:rPr>
          <w:spacing w:val="-7"/>
        </w:rPr>
        <w:t> </w:t>
      </w:r>
      <w:r>
        <w:rPr/>
        <w:t>failure</w:t>
      </w:r>
      <w:r>
        <w:rPr>
          <w:spacing w:val="-7"/>
        </w:rPr>
        <w:t> </w:t>
      </w:r>
      <w:r>
        <w:rPr/>
        <w:t>to</w:t>
      </w:r>
      <w:r>
        <w:rPr>
          <w:spacing w:val="-4"/>
        </w:rPr>
        <w:t> </w:t>
      </w:r>
      <w:r>
        <w:rPr/>
        <w:t>rectify,</w:t>
      </w:r>
      <w:r>
        <w:rPr>
          <w:spacing w:val="-6"/>
        </w:rPr>
        <w:t> </w:t>
      </w:r>
      <w:r>
        <w:rPr/>
        <w:t>a dispute is raised, and contractual dispute processes are</w:t>
      </w:r>
      <w:r>
        <w:rPr>
          <w:spacing w:val="-9"/>
        </w:rPr>
        <w:t> </w:t>
      </w:r>
      <w:r>
        <w:rPr/>
        <w:t>followed.</w:t>
      </w:r>
    </w:p>
    <w:p>
      <w:pPr>
        <w:spacing w:after="0" w:line="360" w:lineRule="auto"/>
        <w:jc w:val="both"/>
        <w:sectPr>
          <w:pgSz w:w="11910" w:h="16840"/>
          <w:pgMar w:top="260" w:bottom="280" w:left="1020" w:right="1160"/>
        </w:sectPr>
      </w:pPr>
    </w:p>
    <w:p>
      <w:pPr>
        <w:pStyle w:val="BodyText"/>
        <w:spacing w:line="360" w:lineRule="auto" w:before="65"/>
        <w:ind w:left="732" w:right="117" w:hanging="540"/>
        <w:jc w:val="both"/>
      </w:pPr>
      <w:r>
        <w:rPr/>
        <w:t>(e)(ii) The names of contractors who did not adhere to the specifications will not be disclosed as the information is commercially sensitive and may compromise the resolution and rectification initiatives. Further, the confidentiality provisions of the contracts must be followed in order to release contractual information.</w:t>
      </w:r>
    </w:p>
    <w:sectPr>
      <w:pgSz w:w="11910" w:h="16840"/>
      <w:pgMar w:top="1540" w:bottom="280" w:left="10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lowerLetter"/>
      <w:lvlText w:val="(%1)"/>
      <w:lvlJc w:val="left"/>
      <w:pPr>
        <w:ind w:left="444" w:hanging="342"/>
        <w:jc w:val="left"/>
      </w:pPr>
      <w:rPr>
        <w:rFonts w:hint="default" w:ascii="Arial" w:hAnsi="Arial" w:eastAsia="Arial" w:cs="Arial"/>
        <w:w w:val="99"/>
        <w:sz w:val="24"/>
        <w:szCs w:val="24"/>
        <w:lang w:val="en-US" w:eastAsia="en-US" w:bidi="en-US"/>
      </w:rPr>
    </w:lvl>
    <w:lvl w:ilvl="1">
      <w:start w:val="0"/>
      <w:numFmt w:val="bullet"/>
      <w:lvlText w:val=""/>
      <w:lvlJc w:val="left"/>
      <w:pPr>
        <w:ind w:left="1272" w:hanging="629"/>
      </w:pPr>
      <w:rPr>
        <w:rFonts w:hint="default" w:ascii="Symbol" w:hAnsi="Symbol" w:eastAsia="Symbol" w:cs="Symbol"/>
        <w:w w:val="100"/>
        <w:sz w:val="24"/>
        <w:szCs w:val="24"/>
        <w:lang w:val="en-US" w:eastAsia="en-US" w:bidi="en-US"/>
      </w:rPr>
    </w:lvl>
    <w:lvl w:ilvl="2">
      <w:start w:val="0"/>
      <w:numFmt w:val="bullet"/>
      <w:lvlText w:val="•"/>
      <w:lvlJc w:val="left"/>
      <w:pPr>
        <w:ind w:left="2218" w:hanging="629"/>
      </w:pPr>
      <w:rPr>
        <w:rFonts w:hint="default"/>
        <w:lang w:val="en-US" w:eastAsia="en-US" w:bidi="en-US"/>
      </w:rPr>
    </w:lvl>
    <w:lvl w:ilvl="3">
      <w:start w:val="0"/>
      <w:numFmt w:val="bullet"/>
      <w:lvlText w:val="•"/>
      <w:lvlJc w:val="left"/>
      <w:pPr>
        <w:ind w:left="3156" w:hanging="629"/>
      </w:pPr>
      <w:rPr>
        <w:rFonts w:hint="default"/>
        <w:lang w:val="en-US" w:eastAsia="en-US" w:bidi="en-US"/>
      </w:rPr>
    </w:lvl>
    <w:lvl w:ilvl="4">
      <w:start w:val="0"/>
      <w:numFmt w:val="bullet"/>
      <w:lvlText w:val="•"/>
      <w:lvlJc w:val="left"/>
      <w:pPr>
        <w:ind w:left="4095" w:hanging="629"/>
      </w:pPr>
      <w:rPr>
        <w:rFonts w:hint="default"/>
        <w:lang w:val="en-US" w:eastAsia="en-US" w:bidi="en-US"/>
      </w:rPr>
    </w:lvl>
    <w:lvl w:ilvl="5">
      <w:start w:val="0"/>
      <w:numFmt w:val="bullet"/>
      <w:lvlText w:val="•"/>
      <w:lvlJc w:val="left"/>
      <w:pPr>
        <w:ind w:left="5033" w:hanging="629"/>
      </w:pPr>
      <w:rPr>
        <w:rFonts w:hint="default"/>
        <w:lang w:val="en-US" w:eastAsia="en-US" w:bidi="en-US"/>
      </w:rPr>
    </w:lvl>
    <w:lvl w:ilvl="6">
      <w:start w:val="0"/>
      <w:numFmt w:val="bullet"/>
      <w:lvlText w:val="•"/>
      <w:lvlJc w:val="left"/>
      <w:pPr>
        <w:ind w:left="5972" w:hanging="629"/>
      </w:pPr>
      <w:rPr>
        <w:rFonts w:hint="default"/>
        <w:lang w:val="en-US" w:eastAsia="en-US" w:bidi="en-US"/>
      </w:rPr>
    </w:lvl>
    <w:lvl w:ilvl="7">
      <w:start w:val="0"/>
      <w:numFmt w:val="bullet"/>
      <w:lvlText w:val="•"/>
      <w:lvlJc w:val="left"/>
      <w:pPr>
        <w:ind w:left="6910" w:hanging="629"/>
      </w:pPr>
      <w:rPr>
        <w:rFonts w:hint="default"/>
        <w:lang w:val="en-US" w:eastAsia="en-US" w:bidi="en-US"/>
      </w:rPr>
    </w:lvl>
    <w:lvl w:ilvl="8">
      <w:start w:val="0"/>
      <w:numFmt w:val="bullet"/>
      <w:lvlText w:val="•"/>
      <w:lvlJc w:val="left"/>
      <w:pPr>
        <w:ind w:left="7849" w:hanging="62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3"/>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272" w:hanging="63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mandiwanas</dc:creator>
  <dc:title>INFORMATION MEMORANDUM</dc:title>
  <dcterms:created xsi:type="dcterms:W3CDTF">2022-01-12T11:30:04Z</dcterms:created>
  <dcterms:modified xsi:type="dcterms:W3CDTF">2022-01-12T11:30:04Z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2016</vt:lpwstr>
  </property>
  <property fmtid="{D5CDD505-2E9C-101B-9397-08002B2CF9AE}" pid="4" name="LastSaved">
    <vt:filetime>2022-01-12T00:00:00Z</vt:filetime>
  </property>
</Properties>
</file>