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1111A6">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87.15pt" o:ole="">
            <v:imagedata r:id="rId8" o:title=""/>
          </v:shape>
          <o:OLEObject Type="Embed" ProgID="Word.Document.8" ShapeID="_x0000_i1025" DrawAspect="Content" ObjectID="_1565764934" r:id="rId9">
            <o:FieldCodes>\s</o:FieldCodes>
          </o:OLEObject>
        </w:object>
      </w:r>
    </w:p>
    <w:p w:rsidR="009305D7" w:rsidRPr="00A76401" w:rsidRDefault="009305D7" w:rsidP="001111A6">
      <w:pPr>
        <w:pBdr>
          <w:bottom w:val="single" w:sz="4" w:space="5" w:color="auto"/>
        </w:pBdr>
        <w:jc w:val="both"/>
        <w:rPr>
          <w:rFonts w:ascii="Arial Narrow" w:hAnsi="Arial Narrow"/>
          <w:b/>
          <w:lang w:val="nl-NL"/>
        </w:rPr>
      </w:pPr>
    </w:p>
    <w:p w:rsidR="009305D7" w:rsidRPr="00A76401" w:rsidRDefault="0000083B" w:rsidP="001111A6">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1111A6">
      <w:pPr>
        <w:jc w:val="both"/>
        <w:rPr>
          <w:rFonts w:ascii="Arial Narrow" w:hAnsi="Arial Narrow"/>
          <w:b/>
          <w:lang w:val="en-GB"/>
        </w:rPr>
      </w:pPr>
    </w:p>
    <w:p w:rsidR="0087358A" w:rsidRPr="00A76401" w:rsidRDefault="0087358A" w:rsidP="001111A6">
      <w:pPr>
        <w:jc w:val="both"/>
        <w:rPr>
          <w:rFonts w:ascii="Arial Narrow" w:hAnsi="Arial Narrow"/>
          <w:b/>
          <w:lang w:val="en-GB"/>
        </w:rPr>
      </w:pPr>
    </w:p>
    <w:p w:rsidR="0087358A" w:rsidRPr="00A76401" w:rsidRDefault="0087358A" w:rsidP="001111A6">
      <w:pPr>
        <w:jc w:val="both"/>
        <w:rPr>
          <w:rFonts w:ascii="Arial Narrow" w:hAnsi="Arial Narrow"/>
          <w:b/>
          <w:lang w:val="en-GB"/>
        </w:rPr>
      </w:pPr>
    </w:p>
    <w:p w:rsidR="0087358A" w:rsidRPr="00A76401" w:rsidRDefault="0087358A" w:rsidP="001111A6">
      <w:pPr>
        <w:jc w:val="both"/>
        <w:rPr>
          <w:rFonts w:ascii="Arial Narrow" w:hAnsi="Arial Narrow"/>
          <w:b/>
          <w:lang w:val="en-GB"/>
        </w:rPr>
      </w:pPr>
    </w:p>
    <w:p w:rsidR="009305D7" w:rsidRPr="00A76401" w:rsidRDefault="009305D7" w:rsidP="001111A6">
      <w:pPr>
        <w:jc w:val="both"/>
        <w:rPr>
          <w:rFonts w:ascii="Arial Narrow" w:hAnsi="Arial Narrow"/>
          <w:b/>
          <w:lang w:val="en-GB"/>
        </w:rPr>
      </w:pPr>
      <w:r w:rsidRPr="00A76401">
        <w:rPr>
          <w:rFonts w:ascii="Arial Narrow" w:hAnsi="Arial Narrow"/>
          <w:b/>
          <w:lang w:val="en-GB"/>
        </w:rPr>
        <w:t>MINISTER</w:t>
      </w:r>
    </w:p>
    <w:p w:rsidR="0087358A" w:rsidRPr="00A76401" w:rsidRDefault="0087358A" w:rsidP="001111A6">
      <w:pPr>
        <w:jc w:val="both"/>
        <w:rPr>
          <w:rFonts w:ascii="Arial Narrow" w:hAnsi="Arial Narrow"/>
          <w:b/>
          <w:lang w:val="en-GB"/>
        </w:rPr>
      </w:pPr>
    </w:p>
    <w:p w:rsidR="0087358A" w:rsidRPr="00A76401" w:rsidRDefault="0087358A" w:rsidP="001111A6">
      <w:pPr>
        <w:jc w:val="both"/>
        <w:rPr>
          <w:rFonts w:ascii="Arial Narrow" w:hAnsi="Arial Narrow"/>
          <w:b/>
          <w:lang w:val="en-GB"/>
        </w:rPr>
      </w:pPr>
    </w:p>
    <w:p w:rsidR="009305D7" w:rsidRPr="00A76401" w:rsidRDefault="00BD5B83" w:rsidP="001111A6">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612EA1">
        <w:rPr>
          <w:rFonts w:ascii="Arial Narrow" w:hAnsi="Arial Narrow"/>
          <w:b/>
          <w:lang w:val="en-GB"/>
        </w:rPr>
        <w:t>2293</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1111A6">
      <w:pPr>
        <w:jc w:val="both"/>
        <w:rPr>
          <w:rFonts w:ascii="Arial Narrow" w:hAnsi="Arial Narrow"/>
          <w:lang w:val="en-GB"/>
        </w:rPr>
      </w:pPr>
    </w:p>
    <w:p w:rsidR="009305D7" w:rsidRPr="00A76401" w:rsidRDefault="009305D7" w:rsidP="001111A6">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612EA1" w:rsidRPr="00612EA1">
        <w:rPr>
          <w:rFonts w:ascii="Arial Narrow" w:hAnsi="Arial Narrow"/>
          <w:b/>
        </w:rPr>
        <w:t xml:space="preserve">Ms H O Hlophe (EFF)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1111A6">
      <w:pPr>
        <w:jc w:val="both"/>
        <w:rPr>
          <w:rFonts w:ascii="Arial Narrow" w:hAnsi="Arial Narrow"/>
          <w:lang w:val="en-GB"/>
        </w:rPr>
      </w:pPr>
    </w:p>
    <w:p w:rsidR="005779CF" w:rsidRPr="00A76401" w:rsidRDefault="005779CF" w:rsidP="001111A6">
      <w:pPr>
        <w:jc w:val="both"/>
        <w:rPr>
          <w:rFonts w:ascii="Arial Narrow" w:hAnsi="Arial Narrow"/>
          <w:lang w:val="en-GB"/>
        </w:rPr>
      </w:pPr>
    </w:p>
    <w:p w:rsidR="005779CF" w:rsidRPr="00A76401" w:rsidRDefault="005779CF" w:rsidP="001111A6">
      <w:pPr>
        <w:jc w:val="both"/>
        <w:rPr>
          <w:rFonts w:ascii="Arial Narrow" w:hAnsi="Arial Narrow"/>
          <w:lang w:val="en-GB"/>
        </w:rPr>
      </w:pPr>
    </w:p>
    <w:p w:rsidR="00912587" w:rsidRPr="00A76401" w:rsidRDefault="00912587" w:rsidP="001111A6">
      <w:pPr>
        <w:jc w:val="both"/>
        <w:rPr>
          <w:rFonts w:ascii="Arial Narrow" w:hAnsi="Arial Narrow"/>
          <w:lang w:val="en-GB"/>
        </w:rPr>
      </w:pPr>
    </w:p>
    <w:p w:rsidR="005779CF" w:rsidRPr="00A76401" w:rsidRDefault="005779CF" w:rsidP="001111A6">
      <w:pPr>
        <w:jc w:val="both"/>
        <w:rPr>
          <w:rFonts w:ascii="Arial Narrow" w:hAnsi="Arial Narrow"/>
          <w:lang w:val="en-GB"/>
        </w:rPr>
      </w:pPr>
    </w:p>
    <w:p w:rsidR="00920B4D" w:rsidRPr="00A76401" w:rsidRDefault="0048390A" w:rsidP="001111A6">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1111A6">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1111A6">
      <w:pPr>
        <w:tabs>
          <w:tab w:val="center" w:pos="4513"/>
        </w:tabs>
        <w:jc w:val="both"/>
        <w:rPr>
          <w:rFonts w:ascii="Arial Narrow" w:hAnsi="Arial Narrow"/>
          <w:b/>
          <w:lang w:val="en-GB"/>
        </w:rPr>
      </w:pPr>
    </w:p>
    <w:p w:rsidR="00920B4D" w:rsidRPr="00A76401" w:rsidRDefault="00920B4D" w:rsidP="001111A6">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1111A6">
      <w:pPr>
        <w:jc w:val="both"/>
        <w:rPr>
          <w:rFonts w:ascii="Arial Narrow" w:hAnsi="Arial Narrow"/>
          <w:b/>
          <w:lang w:val="en-GB"/>
        </w:rPr>
      </w:pPr>
    </w:p>
    <w:p w:rsidR="00920B4D" w:rsidRPr="00A76401" w:rsidRDefault="00920B4D" w:rsidP="001111A6">
      <w:pPr>
        <w:jc w:val="both"/>
        <w:rPr>
          <w:rFonts w:ascii="Arial Narrow" w:hAnsi="Arial Narrow"/>
          <w:b/>
          <w:lang w:val="en-GB"/>
        </w:rPr>
      </w:pPr>
    </w:p>
    <w:p w:rsidR="00920B4D" w:rsidRPr="00A76401" w:rsidRDefault="00920B4D" w:rsidP="001111A6">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1111A6">
      <w:pPr>
        <w:jc w:val="both"/>
        <w:rPr>
          <w:rFonts w:ascii="Arial Narrow" w:hAnsi="Arial Narrow"/>
          <w:lang w:val="en-GB"/>
        </w:rPr>
      </w:pPr>
    </w:p>
    <w:p w:rsidR="00920B4D" w:rsidRPr="00A76401" w:rsidRDefault="00920B4D" w:rsidP="001111A6">
      <w:pPr>
        <w:jc w:val="both"/>
        <w:rPr>
          <w:rFonts w:ascii="Arial Narrow" w:hAnsi="Arial Narrow"/>
          <w:lang w:val="en-GB"/>
        </w:rPr>
      </w:pPr>
    </w:p>
    <w:p w:rsidR="00920B4D" w:rsidRPr="00A76401" w:rsidRDefault="00920B4D" w:rsidP="001111A6">
      <w:pPr>
        <w:jc w:val="both"/>
        <w:rPr>
          <w:rFonts w:ascii="Arial Narrow" w:hAnsi="Arial Narrow"/>
          <w:lang w:val="en-GB"/>
        </w:rPr>
      </w:pPr>
    </w:p>
    <w:p w:rsidR="00912587" w:rsidRPr="00A76401" w:rsidRDefault="00912587" w:rsidP="001111A6">
      <w:pPr>
        <w:jc w:val="both"/>
        <w:rPr>
          <w:rFonts w:ascii="Arial Narrow" w:hAnsi="Arial Narrow"/>
          <w:lang w:val="en-GB"/>
        </w:rPr>
      </w:pPr>
    </w:p>
    <w:p w:rsidR="00920B4D" w:rsidRPr="00A76401" w:rsidRDefault="00920B4D" w:rsidP="001111A6">
      <w:pPr>
        <w:jc w:val="both"/>
        <w:rPr>
          <w:rFonts w:ascii="Arial Narrow" w:hAnsi="Arial Narrow"/>
          <w:lang w:val="en-GB"/>
        </w:rPr>
      </w:pPr>
    </w:p>
    <w:p w:rsidR="00920B4D" w:rsidRPr="00A76401" w:rsidRDefault="00A76401" w:rsidP="001111A6">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1111A6">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1111A6">
      <w:pPr>
        <w:jc w:val="both"/>
        <w:rPr>
          <w:rFonts w:ascii="Arial Narrow" w:hAnsi="Arial Narrow"/>
          <w:b/>
          <w:lang w:val="en-GB"/>
        </w:rPr>
      </w:pPr>
    </w:p>
    <w:p w:rsidR="00920B4D" w:rsidRPr="00A76401" w:rsidRDefault="00920B4D" w:rsidP="001111A6">
      <w:pPr>
        <w:jc w:val="both"/>
        <w:rPr>
          <w:rFonts w:ascii="Arial Narrow" w:hAnsi="Arial Narrow"/>
          <w:b/>
          <w:lang w:val="en-GB"/>
        </w:rPr>
      </w:pPr>
      <w:r w:rsidRPr="00A76401">
        <w:rPr>
          <w:rFonts w:ascii="Arial Narrow" w:hAnsi="Arial Narrow"/>
          <w:b/>
          <w:lang w:val="en-GB"/>
        </w:rPr>
        <w:t>DATE:</w:t>
      </w:r>
    </w:p>
    <w:p w:rsidR="00511040" w:rsidRPr="006E42A6" w:rsidRDefault="0048390A" w:rsidP="001111A6">
      <w:pPr>
        <w:spacing w:line="360" w:lineRule="auto"/>
        <w:jc w:val="both"/>
        <w:rPr>
          <w:rFonts w:ascii="Arial Narrow" w:hAnsi="Arial Narrow"/>
          <w:b/>
          <w:lang w:val="en-GB"/>
        </w:rPr>
      </w:pPr>
      <w:r w:rsidRPr="00BA160C">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934D70" w:rsidRPr="006E42A6" w:rsidRDefault="00FB0DC7" w:rsidP="001111A6">
      <w:pPr>
        <w:spacing w:line="360" w:lineRule="auto"/>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1111A6">
      <w:pPr>
        <w:spacing w:line="360" w:lineRule="auto"/>
        <w:jc w:val="both"/>
        <w:rPr>
          <w:rFonts w:ascii="Arial Narrow" w:hAnsi="Arial Narrow"/>
          <w:b/>
          <w:bCs/>
          <w:lang w:val="en-GB"/>
        </w:rPr>
      </w:pPr>
    </w:p>
    <w:p w:rsidR="00242211" w:rsidRPr="006E42A6" w:rsidRDefault="00E91D7C" w:rsidP="001111A6">
      <w:pPr>
        <w:spacing w:line="360" w:lineRule="auto"/>
        <w:jc w:val="both"/>
        <w:rPr>
          <w:rFonts w:ascii="Arial Narrow" w:hAnsi="Arial Narrow"/>
          <w:b/>
          <w:bCs/>
          <w:lang w:val="en-G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612EA1">
        <w:rPr>
          <w:rFonts w:ascii="Arial Narrow" w:hAnsi="Arial Narrow"/>
          <w:b/>
          <w:bCs/>
          <w:lang w:val="en-GB"/>
        </w:rPr>
        <w:t>2293</w:t>
      </w:r>
      <w:r w:rsidR="0090213C" w:rsidRPr="006E42A6">
        <w:rPr>
          <w:rFonts w:ascii="Arial Narrow" w:hAnsi="Arial Narrow"/>
          <w:b/>
        </w:rPr>
        <w:t xml:space="preserve"> </w:t>
      </w:r>
      <w:r w:rsidR="00C37A66" w:rsidRPr="006E42A6">
        <w:rPr>
          <w:rFonts w:ascii="Arial Narrow" w:hAnsi="Arial Narrow"/>
          <w:b/>
          <w:bCs/>
          <w:lang w:val="en-GB"/>
        </w:rPr>
        <w:t>{</w:t>
      </w:r>
      <w:r w:rsidR="00FB0DC7">
        <w:rPr>
          <w:rFonts w:ascii="Arial Narrow" w:hAnsi="Arial Narrow"/>
          <w:b/>
        </w:rPr>
        <w:t>NW</w:t>
      </w:r>
      <w:r w:rsidR="00612EA1">
        <w:rPr>
          <w:rFonts w:ascii="Arial Narrow" w:hAnsi="Arial Narrow"/>
          <w:b/>
        </w:rPr>
        <w:t>2531</w:t>
      </w:r>
      <w:r w:rsidR="00D472BE" w:rsidRPr="006E42A6">
        <w:rPr>
          <w:rFonts w:ascii="Arial Narrow" w:hAnsi="Arial Narrow"/>
          <w:b/>
        </w:rPr>
        <w:t>E</w:t>
      </w:r>
      <w:r w:rsidR="00C37A66" w:rsidRPr="006E42A6">
        <w:rPr>
          <w:rFonts w:ascii="Arial Narrow" w:hAnsi="Arial Narrow"/>
          <w:b/>
        </w:rPr>
        <w:t>}</w:t>
      </w:r>
    </w:p>
    <w:p w:rsidR="00242211" w:rsidRDefault="00107D87" w:rsidP="001111A6">
      <w:pPr>
        <w:spacing w:line="360" w:lineRule="auto"/>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411BED">
        <w:rPr>
          <w:rFonts w:ascii="Arial Narrow" w:hAnsi="Arial Narrow"/>
          <w:b/>
          <w:bCs/>
          <w:lang w:val="en-GB"/>
        </w:rPr>
        <w:t xml:space="preserve"> </w:t>
      </w:r>
      <w:r w:rsidR="00D2258F">
        <w:rPr>
          <w:rFonts w:ascii="Arial Narrow" w:hAnsi="Arial Narrow"/>
          <w:b/>
          <w:bCs/>
          <w:lang w:val="en-GB"/>
        </w:rPr>
        <w:t>26</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1111A6">
      <w:pPr>
        <w:spacing w:line="360" w:lineRule="auto"/>
        <w:jc w:val="both"/>
        <w:rPr>
          <w:rFonts w:ascii="Arial Narrow" w:hAnsi="Arial Narrow"/>
          <w:b/>
          <w:bCs/>
          <w:lang w:val="en-GB"/>
        </w:rPr>
      </w:pPr>
    </w:p>
    <w:p w:rsidR="00027887" w:rsidRDefault="003D4060" w:rsidP="001111A6">
      <w:pPr>
        <w:spacing w:line="360" w:lineRule="auto"/>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D2258F">
        <w:rPr>
          <w:rFonts w:ascii="Arial Narrow" w:hAnsi="Arial Narrow"/>
          <w:b/>
        </w:rPr>
        <w:t>14 August</w:t>
      </w:r>
      <w:r w:rsidR="001223BD">
        <w:rPr>
          <w:rFonts w:ascii="Arial Narrow" w:hAnsi="Arial Narrow"/>
          <w:b/>
        </w:rPr>
        <w:t xml:space="preserve"> 2017</w:t>
      </w:r>
    </w:p>
    <w:p w:rsidR="00A76401" w:rsidRDefault="00A76401" w:rsidP="001111A6">
      <w:pPr>
        <w:spacing w:line="360" w:lineRule="auto"/>
        <w:jc w:val="both"/>
        <w:rPr>
          <w:rFonts w:ascii="Arial Narrow" w:hAnsi="Arial Narrow"/>
          <w:b/>
        </w:rPr>
      </w:pPr>
    </w:p>
    <w:p w:rsidR="00411BED" w:rsidRDefault="00411BED" w:rsidP="001111A6">
      <w:pPr>
        <w:spacing w:line="360" w:lineRule="auto"/>
        <w:jc w:val="both"/>
        <w:rPr>
          <w:rFonts w:ascii="Arial Narrow" w:hAnsi="Arial Narrow"/>
          <w:b/>
        </w:rPr>
      </w:pPr>
    </w:p>
    <w:p w:rsidR="006A5B08" w:rsidRPr="004674A4" w:rsidRDefault="00612EA1" w:rsidP="001111A6">
      <w:pPr>
        <w:spacing w:line="360" w:lineRule="auto"/>
        <w:ind w:left="720" w:hanging="720"/>
        <w:jc w:val="both"/>
        <w:rPr>
          <w:rFonts w:ascii="Arial Narrow" w:hAnsi="Arial Narrow"/>
          <w:b/>
        </w:rPr>
      </w:pPr>
      <w:r w:rsidRPr="00612EA1">
        <w:rPr>
          <w:rFonts w:ascii="Arial Narrow" w:hAnsi="Arial Narrow"/>
          <w:b/>
        </w:rPr>
        <w:t xml:space="preserve">Ms H O Hlophe (EFF) </w:t>
      </w:r>
      <w:r w:rsidR="006A5B08" w:rsidRPr="004674A4">
        <w:rPr>
          <w:rFonts w:ascii="Arial Narrow" w:hAnsi="Arial Narrow"/>
          <w:b/>
        </w:rPr>
        <w:t>to ask the Minister of Environmental Affairs:</w:t>
      </w:r>
    </w:p>
    <w:p w:rsidR="00612EA1" w:rsidRDefault="00612EA1" w:rsidP="0015248F">
      <w:pPr>
        <w:numPr>
          <w:ilvl w:val="0"/>
          <w:numId w:val="5"/>
        </w:numPr>
        <w:spacing w:line="360" w:lineRule="auto"/>
        <w:ind w:left="567" w:hanging="567"/>
        <w:rPr>
          <w:rFonts w:ascii="Arial Narrow" w:hAnsi="Arial Narrow"/>
        </w:rPr>
      </w:pPr>
      <w:r w:rsidRPr="00612EA1">
        <w:rPr>
          <w:rFonts w:ascii="Arial Narrow" w:hAnsi="Arial Narrow"/>
        </w:rPr>
        <w:t xml:space="preserve">What steps has her department taken to reduce greenhouse gas emissions; </w:t>
      </w:r>
      <w:r w:rsidR="00411BED">
        <w:rPr>
          <w:rFonts w:ascii="Arial Narrow" w:hAnsi="Arial Narrow"/>
        </w:rPr>
        <w:t>and</w:t>
      </w:r>
    </w:p>
    <w:p w:rsidR="00612EA1" w:rsidRPr="00612EA1" w:rsidRDefault="00612EA1" w:rsidP="0015248F">
      <w:pPr>
        <w:numPr>
          <w:ilvl w:val="0"/>
          <w:numId w:val="5"/>
        </w:numPr>
        <w:spacing w:line="360" w:lineRule="auto"/>
        <w:ind w:left="567" w:hanging="567"/>
        <w:rPr>
          <w:rFonts w:ascii="Arial Narrow" w:hAnsi="Arial Narrow"/>
        </w:rPr>
      </w:pPr>
      <w:r w:rsidRPr="00612EA1">
        <w:rPr>
          <w:rFonts w:ascii="Arial Narrow" w:hAnsi="Arial Narrow"/>
        </w:rPr>
        <w:t>with regard to the Greenhouse Gas Emission Reporting Regulations published under the National Environmental Management: Air Quality Act, Act 39 of 2004, (a) what steps have been taken to implement the regulations (b) will her department require companies operating more than one facility to submit separate greenhouse gas emission data for each of their facilities or will it accept one set of d</w:t>
      </w:r>
      <w:r w:rsidR="00411BED">
        <w:rPr>
          <w:rFonts w:ascii="Arial Narrow" w:hAnsi="Arial Narrow"/>
        </w:rPr>
        <w:t>ata for all the facilities?</w:t>
      </w:r>
    </w:p>
    <w:p w:rsidR="00C34987" w:rsidRDefault="0048390A" w:rsidP="001111A6">
      <w:pPr>
        <w:ind w:left="142" w:hanging="720"/>
        <w:jc w:val="both"/>
        <w:rPr>
          <w:rFonts w:ascii="Arial Narrow" w:hAnsi="Arial Narrow"/>
          <w:b/>
        </w:rPr>
      </w:pPr>
      <w:r w:rsidRPr="00DA3ED5">
        <w:rPr>
          <w:rFonts w:ascii="Arial Narrow" w:hAnsi="Arial Narrow"/>
        </w:rPr>
        <w:br w:type="page"/>
      </w:r>
      <w:r w:rsidR="00612EA1">
        <w:rPr>
          <w:rFonts w:ascii="Arial Narrow" w:hAnsi="Arial Narrow"/>
          <w:b/>
        </w:rPr>
        <w:t>2293</w:t>
      </w:r>
      <w:r w:rsidR="00CD4B26" w:rsidRPr="006E42A6">
        <w:rPr>
          <w:rFonts w:ascii="Arial Narrow" w:hAnsi="Arial Narrow"/>
          <w:b/>
        </w:rPr>
        <w:t xml:space="preserve">. </w:t>
      </w:r>
      <w:r w:rsidR="007E5495" w:rsidRPr="006E42A6">
        <w:rPr>
          <w:rFonts w:ascii="Arial Narrow" w:hAnsi="Arial Narrow"/>
          <w:b/>
        </w:rPr>
        <w:t>THE MINISTER OF ENVIRONMENTAL AFFAIRS REPLIES:</w:t>
      </w:r>
    </w:p>
    <w:p w:rsidR="00E247AD" w:rsidRDefault="00E247AD" w:rsidP="001111A6">
      <w:pPr>
        <w:ind w:hanging="720"/>
        <w:jc w:val="both"/>
        <w:rPr>
          <w:rFonts w:ascii="Arial Narrow" w:hAnsi="Arial Narrow"/>
          <w:b/>
        </w:rPr>
      </w:pPr>
    </w:p>
    <w:p w:rsidR="002606CF" w:rsidRDefault="002606CF" w:rsidP="001111A6">
      <w:pPr>
        <w:spacing w:line="360" w:lineRule="auto"/>
        <w:jc w:val="both"/>
        <w:rPr>
          <w:rFonts w:ascii="Arial Narrow" w:hAnsi="Arial Narrow"/>
        </w:rPr>
      </w:pPr>
      <w:r w:rsidRPr="00411BED">
        <w:rPr>
          <w:rFonts w:ascii="Arial Narrow" w:hAnsi="Arial Narrow"/>
        </w:rPr>
        <w:t>(1)</w:t>
      </w:r>
      <w:r>
        <w:rPr>
          <w:rFonts w:ascii="Arial Narrow" w:hAnsi="Arial Narrow"/>
          <w:b/>
        </w:rPr>
        <w:t xml:space="preserve"> </w:t>
      </w:r>
      <w:r w:rsidRPr="002139EE">
        <w:rPr>
          <w:rFonts w:ascii="Arial Narrow" w:hAnsi="Arial Narrow"/>
        </w:rPr>
        <w:t xml:space="preserve">Over the past </w:t>
      </w:r>
      <w:r>
        <w:rPr>
          <w:rFonts w:ascii="Arial Narrow" w:hAnsi="Arial Narrow"/>
        </w:rPr>
        <w:t>six</w:t>
      </w:r>
      <w:r w:rsidRPr="002139EE">
        <w:rPr>
          <w:rFonts w:ascii="Arial Narrow" w:hAnsi="Arial Narrow"/>
        </w:rPr>
        <w:t xml:space="preserve"> years, extensive work has been done to translate the </w:t>
      </w:r>
      <w:r>
        <w:rPr>
          <w:rFonts w:ascii="Arial Narrow" w:hAnsi="Arial Narrow"/>
        </w:rPr>
        <w:t xml:space="preserve">National Climate Change Responses Policy </w:t>
      </w:r>
      <w:r w:rsidRPr="00BF38AE">
        <w:rPr>
          <w:rFonts w:ascii="Arial Narrow" w:hAnsi="Arial Narrow"/>
        </w:rPr>
        <w:t>(NCCRP)</w:t>
      </w:r>
      <w:r>
        <w:rPr>
          <w:rFonts w:ascii="Arial Narrow" w:hAnsi="Arial Narrow"/>
        </w:rPr>
        <w:t xml:space="preserve"> into practical action:</w:t>
      </w:r>
    </w:p>
    <w:p w:rsidR="002606CF" w:rsidRDefault="002606CF" w:rsidP="001111A6">
      <w:pPr>
        <w:spacing w:line="360" w:lineRule="auto"/>
        <w:jc w:val="both"/>
        <w:rPr>
          <w:rFonts w:ascii="Arial Narrow" w:hAnsi="Arial Narrow"/>
        </w:rPr>
      </w:pPr>
    </w:p>
    <w:p w:rsidR="002606CF" w:rsidRPr="0049306E" w:rsidRDefault="002606CF" w:rsidP="0015248F">
      <w:pPr>
        <w:pStyle w:val="ColorfulList-Accent1"/>
        <w:numPr>
          <w:ilvl w:val="0"/>
          <w:numId w:val="3"/>
        </w:numPr>
        <w:spacing w:after="0" w:line="360" w:lineRule="auto"/>
        <w:jc w:val="both"/>
        <w:rPr>
          <w:rFonts w:ascii="Arial Narrow" w:hAnsi="Arial Narrow"/>
          <w:b/>
          <w:i/>
        </w:rPr>
      </w:pPr>
      <w:r w:rsidRPr="0049306E">
        <w:rPr>
          <w:rFonts w:ascii="Arial Narrow" w:hAnsi="Arial Narrow"/>
          <w:b/>
          <w:i/>
        </w:rPr>
        <w:t xml:space="preserve">Implementation of the National Mitigation System </w:t>
      </w:r>
    </w:p>
    <w:p w:rsidR="002606CF" w:rsidRDefault="002606CF" w:rsidP="001111A6">
      <w:pPr>
        <w:spacing w:line="360" w:lineRule="auto"/>
        <w:jc w:val="both"/>
        <w:rPr>
          <w:rFonts w:ascii="Arial Narrow" w:hAnsi="Arial Narrow"/>
        </w:rPr>
      </w:pPr>
      <w:r w:rsidRPr="00BF38AE">
        <w:rPr>
          <w:rFonts w:ascii="Arial Narrow" w:hAnsi="Arial Narrow"/>
        </w:rPr>
        <w:t>Section 6 of the NCCRP lists the key elements in the overall approach to mitigation</w:t>
      </w:r>
      <w:r w:rsidR="00411BED">
        <w:rPr>
          <w:rFonts w:ascii="Arial Narrow" w:hAnsi="Arial Narrow"/>
        </w:rPr>
        <w:t xml:space="preserve">. </w:t>
      </w:r>
      <w:r>
        <w:rPr>
          <w:rFonts w:ascii="Arial Narrow" w:hAnsi="Arial Narrow"/>
        </w:rPr>
        <w:t>The National Mitigation System, comprises the following elements and is directly implemented by the Departme</w:t>
      </w:r>
      <w:r w:rsidR="00411BED">
        <w:rPr>
          <w:rFonts w:ascii="Arial Narrow" w:hAnsi="Arial Narrow"/>
        </w:rPr>
        <w:t>nt of Environmental Affairs:</w:t>
      </w:r>
    </w:p>
    <w:p w:rsidR="002606CF" w:rsidRDefault="002606CF" w:rsidP="0015248F">
      <w:pPr>
        <w:pStyle w:val="ColorfulList-Accent1"/>
        <w:numPr>
          <w:ilvl w:val="0"/>
          <w:numId w:val="1"/>
        </w:numPr>
        <w:spacing w:after="0" w:line="360" w:lineRule="auto"/>
        <w:jc w:val="both"/>
        <w:rPr>
          <w:rFonts w:ascii="Arial Narrow" w:hAnsi="Arial Narrow"/>
        </w:rPr>
      </w:pPr>
      <w:r>
        <w:rPr>
          <w:rFonts w:ascii="Arial Narrow" w:hAnsi="Arial Narrow"/>
        </w:rPr>
        <w:t xml:space="preserve">Introduction of </w:t>
      </w:r>
      <w:r w:rsidRPr="0081727F">
        <w:rPr>
          <w:rFonts w:ascii="Arial Narrow" w:hAnsi="Arial Narrow"/>
        </w:rPr>
        <w:t>desired em</w:t>
      </w:r>
      <w:r>
        <w:rPr>
          <w:rFonts w:ascii="Arial Narrow" w:hAnsi="Arial Narrow"/>
        </w:rPr>
        <w:t xml:space="preserve">ission reduction outcomes </w:t>
      </w:r>
      <w:r w:rsidRPr="0081727F">
        <w:rPr>
          <w:rFonts w:ascii="Arial Narrow" w:hAnsi="Arial Narrow"/>
        </w:rPr>
        <w:t>now called the sector emission targets (SETs)</w:t>
      </w:r>
      <w:r w:rsidR="00E247AD">
        <w:rPr>
          <w:rFonts w:ascii="Arial Narrow" w:hAnsi="Arial Narrow"/>
        </w:rPr>
        <w:t>;</w:t>
      </w:r>
    </w:p>
    <w:p w:rsidR="002606CF" w:rsidRDefault="002606CF" w:rsidP="0015248F">
      <w:pPr>
        <w:pStyle w:val="ColorfulList-Accent1"/>
        <w:numPr>
          <w:ilvl w:val="0"/>
          <w:numId w:val="1"/>
        </w:numPr>
        <w:spacing w:after="0" w:line="360" w:lineRule="auto"/>
        <w:jc w:val="both"/>
        <w:rPr>
          <w:rFonts w:ascii="Arial Narrow" w:hAnsi="Arial Narrow"/>
        </w:rPr>
      </w:pPr>
      <w:r>
        <w:rPr>
          <w:rFonts w:ascii="Arial Narrow" w:hAnsi="Arial Narrow"/>
        </w:rPr>
        <w:t xml:space="preserve">Allocation of </w:t>
      </w:r>
      <w:r w:rsidRPr="0081727F">
        <w:rPr>
          <w:rFonts w:ascii="Arial Narrow" w:hAnsi="Arial Narrow"/>
        </w:rPr>
        <w:t>carbon budgets</w:t>
      </w:r>
      <w:r>
        <w:rPr>
          <w:rFonts w:ascii="Arial Narrow" w:hAnsi="Arial Narrow"/>
        </w:rPr>
        <w:t xml:space="preserve"> at company level</w:t>
      </w:r>
      <w:r w:rsidR="00E247AD">
        <w:rPr>
          <w:rFonts w:ascii="Arial Narrow" w:hAnsi="Arial Narrow"/>
        </w:rPr>
        <w:t>; and</w:t>
      </w:r>
    </w:p>
    <w:p w:rsidR="002606CF" w:rsidRDefault="002606CF" w:rsidP="0015248F">
      <w:pPr>
        <w:pStyle w:val="ColorfulList-Accent1"/>
        <w:numPr>
          <w:ilvl w:val="0"/>
          <w:numId w:val="1"/>
        </w:numPr>
        <w:spacing w:after="0" w:line="360" w:lineRule="auto"/>
        <w:jc w:val="both"/>
        <w:rPr>
          <w:rFonts w:ascii="Arial Narrow" w:hAnsi="Arial Narrow"/>
        </w:rPr>
      </w:pPr>
      <w:r>
        <w:rPr>
          <w:rFonts w:ascii="Arial Narrow" w:hAnsi="Arial Narrow"/>
        </w:rPr>
        <w:t>Establishment of a n</w:t>
      </w:r>
      <w:r w:rsidR="00E247AD">
        <w:rPr>
          <w:rFonts w:ascii="Arial Narrow" w:hAnsi="Arial Narrow"/>
        </w:rPr>
        <w:t>ational emissions trajectory.</w:t>
      </w:r>
    </w:p>
    <w:p w:rsidR="000414A8" w:rsidRDefault="000414A8" w:rsidP="001111A6">
      <w:pPr>
        <w:pStyle w:val="ColorfulList-Accent1"/>
        <w:spacing w:after="0" w:line="360" w:lineRule="auto"/>
        <w:ind w:left="0"/>
        <w:jc w:val="both"/>
        <w:rPr>
          <w:rFonts w:ascii="Arial Narrow" w:hAnsi="Arial Narrow"/>
        </w:rPr>
      </w:pPr>
    </w:p>
    <w:p w:rsidR="002606CF" w:rsidRDefault="002606CF" w:rsidP="001111A6">
      <w:pPr>
        <w:spacing w:line="360" w:lineRule="auto"/>
        <w:jc w:val="both"/>
        <w:rPr>
          <w:rFonts w:ascii="Arial Narrow" w:hAnsi="Arial Narrow"/>
        </w:rPr>
      </w:pPr>
      <w:r w:rsidRPr="0081727F">
        <w:rPr>
          <w:rFonts w:ascii="Arial Narrow" w:hAnsi="Arial Narrow"/>
        </w:rPr>
        <w:t xml:space="preserve">Phase 1 of the Mitigation System has already commenced, from </w:t>
      </w:r>
      <w:r w:rsidR="00E247AD">
        <w:rPr>
          <w:rFonts w:ascii="Arial Narrow" w:hAnsi="Arial Narrow"/>
        </w:rPr>
        <w:t>0</w:t>
      </w:r>
      <w:r w:rsidRPr="0081727F">
        <w:rPr>
          <w:rFonts w:ascii="Arial Narrow" w:hAnsi="Arial Narrow"/>
        </w:rPr>
        <w:t xml:space="preserve">1 January 2016 and will extend to </w:t>
      </w:r>
      <w:r w:rsidR="00411BED">
        <w:rPr>
          <w:rFonts w:ascii="Arial Narrow" w:hAnsi="Arial Narrow"/>
        </w:rPr>
        <w:br/>
        <w:t xml:space="preserve">31 December 2020. </w:t>
      </w:r>
      <w:r w:rsidRPr="0081727F">
        <w:rPr>
          <w:rFonts w:ascii="Arial Narrow" w:hAnsi="Arial Narrow"/>
        </w:rPr>
        <w:t xml:space="preserve">Phase 2 of the Mitigation System, will commence on </w:t>
      </w:r>
      <w:r w:rsidR="00E247AD">
        <w:rPr>
          <w:rFonts w:ascii="Arial Narrow" w:hAnsi="Arial Narrow"/>
        </w:rPr>
        <w:t>0</w:t>
      </w:r>
      <w:r w:rsidRPr="0081727F">
        <w:rPr>
          <w:rFonts w:ascii="Arial Narrow" w:hAnsi="Arial Narrow"/>
        </w:rPr>
        <w:t>1 January 2021. Phase 1 will contains some of the elements of the full mitigation system, with further elements to be introduced in the second phase.</w:t>
      </w:r>
    </w:p>
    <w:p w:rsidR="001111A6" w:rsidRDefault="001111A6" w:rsidP="001111A6">
      <w:pPr>
        <w:spacing w:line="360" w:lineRule="auto"/>
        <w:jc w:val="both"/>
        <w:rPr>
          <w:rFonts w:ascii="Arial Narrow" w:hAnsi="Arial Narrow"/>
        </w:rPr>
      </w:pPr>
    </w:p>
    <w:p w:rsidR="002606CF" w:rsidRPr="001D76CE" w:rsidRDefault="002606CF" w:rsidP="0015248F">
      <w:pPr>
        <w:pStyle w:val="ColorfulList-Accent1"/>
        <w:numPr>
          <w:ilvl w:val="0"/>
          <w:numId w:val="6"/>
        </w:numPr>
        <w:spacing w:after="0" w:line="360" w:lineRule="auto"/>
        <w:ind w:left="426" w:hanging="426"/>
        <w:jc w:val="both"/>
        <w:rPr>
          <w:rFonts w:ascii="Arial Narrow" w:hAnsi="Arial Narrow"/>
          <w:i/>
        </w:rPr>
      </w:pPr>
      <w:r w:rsidRPr="001D76CE">
        <w:rPr>
          <w:rFonts w:ascii="Arial Narrow" w:hAnsi="Arial Narrow"/>
          <w:i/>
        </w:rPr>
        <w:t xml:space="preserve">Sectoral Emission Targets </w:t>
      </w:r>
    </w:p>
    <w:p w:rsidR="002606CF" w:rsidRDefault="002606CF" w:rsidP="001111A6">
      <w:pPr>
        <w:spacing w:line="360" w:lineRule="auto"/>
        <w:jc w:val="both"/>
        <w:rPr>
          <w:rFonts w:ascii="Arial Narrow" w:hAnsi="Arial Narrow"/>
        </w:rPr>
      </w:pPr>
      <w:r w:rsidRPr="00AE06F8">
        <w:rPr>
          <w:rFonts w:ascii="Arial Narrow" w:hAnsi="Arial Narrow"/>
        </w:rPr>
        <w:t xml:space="preserve">The rationale for SETs is to set limits of greenhouse gas emissions </w:t>
      </w:r>
      <w:r>
        <w:rPr>
          <w:rFonts w:ascii="Arial Narrow" w:hAnsi="Arial Narrow"/>
        </w:rPr>
        <w:t xml:space="preserve">(GHG) </w:t>
      </w:r>
      <w:r w:rsidRPr="00AE06F8">
        <w:rPr>
          <w:rFonts w:ascii="Arial Narrow" w:hAnsi="Arial Narrow"/>
        </w:rPr>
        <w:t xml:space="preserve">for sectors and subsectors as part of South Africa’s mitigation efforts, while achieving its developmental goals. SETs will be determined for three rolling 5-year periods, with national government departments (SET departments) being allocated responsibility to ensure emissions remain within the limits of the first 5-year period. The SETs are aligned with emissions categories in the national GHG inventory. </w:t>
      </w:r>
      <w:r>
        <w:rPr>
          <w:rFonts w:ascii="Arial Narrow" w:hAnsi="Arial Narrow"/>
        </w:rPr>
        <w:t xml:space="preserve">The first Phase </w:t>
      </w:r>
      <w:r w:rsidRPr="00AE06F8">
        <w:rPr>
          <w:rFonts w:ascii="Arial Narrow" w:hAnsi="Arial Narrow"/>
        </w:rPr>
        <w:t>SETs have been set for the period 2016 to 2020. The se</w:t>
      </w:r>
      <w:r>
        <w:rPr>
          <w:rFonts w:ascii="Arial Narrow" w:hAnsi="Arial Narrow"/>
        </w:rPr>
        <w:t xml:space="preserve">cond and subsequent phases </w:t>
      </w:r>
      <w:r w:rsidRPr="00AE06F8">
        <w:rPr>
          <w:rFonts w:ascii="Arial Narrow" w:hAnsi="Arial Narrow"/>
        </w:rPr>
        <w:t>SETs will be defined and allocated by 2018, pronouncing the 3 cycles for the period (2021-2025; 2026-2030 and 2031-2035); and will be reviewed every 5 years.</w:t>
      </w:r>
    </w:p>
    <w:p w:rsidR="000414A8" w:rsidRDefault="000414A8" w:rsidP="001111A6">
      <w:pPr>
        <w:spacing w:line="360" w:lineRule="auto"/>
        <w:jc w:val="both"/>
        <w:rPr>
          <w:rFonts w:ascii="Arial Narrow" w:hAnsi="Arial Narrow"/>
        </w:rPr>
      </w:pPr>
    </w:p>
    <w:p w:rsidR="002606CF" w:rsidRPr="001D76CE" w:rsidRDefault="002606CF" w:rsidP="0015248F">
      <w:pPr>
        <w:pStyle w:val="ColorfulList-Accent1"/>
        <w:numPr>
          <w:ilvl w:val="0"/>
          <w:numId w:val="6"/>
        </w:numPr>
        <w:spacing w:after="0" w:line="360" w:lineRule="auto"/>
        <w:ind w:left="426" w:hanging="437"/>
        <w:jc w:val="both"/>
        <w:rPr>
          <w:rFonts w:ascii="Arial Narrow" w:hAnsi="Arial Narrow"/>
          <w:i/>
        </w:rPr>
      </w:pPr>
      <w:r w:rsidRPr="001D76CE">
        <w:rPr>
          <w:rFonts w:ascii="Arial Narrow" w:hAnsi="Arial Narrow"/>
          <w:i/>
        </w:rPr>
        <w:t xml:space="preserve">Carbon Budgets </w:t>
      </w:r>
    </w:p>
    <w:p w:rsidR="002606CF" w:rsidRDefault="002606CF" w:rsidP="001111A6">
      <w:pPr>
        <w:spacing w:line="360" w:lineRule="auto"/>
        <w:jc w:val="both"/>
        <w:rPr>
          <w:rFonts w:ascii="Arial Narrow" w:hAnsi="Arial Narrow"/>
        </w:rPr>
      </w:pPr>
      <w:r w:rsidRPr="00BC4CC6">
        <w:rPr>
          <w:rFonts w:ascii="Arial Narrow" w:hAnsi="Arial Narrow"/>
        </w:rPr>
        <w:t>A carbon budget sets the maximum volume of emissions from certain activities that a company is allowed to emit over a certain time period. By assigning a carbon budget to a company, an indication is provided of the extent of greenhouse gas mitigation that is required within a specific time period.</w:t>
      </w:r>
      <w:r>
        <w:rPr>
          <w:rFonts w:ascii="Arial Narrow" w:hAnsi="Arial Narrow"/>
        </w:rPr>
        <w:t xml:space="preserve"> </w:t>
      </w:r>
      <w:r w:rsidRPr="00BC4CC6">
        <w:rPr>
          <w:rFonts w:ascii="Arial Narrow" w:hAnsi="Arial Narrow"/>
        </w:rPr>
        <w:t>Furthermore, by providing companies with an understanding of how budgets are likely to be assigned in future phases, as well as how the budgets will be impacted by the shape of the trajectory, it sensitises them to how mitigation requirements may change in the future (even if the future quantum is not specified).</w:t>
      </w:r>
      <w:r w:rsidR="000414A8">
        <w:rPr>
          <w:rFonts w:ascii="Arial Narrow" w:hAnsi="Arial Narrow"/>
        </w:rPr>
        <w:t xml:space="preserve"> </w:t>
      </w:r>
      <w:r>
        <w:rPr>
          <w:rFonts w:ascii="Arial Narrow" w:hAnsi="Arial Narrow"/>
        </w:rPr>
        <w:t xml:space="preserve">Carbon budgets </w:t>
      </w:r>
      <w:r w:rsidRPr="00BC4CC6">
        <w:rPr>
          <w:rFonts w:ascii="Arial Narrow" w:hAnsi="Arial Narrow"/>
        </w:rPr>
        <w:t>will be alloca</w:t>
      </w:r>
      <w:r>
        <w:rPr>
          <w:rFonts w:ascii="Arial Narrow" w:hAnsi="Arial Narrow"/>
        </w:rPr>
        <w:t xml:space="preserve">ted for a period of five years, supported by the </w:t>
      </w:r>
      <w:r w:rsidRPr="00BC4CC6">
        <w:rPr>
          <w:rFonts w:ascii="Arial Narrow" w:hAnsi="Arial Narrow"/>
        </w:rPr>
        <w:t>GHG Emissions Reporting regulations</w:t>
      </w:r>
      <w:r>
        <w:rPr>
          <w:rFonts w:ascii="Arial Narrow" w:hAnsi="Arial Narrow"/>
        </w:rPr>
        <w:t>, which will</w:t>
      </w:r>
      <w:r w:rsidRPr="00BC4CC6">
        <w:rPr>
          <w:rFonts w:ascii="Arial Narrow" w:hAnsi="Arial Narrow"/>
        </w:rPr>
        <w:t xml:space="preserve"> facilitate the submission of </w:t>
      </w:r>
      <w:r>
        <w:rPr>
          <w:rFonts w:ascii="Arial Narrow" w:hAnsi="Arial Narrow"/>
        </w:rPr>
        <w:t>GH</w:t>
      </w:r>
      <w:r w:rsidR="000414A8">
        <w:rPr>
          <w:rFonts w:ascii="Arial Narrow" w:hAnsi="Arial Narrow"/>
        </w:rPr>
        <w:t>G emissions data by companies.</w:t>
      </w:r>
    </w:p>
    <w:p w:rsidR="002606CF" w:rsidRDefault="002606CF" w:rsidP="001111A6">
      <w:pPr>
        <w:spacing w:line="360" w:lineRule="auto"/>
        <w:jc w:val="both"/>
        <w:rPr>
          <w:rFonts w:ascii="Arial Narrow" w:hAnsi="Arial Narrow"/>
        </w:rPr>
      </w:pPr>
    </w:p>
    <w:p w:rsidR="002606CF" w:rsidRPr="001D76CE" w:rsidRDefault="002606CF" w:rsidP="0015248F">
      <w:pPr>
        <w:pStyle w:val="ColorfulList-Accent1"/>
        <w:numPr>
          <w:ilvl w:val="0"/>
          <w:numId w:val="6"/>
        </w:numPr>
        <w:spacing w:after="0" w:line="360" w:lineRule="auto"/>
        <w:ind w:left="426" w:hanging="426"/>
        <w:jc w:val="both"/>
        <w:rPr>
          <w:rFonts w:ascii="Arial Narrow" w:hAnsi="Arial Narrow"/>
          <w:i/>
        </w:rPr>
      </w:pPr>
      <w:r w:rsidRPr="001D76CE">
        <w:rPr>
          <w:rFonts w:ascii="Arial Narrow" w:hAnsi="Arial Narrow"/>
          <w:i/>
        </w:rPr>
        <w:t xml:space="preserve">Mitigation Plans </w:t>
      </w:r>
    </w:p>
    <w:p w:rsidR="002606CF" w:rsidRDefault="002606CF" w:rsidP="001111A6">
      <w:pPr>
        <w:spacing w:line="360" w:lineRule="auto"/>
        <w:jc w:val="both"/>
        <w:rPr>
          <w:rFonts w:ascii="Arial Narrow" w:hAnsi="Arial Narrow"/>
        </w:rPr>
      </w:pPr>
      <w:r w:rsidRPr="00AA50F7">
        <w:rPr>
          <w:rFonts w:ascii="Arial Narrow" w:hAnsi="Arial Narrow"/>
        </w:rPr>
        <w:t>The</w:t>
      </w:r>
      <w:r w:rsidR="001F70BA">
        <w:rPr>
          <w:rFonts w:ascii="Arial Narrow" w:hAnsi="Arial Narrow"/>
        </w:rPr>
        <w:t xml:space="preserve"> companies whom the I have</w:t>
      </w:r>
      <w:r w:rsidRPr="00AA50F7">
        <w:rPr>
          <w:rFonts w:ascii="Arial Narrow" w:hAnsi="Arial Narrow"/>
        </w:rPr>
        <w:t xml:space="preserve"> given carbon budgets are expected to prepare, submit and implement mitigation plans to demonstrate how they are going to reduce/manage their GHGs towards achievement of their carbon budgets. For the first phase, companies will be empowered to prepare mitigation plans through the Pollution Prevention Plan regulations promulgated in July 2017. The plans will be reviewed every five years. Progress towards implementation of these plans is done every year and at the end of the five years (in line with the carbon budgets).</w:t>
      </w:r>
    </w:p>
    <w:p w:rsidR="002606CF" w:rsidRDefault="002606CF" w:rsidP="001111A6">
      <w:pPr>
        <w:spacing w:line="360" w:lineRule="auto"/>
        <w:jc w:val="both"/>
        <w:rPr>
          <w:rFonts w:ascii="Arial Narrow" w:hAnsi="Arial Narrow"/>
        </w:rPr>
      </w:pPr>
    </w:p>
    <w:p w:rsidR="002606CF" w:rsidRPr="001D76CE" w:rsidRDefault="002606CF" w:rsidP="0015248F">
      <w:pPr>
        <w:pStyle w:val="ColorfulList-Accent1"/>
        <w:numPr>
          <w:ilvl w:val="0"/>
          <w:numId w:val="6"/>
        </w:numPr>
        <w:spacing w:after="0" w:line="360" w:lineRule="auto"/>
        <w:ind w:left="426" w:hanging="426"/>
        <w:jc w:val="both"/>
        <w:rPr>
          <w:rFonts w:ascii="Arial Narrow" w:hAnsi="Arial Narrow"/>
          <w:i/>
        </w:rPr>
      </w:pPr>
      <w:r w:rsidRPr="001D76CE">
        <w:rPr>
          <w:rFonts w:ascii="Arial Narrow" w:hAnsi="Arial Narrow"/>
          <w:i/>
        </w:rPr>
        <w:t xml:space="preserve">The National Emissions Trajectory </w:t>
      </w:r>
    </w:p>
    <w:p w:rsidR="002606CF" w:rsidRDefault="002606CF" w:rsidP="001111A6">
      <w:pPr>
        <w:spacing w:line="360" w:lineRule="auto"/>
        <w:jc w:val="both"/>
        <w:rPr>
          <w:rFonts w:ascii="Arial Narrow" w:hAnsi="Arial Narrow"/>
        </w:rPr>
      </w:pPr>
      <w:r w:rsidRPr="00AE06F8">
        <w:rPr>
          <w:rFonts w:ascii="Arial Narrow" w:hAnsi="Arial Narrow"/>
        </w:rPr>
        <w:t>The</w:t>
      </w:r>
      <w:r>
        <w:rPr>
          <w:rFonts w:ascii="Arial Narrow" w:hAnsi="Arial Narrow"/>
        </w:rPr>
        <w:t xml:space="preserve"> National GHG emissions</w:t>
      </w:r>
      <w:r w:rsidRPr="00AE06F8">
        <w:rPr>
          <w:rFonts w:ascii="Arial Narrow" w:hAnsi="Arial Narrow"/>
        </w:rPr>
        <w:t xml:space="preserve"> trajectory serves as the country’s greenhouse gas emission reduction pathway over time. The first refinement of the National Trajectory emissions trajectory is planned </w:t>
      </w:r>
      <w:r w:rsidR="000414A8">
        <w:rPr>
          <w:rFonts w:ascii="Arial Narrow" w:hAnsi="Arial Narrow"/>
        </w:rPr>
        <w:t>for 2018, with an update every five</w:t>
      </w:r>
      <w:r w:rsidRPr="00AE06F8">
        <w:rPr>
          <w:rFonts w:ascii="Arial Narrow" w:hAnsi="Arial Narrow"/>
        </w:rPr>
        <w:t xml:space="preserve"> years. The National Trajectory will inform what gets committed to the UNFCCC as Nationally Determined Contributions (NDCs).</w:t>
      </w:r>
    </w:p>
    <w:p w:rsidR="000414A8" w:rsidRDefault="000414A8" w:rsidP="001111A6">
      <w:pPr>
        <w:spacing w:line="360" w:lineRule="auto"/>
        <w:jc w:val="both"/>
        <w:rPr>
          <w:rFonts w:ascii="Arial Narrow" w:hAnsi="Arial Narrow"/>
        </w:rPr>
      </w:pPr>
    </w:p>
    <w:p w:rsidR="002606CF" w:rsidRPr="004212F8" w:rsidRDefault="002606CF" w:rsidP="0015248F">
      <w:pPr>
        <w:pStyle w:val="ColorfulList-Accent1"/>
        <w:numPr>
          <w:ilvl w:val="0"/>
          <w:numId w:val="3"/>
        </w:numPr>
        <w:spacing w:after="0" w:line="360" w:lineRule="auto"/>
        <w:jc w:val="both"/>
        <w:rPr>
          <w:rFonts w:ascii="Arial Narrow" w:hAnsi="Arial Narrow"/>
          <w:b/>
          <w:i/>
        </w:rPr>
      </w:pPr>
      <w:r w:rsidRPr="004212F8">
        <w:rPr>
          <w:rFonts w:ascii="Arial Narrow" w:hAnsi="Arial Narrow"/>
          <w:b/>
          <w:i/>
        </w:rPr>
        <w:t>The Mitigation Potential Analysis</w:t>
      </w:r>
    </w:p>
    <w:p w:rsidR="002606CF" w:rsidRPr="004212F8" w:rsidRDefault="002606CF" w:rsidP="001111A6">
      <w:pPr>
        <w:spacing w:line="360" w:lineRule="auto"/>
        <w:jc w:val="both"/>
        <w:rPr>
          <w:rFonts w:ascii="Arial Narrow" w:hAnsi="Arial Narrow"/>
        </w:rPr>
      </w:pPr>
      <w:r w:rsidRPr="004212F8">
        <w:rPr>
          <w:rFonts w:ascii="Arial Narrow" w:hAnsi="Arial Narrow"/>
        </w:rPr>
        <w:t xml:space="preserve">The Mitigation Potential Analysis (MPA) involves identifying and analysing mitigation options in key economic sectors. The MPA entails: </w:t>
      </w:r>
    </w:p>
    <w:p w:rsidR="002606CF" w:rsidRPr="004212F8" w:rsidRDefault="002606CF" w:rsidP="0015248F">
      <w:pPr>
        <w:pStyle w:val="ColorfulList-Accent1"/>
        <w:numPr>
          <w:ilvl w:val="0"/>
          <w:numId w:val="2"/>
        </w:numPr>
        <w:spacing w:after="0" w:line="360" w:lineRule="auto"/>
        <w:jc w:val="both"/>
        <w:rPr>
          <w:rFonts w:ascii="Arial Narrow" w:hAnsi="Arial Narrow"/>
        </w:rPr>
      </w:pPr>
      <w:r w:rsidRPr="004212F8">
        <w:rPr>
          <w:rFonts w:ascii="Arial Narrow" w:hAnsi="Arial Narrow"/>
        </w:rPr>
        <w:t xml:space="preserve">Setting baselines and projecting greenhouse gas emissions in to the future; </w:t>
      </w:r>
    </w:p>
    <w:p w:rsidR="002606CF" w:rsidRPr="004212F8" w:rsidRDefault="002606CF" w:rsidP="0015248F">
      <w:pPr>
        <w:pStyle w:val="ColorfulList-Accent1"/>
        <w:numPr>
          <w:ilvl w:val="0"/>
          <w:numId w:val="2"/>
        </w:numPr>
        <w:spacing w:after="0" w:line="360" w:lineRule="auto"/>
        <w:jc w:val="both"/>
        <w:rPr>
          <w:rFonts w:ascii="Arial Narrow" w:hAnsi="Arial Narrow"/>
        </w:rPr>
      </w:pPr>
      <w:r w:rsidRPr="004212F8">
        <w:rPr>
          <w:rFonts w:ascii="Arial Narrow" w:hAnsi="Arial Narrow"/>
        </w:rPr>
        <w:t xml:space="preserve">Conducting an in-depth assessment of the mitigation potential for key sectors and sub-sectors of the economy; </w:t>
      </w:r>
      <w:r w:rsidR="000414A8">
        <w:rPr>
          <w:rFonts w:ascii="Arial Narrow" w:hAnsi="Arial Narrow"/>
        </w:rPr>
        <w:t>and</w:t>
      </w:r>
    </w:p>
    <w:p w:rsidR="002606CF" w:rsidRPr="004212F8" w:rsidRDefault="002606CF" w:rsidP="0015248F">
      <w:pPr>
        <w:pStyle w:val="ColorfulList-Accent1"/>
        <w:numPr>
          <w:ilvl w:val="0"/>
          <w:numId w:val="2"/>
        </w:numPr>
        <w:spacing w:after="0" w:line="360" w:lineRule="auto"/>
        <w:jc w:val="both"/>
        <w:rPr>
          <w:rFonts w:ascii="Arial Narrow" w:hAnsi="Arial Narrow"/>
        </w:rPr>
      </w:pPr>
      <w:r w:rsidRPr="004212F8">
        <w:rPr>
          <w:rFonts w:ascii="Arial Narrow" w:hAnsi="Arial Narrow"/>
        </w:rPr>
        <w:t xml:space="preserve">Identifying best available mitigation options for key sectors and sub-sectors which is formed by amongst other: </w:t>
      </w:r>
    </w:p>
    <w:p w:rsidR="002606CF" w:rsidRDefault="002606CF" w:rsidP="001111A6">
      <w:pPr>
        <w:spacing w:line="360" w:lineRule="auto"/>
        <w:jc w:val="both"/>
        <w:rPr>
          <w:rFonts w:ascii="Arial Narrow" w:hAnsi="Arial Narrow"/>
        </w:rPr>
      </w:pPr>
      <w:r>
        <w:rPr>
          <w:rFonts w:ascii="Arial Narrow" w:hAnsi="Arial Narrow"/>
        </w:rPr>
        <w:t>National GHG e</w:t>
      </w:r>
      <w:r w:rsidRPr="004212F8">
        <w:rPr>
          <w:rFonts w:ascii="Arial Narrow" w:hAnsi="Arial Narrow"/>
        </w:rPr>
        <w:t>missions are projected based on the National Greenhouse Gas Inventory</w:t>
      </w:r>
      <w:r>
        <w:rPr>
          <w:rFonts w:ascii="Arial Narrow" w:hAnsi="Arial Narrow"/>
        </w:rPr>
        <w:t>, mentioned previously</w:t>
      </w:r>
      <w:r w:rsidRPr="004212F8">
        <w:rPr>
          <w:rFonts w:ascii="Arial Narrow" w:hAnsi="Arial Narrow"/>
        </w:rPr>
        <w:t>. Sector plans (policies and strategies) also form part of the inputs to the MPA. The Mitigation Potential Analysis will be periodically reviewed (every 5 years)</w:t>
      </w:r>
      <w:r>
        <w:rPr>
          <w:rFonts w:ascii="Arial Narrow" w:hAnsi="Arial Narrow"/>
        </w:rPr>
        <w:t xml:space="preserve">. </w:t>
      </w:r>
    </w:p>
    <w:p w:rsidR="000414A8" w:rsidRDefault="000414A8" w:rsidP="001111A6">
      <w:pPr>
        <w:spacing w:line="360" w:lineRule="auto"/>
        <w:jc w:val="both"/>
        <w:rPr>
          <w:rFonts w:ascii="Arial Narrow" w:hAnsi="Arial Narrow"/>
        </w:rPr>
      </w:pPr>
    </w:p>
    <w:p w:rsidR="002606CF" w:rsidRPr="00AE06F8" w:rsidRDefault="002606CF" w:rsidP="0015248F">
      <w:pPr>
        <w:pStyle w:val="ColorfulList-Accent1"/>
        <w:numPr>
          <w:ilvl w:val="0"/>
          <w:numId w:val="3"/>
        </w:numPr>
        <w:spacing w:after="0" w:line="360" w:lineRule="auto"/>
        <w:jc w:val="both"/>
        <w:rPr>
          <w:rFonts w:ascii="Arial Narrow" w:hAnsi="Arial Narrow"/>
          <w:b/>
          <w:i/>
        </w:rPr>
      </w:pPr>
      <w:r>
        <w:rPr>
          <w:rFonts w:ascii="Arial Narrow" w:hAnsi="Arial Narrow"/>
          <w:b/>
          <w:i/>
        </w:rPr>
        <w:t>Development and Implementation of Policies a</w:t>
      </w:r>
      <w:r w:rsidRPr="00AE06F8">
        <w:rPr>
          <w:rFonts w:ascii="Arial Narrow" w:hAnsi="Arial Narrow"/>
          <w:b/>
          <w:i/>
        </w:rPr>
        <w:t xml:space="preserve">nd Measures </w:t>
      </w:r>
    </w:p>
    <w:p w:rsidR="002606CF" w:rsidRDefault="002606CF" w:rsidP="001111A6">
      <w:pPr>
        <w:spacing w:line="360" w:lineRule="auto"/>
        <w:jc w:val="both"/>
        <w:rPr>
          <w:rFonts w:ascii="Arial Narrow" w:hAnsi="Arial Narrow"/>
        </w:rPr>
      </w:pPr>
      <w:r w:rsidRPr="00AE06F8">
        <w:rPr>
          <w:rFonts w:ascii="Arial Narrow" w:hAnsi="Arial Narrow"/>
        </w:rPr>
        <w:t>The work here involves quantification or estimation (ex-ante) of effect of policies and measures (PAMs) on emission reduction based on currently implemented adopted and planned PAMs. To fill the gap to meet South Africa’s emission reduction objectives, new PAMs are recommended. The role of sectoral departments is very critical in the development of PAMs. The PAMs are very important in the process of ac</w:t>
      </w:r>
      <w:r>
        <w:rPr>
          <w:rFonts w:ascii="Arial Narrow" w:hAnsi="Arial Narrow"/>
        </w:rPr>
        <w:t>hieving sectoral targets (</w:t>
      </w:r>
      <w:r w:rsidRPr="00AE06F8">
        <w:rPr>
          <w:rFonts w:ascii="Arial Narrow" w:hAnsi="Arial Narrow"/>
        </w:rPr>
        <w:t>SETs). The Carbon Tax is one of the policy instruments articulated through the NCCRP as one such policy intervention/ instrument to influence behavioural change on industry to internalize external costs associated with greenhouse gas emissions.</w:t>
      </w:r>
    </w:p>
    <w:p w:rsidR="000414A8" w:rsidRDefault="000414A8" w:rsidP="001111A6">
      <w:pPr>
        <w:spacing w:line="360" w:lineRule="auto"/>
        <w:jc w:val="both"/>
        <w:rPr>
          <w:rFonts w:ascii="Arial Narrow" w:hAnsi="Arial Narrow"/>
        </w:rPr>
      </w:pPr>
    </w:p>
    <w:p w:rsidR="002606CF" w:rsidRDefault="002606CF" w:rsidP="0015248F">
      <w:pPr>
        <w:pStyle w:val="ColorfulList-Accent1"/>
        <w:numPr>
          <w:ilvl w:val="0"/>
          <w:numId w:val="3"/>
        </w:numPr>
        <w:spacing w:after="0" w:line="360" w:lineRule="auto"/>
        <w:jc w:val="both"/>
        <w:rPr>
          <w:rFonts w:ascii="Arial Narrow" w:hAnsi="Arial Narrow"/>
          <w:b/>
          <w:i/>
        </w:rPr>
      </w:pPr>
      <w:r w:rsidRPr="0049306E">
        <w:rPr>
          <w:rFonts w:ascii="Arial Narrow" w:hAnsi="Arial Narrow"/>
          <w:b/>
          <w:i/>
        </w:rPr>
        <w:t xml:space="preserve">National Greenhouse Gas Inventory Reporting System </w:t>
      </w:r>
    </w:p>
    <w:p w:rsidR="002606CF" w:rsidRDefault="002606CF" w:rsidP="001111A6">
      <w:pPr>
        <w:spacing w:line="360" w:lineRule="auto"/>
        <w:jc w:val="both"/>
        <w:rPr>
          <w:rFonts w:ascii="Arial Narrow" w:hAnsi="Arial Narrow"/>
        </w:rPr>
      </w:pPr>
      <w:r w:rsidRPr="0049306E">
        <w:rPr>
          <w:rFonts w:ascii="Arial Narrow" w:hAnsi="Arial Narrow"/>
        </w:rPr>
        <w:t>As an international requirement, Decision 17/CP.8,3 of the UNFCCC states that non-Annex</w:t>
      </w:r>
      <w:r w:rsidR="000414A8">
        <w:rPr>
          <w:rFonts w:ascii="Arial Narrow" w:hAnsi="Arial Narrow"/>
        </w:rPr>
        <w:t>ure</w:t>
      </w:r>
      <w:r w:rsidRPr="0049306E">
        <w:rPr>
          <w:rFonts w:ascii="Arial Narrow" w:hAnsi="Arial Narrow"/>
        </w:rPr>
        <w:t xml:space="preserve"> I Parties (includes South Africa) shall, as appropriate and to the extent possible, provide in its national inventory, on gas-by-gas basis and its units mass, estimates of anthropogenic emissions of carbon dioxide (CO</w:t>
      </w:r>
      <w:r w:rsidRPr="004212F8">
        <w:rPr>
          <w:rFonts w:ascii="Arial Narrow" w:hAnsi="Arial Narrow"/>
          <w:vertAlign w:val="subscript"/>
        </w:rPr>
        <w:t>2</w:t>
      </w:r>
      <w:r w:rsidRPr="0049306E">
        <w:rPr>
          <w:rFonts w:ascii="Arial Narrow" w:hAnsi="Arial Narrow"/>
        </w:rPr>
        <w:t>), methane (CH</w:t>
      </w:r>
      <w:r w:rsidRPr="004212F8">
        <w:rPr>
          <w:rFonts w:ascii="Arial Narrow" w:hAnsi="Arial Narrow"/>
          <w:vertAlign w:val="subscript"/>
        </w:rPr>
        <w:t>4</w:t>
      </w:r>
      <w:r w:rsidRPr="0049306E">
        <w:rPr>
          <w:rFonts w:ascii="Arial Narrow" w:hAnsi="Arial Narrow"/>
        </w:rPr>
        <w:t>) and nitrous oxide (N</w:t>
      </w:r>
      <w:r w:rsidRPr="004212F8">
        <w:rPr>
          <w:rFonts w:ascii="Arial Narrow" w:hAnsi="Arial Narrow"/>
          <w:vertAlign w:val="subscript"/>
        </w:rPr>
        <w:t>2</w:t>
      </w:r>
      <w:r w:rsidRPr="0049306E">
        <w:rPr>
          <w:rFonts w:ascii="Arial Narrow" w:hAnsi="Arial Narrow"/>
        </w:rPr>
        <w:t>O) by sources and removals by sinks – in line with the IPCC Guidelines.</w:t>
      </w:r>
    </w:p>
    <w:p w:rsidR="000414A8" w:rsidRDefault="000414A8" w:rsidP="001111A6">
      <w:pPr>
        <w:spacing w:line="360" w:lineRule="auto"/>
        <w:jc w:val="both"/>
        <w:rPr>
          <w:rFonts w:ascii="Arial Narrow" w:hAnsi="Arial Narrow"/>
        </w:rPr>
      </w:pPr>
    </w:p>
    <w:p w:rsidR="002606CF" w:rsidRPr="0049306E" w:rsidRDefault="002606CF" w:rsidP="001111A6">
      <w:pPr>
        <w:spacing w:line="360" w:lineRule="auto"/>
        <w:jc w:val="both"/>
        <w:rPr>
          <w:rFonts w:ascii="Arial Narrow" w:hAnsi="Arial Narrow"/>
        </w:rPr>
      </w:pPr>
      <w:r w:rsidRPr="0049306E">
        <w:rPr>
          <w:rFonts w:ascii="Arial Narrow" w:hAnsi="Arial Narrow"/>
        </w:rPr>
        <w:t>Accurate GHG emissions inventories are essential for the following reasons:</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 xml:space="preserve">To fulfil the UNFCCC reporting requirements and also support the development of the national communications, Biennial Update Reports; </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Mitigation Potential Analysis</w:t>
      </w:r>
      <w:r w:rsidR="000414A8">
        <w:rPr>
          <w:rFonts w:ascii="Arial Narrow" w:hAnsi="Arial Narrow"/>
        </w:rPr>
        <w:t>;</w:t>
      </w:r>
      <w:r w:rsidRPr="0049306E">
        <w:rPr>
          <w:rFonts w:ascii="Arial Narrow" w:hAnsi="Arial Narrow"/>
        </w:rPr>
        <w:t xml:space="preserve"> </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 xml:space="preserve">To evaluate mitigation options and to provide for GHG emissions reductions; </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 xml:space="preserve">To assess the effectiveness of policies and mitigation measures; </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 xml:space="preserve">To develop long term emissions projections; </w:t>
      </w:r>
    </w:p>
    <w:p w:rsidR="002606CF" w:rsidRPr="0049306E"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 xml:space="preserve">To monitor and evaluate the performance of South Africa’s GHG emissions profile; </w:t>
      </w:r>
      <w:r w:rsidR="000414A8">
        <w:rPr>
          <w:rFonts w:ascii="Arial Narrow" w:hAnsi="Arial Narrow"/>
        </w:rPr>
        <w:t>and</w:t>
      </w:r>
    </w:p>
    <w:p w:rsidR="002606CF" w:rsidRDefault="002606CF" w:rsidP="0015248F">
      <w:pPr>
        <w:pStyle w:val="ColorfulList-Accent1"/>
        <w:numPr>
          <w:ilvl w:val="0"/>
          <w:numId w:val="2"/>
        </w:numPr>
        <w:spacing w:after="0" w:line="360" w:lineRule="auto"/>
        <w:jc w:val="both"/>
        <w:rPr>
          <w:rFonts w:ascii="Arial Narrow" w:hAnsi="Arial Narrow"/>
        </w:rPr>
      </w:pPr>
      <w:r w:rsidRPr="0049306E">
        <w:rPr>
          <w:rFonts w:ascii="Arial Narrow" w:hAnsi="Arial Narrow"/>
        </w:rPr>
        <w:t>Used as a basis for allocation of carbon budgets, DEROs/SETs, etc.</w:t>
      </w:r>
    </w:p>
    <w:p w:rsidR="00C90476" w:rsidRDefault="00C90476" w:rsidP="001111A6">
      <w:pPr>
        <w:pStyle w:val="ColorfulList-Accent1"/>
        <w:spacing w:after="0" w:line="360" w:lineRule="auto"/>
        <w:ind w:left="0"/>
        <w:jc w:val="both"/>
        <w:rPr>
          <w:rFonts w:ascii="Arial Narrow" w:hAnsi="Arial Narrow"/>
        </w:rPr>
      </w:pPr>
    </w:p>
    <w:p w:rsidR="002606CF" w:rsidRDefault="002606CF" w:rsidP="001111A6">
      <w:pPr>
        <w:pStyle w:val="ColorfulList-Accent1"/>
        <w:spacing w:after="0" w:line="360" w:lineRule="auto"/>
        <w:ind w:left="0"/>
        <w:jc w:val="both"/>
        <w:rPr>
          <w:rFonts w:ascii="Arial Narrow" w:hAnsi="Arial Narrow"/>
        </w:rPr>
      </w:pPr>
      <w:r>
        <w:rPr>
          <w:rFonts w:ascii="Arial Narrow" w:hAnsi="Arial Narrow"/>
        </w:rPr>
        <w:t>South Africa has already developed five national greenhouse gas inventories (</w:t>
      </w:r>
      <w:r w:rsidRPr="0049306E">
        <w:rPr>
          <w:rFonts w:ascii="Arial Narrow" w:hAnsi="Arial Narrow"/>
        </w:rPr>
        <w:t>1990, 1994, 2000, 2014, and 2017</w:t>
      </w:r>
      <w:r w:rsidR="000414A8">
        <w:rPr>
          <w:rFonts w:ascii="Arial Narrow" w:hAnsi="Arial Narrow"/>
        </w:rPr>
        <w:t xml:space="preserve">). </w:t>
      </w:r>
      <w:r>
        <w:rPr>
          <w:rFonts w:ascii="Arial Narrow" w:hAnsi="Arial Narrow"/>
        </w:rPr>
        <w:t xml:space="preserve">These have been published nationally and included in various international reports to the UNFCCC. </w:t>
      </w:r>
      <w:r w:rsidRPr="0049306E">
        <w:rPr>
          <w:rFonts w:ascii="Arial Narrow" w:hAnsi="Arial Narrow"/>
          <w:lang w:val="en-US"/>
        </w:rPr>
        <w:t>The 4</w:t>
      </w:r>
      <w:r w:rsidRPr="0049306E">
        <w:rPr>
          <w:rFonts w:ascii="Arial Narrow" w:hAnsi="Arial Narrow"/>
          <w:vertAlign w:val="superscript"/>
          <w:lang w:val="en-US"/>
        </w:rPr>
        <w:t>th</w:t>
      </w:r>
      <w:r>
        <w:rPr>
          <w:rFonts w:ascii="Arial Narrow" w:hAnsi="Arial Narrow"/>
          <w:lang w:val="en-US"/>
        </w:rPr>
        <w:t xml:space="preserve"> National Greenhouse </w:t>
      </w:r>
      <w:r w:rsidRPr="0049306E">
        <w:rPr>
          <w:rFonts w:ascii="Arial Narrow" w:hAnsi="Arial Narrow"/>
          <w:lang w:val="en-US"/>
        </w:rPr>
        <w:t>Gas Inventory was published in December 2014</w:t>
      </w:r>
      <w:r>
        <w:rPr>
          <w:rFonts w:ascii="Arial Narrow" w:hAnsi="Arial Narrow"/>
          <w:lang w:val="en-US"/>
        </w:rPr>
        <w:t xml:space="preserve">, covering the </w:t>
      </w:r>
      <w:r w:rsidRPr="0049306E">
        <w:rPr>
          <w:rFonts w:ascii="Arial Narrow" w:hAnsi="Arial Narrow"/>
          <w:lang w:val="en-US"/>
        </w:rPr>
        <w:t>2000-2010</w:t>
      </w:r>
      <w:r w:rsidR="00C90476">
        <w:rPr>
          <w:rFonts w:ascii="Arial Narrow" w:hAnsi="Arial Narrow"/>
          <w:lang w:val="en-US"/>
        </w:rPr>
        <w:t xml:space="preserve"> period. </w:t>
      </w:r>
      <w:r>
        <w:rPr>
          <w:rFonts w:ascii="Arial Narrow" w:hAnsi="Arial Narrow"/>
          <w:lang w:val="en-US"/>
        </w:rPr>
        <w:t>The Department of Environmen</w:t>
      </w:r>
      <w:r w:rsidR="00C90476">
        <w:rPr>
          <w:rFonts w:ascii="Arial Narrow" w:hAnsi="Arial Narrow"/>
          <w:lang w:val="en-US"/>
        </w:rPr>
        <w:t>tal Affairs has recently finalis</w:t>
      </w:r>
      <w:r>
        <w:rPr>
          <w:rFonts w:ascii="Arial Narrow" w:hAnsi="Arial Narrow"/>
          <w:lang w:val="en-US"/>
        </w:rPr>
        <w:t xml:space="preserve">ed the </w:t>
      </w:r>
      <w:r w:rsidRPr="0049306E">
        <w:rPr>
          <w:rFonts w:ascii="Arial Narrow" w:hAnsi="Arial Narrow"/>
          <w:lang w:val="en-US"/>
        </w:rPr>
        <w:t>5</w:t>
      </w:r>
      <w:r w:rsidRPr="0049306E">
        <w:rPr>
          <w:rFonts w:ascii="Arial Narrow" w:hAnsi="Arial Narrow"/>
          <w:vertAlign w:val="superscript"/>
          <w:lang w:val="en-US"/>
        </w:rPr>
        <w:t>th</w:t>
      </w:r>
      <w:r w:rsidRPr="0049306E">
        <w:rPr>
          <w:rFonts w:ascii="Arial Narrow" w:hAnsi="Arial Narrow"/>
          <w:lang w:val="en-US"/>
        </w:rPr>
        <w:t xml:space="preserve"> inventory, 20</w:t>
      </w:r>
      <w:r>
        <w:rPr>
          <w:rFonts w:ascii="Arial Narrow" w:hAnsi="Arial Narrow"/>
          <w:lang w:val="en-US"/>
        </w:rPr>
        <w:t>0</w:t>
      </w:r>
      <w:r w:rsidR="00C90476">
        <w:rPr>
          <w:rFonts w:ascii="Arial Narrow" w:hAnsi="Arial Narrow"/>
          <w:lang w:val="en-US"/>
        </w:rPr>
        <w:t xml:space="preserve">0-2012 National GHG inventory. </w:t>
      </w:r>
      <w:r w:rsidRPr="0049306E">
        <w:rPr>
          <w:rFonts w:ascii="Arial Narrow" w:hAnsi="Arial Narrow"/>
        </w:rPr>
        <w:t xml:space="preserve">South Africa’s greenhouse gas (GHG) Inventory will </w:t>
      </w:r>
      <w:r>
        <w:rPr>
          <w:rFonts w:ascii="Arial Narrow" w:hAnsi="Arial Narrow"/>
        </w:rPr>
        <w:t xml:space="preserve">now </w:t>
      </w:r>
      <w:r w:rsidRPr="0049306E">
        <w:rPr>
          <w:rFonts w:ascii="Arial Narrow" w:hAnsi="Arial Narrow"/>
        </w:rPr>
        <w:t xml:space="preserve">be compiled </w:t>
      </w:r>
      <w:r>
        <w:rPr>
          <w:rFonts w:ascii="Arial Narrow" w:hAnsi="Arial Narrow"/>
        </w:rPr>
        <w:t xml:space="preserve">and published on a biennial basis. </w:t>
      </w:r>
    </w:p>
    <w:p w:rsidR="002606CF" w:rsidRPr="0049306E" w:rsidRDefault="002606CF" w:rsidP="001111A6">
      <w:pPr>
        <w:spacing w:line="360" w:lineRule="auto"/>
        <w:jc w:val="both"/>
        <w:rPr>
          <w:rFonts w:ascii="Arial Narrow" w:hAnsi="Arial Narrow"/>
        </w:rPr>
      </w:pPr>
    </w:p>
    <w:p w:rsidR="002606CF" w:rsidRDefault="002606CF" w:rsidP="0015248F">
      <w:pPr>
        <w:pStyle w:val="ColorfulList-Accent1"/>
        <w:numPr>
          <w:ilvl w:val="0"/>
          <w:numId w:val="3"/>
        </w:numPr>
        <w:spacing w:after="0" w:line="360" w:lineRule="auto"/>
        <w:jc w:val="both"/>
        <w:rPr>
          <w:rFonts w:ascii="Arial Narrow" w:hAnsi="Arial Narrow"/>
          <w:b/>
          <w:i/>
        </w:rPr>
      </w:pPr>
      <w:r>
        <w:rPr>
          <w:rFonts w:ascii="Arial Narrow" w:hAnsi="Arial Narrow"/>
          <w:b/>
          <w:i/>
        </w:rPr>
        <w:t xml:space="preserve">Implementation of the </w:t>
      </w:r>
      <w:r w:rsidRPr="0049306E">
        <w:rPr>
          <w:rFonts w:ascii="Arial Narrow" w:hAnsi="Arial Narrow"/>
          <w:b/>
          <w:i/>
        </w:rPr>
        <w:t xml:space="preserve">National Greenhouse Gas Inventory Reporting Regulations </w:t>
      </w:r>
    </w:p>
    <w:p w:rsidR="002606CF" w:rsidRDefault="002606CF" w:rsidP="001111A6">
      <w:pPr>
        <w:spacing w:line="360" w:lineRule="auto"/>
        <w:jc w:val="both"/>
        <w:rPr>
          <w:rFonts w:ascii="Arial Narrow" w:hAnsi="Arial Narrow"/>
        </w:rPr>
      </w:pPr>
      <w:r w:rsidRPr="0081727F">
        <w:rPr>
          <w:rFonts w:ascii="Arial Narrow" w:hAnsi="Arial Narrow"/>
        </w:rPr>
        <w:t>The Minister has promulgated the National GHG Reporting Regulations to encourage the reporting of national GHG emissions annually. The main objective of these regulations is to introduce a single national reporting framework for the reporting and dissemination of information related to GHG emissions. Reporting of this GHG data will be done through the National Atmospheric Emissions Inventory System (NAEIS).</w:t>
      </w:r>
    </w:p>
    <w:p w:rsidR="00C90476" w:rsidRDefault="001111A6" w:rsidP="001111A6">
      <w:pPr>
        <w:spacing w:line="360" w:lineRule="auto"/>
        <w:jc w:val="both"/>
        <w:rPr>
          <w:rFonts w:ascii="Arial Narrow" w:hAnsi="Arial Narrow"/>
        </w:rPr>
      </w:pPr>
      <w:r>
        <w:rPr>
          <w:rFonts w:ascii="Arial Narrow" w:hAnsi="Arial Narrow"/>
        </w:rPr>
        <w:br w:type="page"/>
      </w:r>
    </w:p>
    <w:p w:rsidR="002606CF" w:rsidRDefault="002606CF" w:rsidP="0015248F">
      <w:pPr>
        <w:pStyle w:val="ColorfulList-Accent1"/>
        <w:numPr>
          <w:ilvl w:val="0"/>
          <w:numId w:val="3"/>
        </w:numPr>
        <w:spacing w:after="0" w:line="360" w:lineRule="auto"/>
        <w:jc w:val="both"/>
        <w:rPr>
          <w:rFonts w:ascii="Arial Narrow" w:hAnsi="Arial Narrow"/>
          <w:b/>
          <w:i/>
        </w:rPr>
      </w:pPr>
      <w:r w:rsidRPr="00671BD8">
        <w:rPr>
          <w:rFonts w:ascii="Arial Narrow" w:hAnsi="Arial Narrow"/>
          <w:b/>
          <w:i/>
        </w:rPr>
        <w:t xml:space="preserve">Implementation of the Climate Change Near-term Priority Flagship Programmes </w:t>
      </w:r>
    </w:p>
    <w:p w:rsidR="002606CF" w:rsidRDefault="002606CF" w:rsidP="001111A6">
      <w:pPr>
        <w:spacing w:line="360" w:lineRule="auto"/>
        <w:jc w:val="both"/>
        <w:rPr>
          <w:rFonts w:ascii="Arial Narrow" w:hAnsi="Arial Narrow"/>
        </w:rPr>
      </w:pPr>
      <w:r w:rsidRPr="00C33147">
        <w:rPr>
          <w:rFonts w:ascii="Arial Narrow" w:hAnsi="Arial Narrow"/>
        </w:rPr>
        <w:t>The Climate Change Flagship Programmes are strategic measures implemented by the South African Government intended to serve as a rallying point to trigger a large-scale transition to a lower carbon economy and a more climate resilient South Africa. They are government led programmes and they provide the certainty needed to stimulate the investment required for these transitions. The Programmes place government at the forefront of increasing the use, visibility and recognition of climate change response technologies and services, facil</w:t>
      </w:r>
      <w:r w:rsidR="00C90476">
        <w:rPr>
          <w:rFonts w:ascii="Arial Narrow" w:hAnsi="Arial Narrow"/>
        </w:rPr>
        <w:t xml:space="preserve">itating their rapid diffusion. </w:t>
      </w:r>
      <w:r w:rsidRPr="002139EE">
        <w:rPr>
          <w:rFonts w:ascii="Arial Narrow" w:hAnsi="Arial Narrow"/>
        </w:rPr>
        <w:t>South Africa’s implementation capability has grown tremendously, characterised by more effective systems and processes, and a more capable workforce that is better able to achieve strong, well-coordinated progress in responding to climate change</w:t>
      </w:r>
      <w:r>
        <w:rPr>
          <w:rFonts w:ascii="Arial Narrow" w:hAnsi="Arial Narrow"/>
        </w:rPr>
        <w:t xml:space="preserve">.  </w:t>
      </w:r>
      <w:r w:rsidRPr="002139EE">
        <w:rPr>
          <w:rFonts w:ascii="Arial Narrow" w:hAnsi="Arial Narrow"/>
        </w:rPr>
        <w:t xml:space="preserve">The </w:t>
      </w:r>
      <w:r>
        <w:rPr>
          <w:rFonts w:ascii="Arial Narrow" w:hAnsi="Arial Narrow"/>
        </w:rPr>
        <w:t>Department of Environmental Affairs</w:t>
      </w:r>
      <w:r w:rsidRPr="002139EE">
        <w:rPr>
          <w:rFonts w:ascii="Arial Narrow" w:hAnsi="Arial Narrow"/>
        </w:rPr>
        <w:t>, other national government departments and key implementation partners intensified their efforts towards the development, implementation and scaling-up of climate action in their respective sectors</w:t>
      </w:r>
      <w:r>
        <w:rPr>
          <w:rFonts w:ascii="Arial Narrow" w:hAnsi="Arial Narrow"/>
        </w:rPr>
        <w:t xml:space="preserve">.  </w:t>
      </w:r>
      <w:r w:rsidRPr="002139EE">
        <w:rPr>
          <w:rFonts w:ascii="Arial Narrow" w:hAnsi="Arial Narrow"/>
        </w:rPr>
        <w:t>In partnership with the relevant lead departments and implementers, the Department of Environmental Affairs is currently working on the development and implementation of the two new Flagship Programmes and the expansion of several</w:t>
      </w:r>
      <w:r w:rsidR="00C90476">
        <w:rPr>
          <w:rFonts w:ascii="Arial Narrow" w:hAnsi="Arial Narrow"/>
        </w:rPr>
        <w:t xml:space="preserve"> existing flagship programmes.</w:t>
      </w:r>
    </w:p>
    <w:p w:rsidR="00C90476" w:rsidRDefault="00C90476" w:rsidP="001111A6">
      <w:pPr>
        <w:spacing w:line="360" w:lineRule="auto"/>
        <w:jc w:val="both"/>
        <w:rPr>
          <w:rFonts w:ascii="Arial Narrow" w:hAnsi="Arial Narrow"/>
        </w:rPr>
      </w:pPr>
    </w:p>
    <w:p w:rsidR="002606CF" w:rsidRDefault="002606CF" w:rsidP="001111A6">
      <w:pPr>
        <w:spacing w:line="360" w:lineRule="auto"/>
        <w:jc w:val="both"/>
        <w:rPr>
          <w:rFonts w:ascii="Arial Narrow" w:hAnsi="Arial Narrow"/>
        </w:rPr>
      </w:pPr>
      <w:r w:rsidRPr="002139EE">
        <w:rPr>
          <w:rFonts w:ascii="Arial Narrow" w:hAnsi="Arial Narrow"/>
        </w:rPr>
        <w:t>The second phase of the Climate Change Flagship Programmes, which began in 2012, has focused on (i) deepening the impact of existing programmes; (ii) expanding the initial set of Flagship Programme activities to incorporate increasingly ambitious and innovative elements; and (iii) introducing new Flagship Programmes to anchor climate action leadership and reflect the importance of both adaptation and mitigation action as part of a holistic national climate change response</w:t>
      </w:r>
      <w:r>
        <w:rPr>
          <w:rFonts w:ascii="Arial Narrow" w:hAnsi="Arial Narrow"/>
        </w:rPr>
        <w:t>.</w:t>
      </w:r>
    </w:p>
    <w:p w:rsidR="002606CF" w:rsidRDefault="002606CF" w:rsidP="001111A6">
      <w:pPr>
        <w:spacing w:line="360" w:lineRule="auto"/>
        <w:rPr>
          <w:rFonts w:ascii="Arial Narrow" w:hAnsi="Arial Narrow"/>
        </w:rPr>
      </w:pPr>
    </w:p>
    <w:p w:rsidR="002606CF" w:rsidRDefault="002606CF" w:rsidP="001111A6">
      <w:pPr>
        <w:spacing w:line="360" w:lineRule="auto"/>
        <w:rPr>
          <w:rFonts w:ascii="Arial Narrow" w:hAnsi="Arial Narrow"/>
        </w:rPr>
      </w:pPr>
      <w:fldSimple w:instr=" REF _Ref481606814 \h  \* MERGEFORMAT ">
        <w:r w:rsidR="00A70130" w:rsidRPr="00A70130">
          <w:rPr>
            <w:rFonts w:ascii="Arial Narrow" w:hAnsi="Arial Narrow"/>
            <w:b/>
          </w:rPr>
          <w:t xml:space="preserve">Figure </w:t>
        </w:r>
        <w:r w:rsidR="00A70130" w:rsidRPr="00A70130">
          <w:rPr>
            <w:rFonts w:ascii="Arial Narrow" w:hAnsi="Arial Narrow"/>
            <w:b/>
            <w:noProof/>
          </w:rPr>
          <w:t>1</w:t>
        </w:r>
      </w:fldSimple>
      <w:r w:rsidRPr="00E9667A">
        <w:rPr>
          <w:rFonts w:ascii="Arial Narrow" w:hAnsi="Arial Narrow"/>
        </w:rPr>
        <w:t xml:space="preserve"> shows the updated list of South Africa’s Climate Change Flagship Programmes and investment priority areas.  The shaded</w:t>
      </w:r>
      <w:r>
        <w:rPr>
          <w:rFonts w:ascii="Arial Narrow" w:hAnsi="Arial Narrow"/>
        </w:rPr>
        <w:t xml:space="preserve"> boxes</w:t>
      </w:r>
      <w:r w:rsidRPr="00E9667A">
        <w:rPr>
          <w:rFonts w:ascii="Arial Narrow" w:hAnsi="Arial Narrow"/>
        </w:rPr>
        <w:t xml:space="preserve"> indicate new </w:t>
      </w:r>
      <w:r>
        <w:rPr>
          <w:rFonts w:ascii="Arial Narrow" w:hAnsi="Arial Narrow"/>
        </w:rPr>
        <w:t xml:space="preserve">Climate Change </w:t>
      </w:r>
      <w:r w:rsidRPr="00E9667A">
        <w:rPr>
          <w:rFonts w:ascii="Arial Narrow" w:hAnsi="Arial Narrow"/>
        </w:rPr>
        <w:t xml:space="preserve">Flagship Programmes included in the 2016 priority work packages. </w:t>
      </w:r>
    </w:p>
    <w:p w:rsidR="002606CF" w:rsidRPr="00E9667A" w:rsidRDefault="002606CF" w:rsidP="001111A6">
      <w:pPr>
        <w:spacing w:line="360" w:lineRule="auto"/>
        <w:rPr>
          <w:rFonts w:ascii="Arial Narrow" w:hAnsi="Arial Narrow"/>
        </w:rPr>
      </w:pPr>
    </w:p>
    <w:p w:rsidR="002606CF" w:rsidRDefault="002606CF" w:rsidP="001111A6">
      <w:pPr>
        <w:spacing w:line="360" w:lineRule="auto"/>
      </w:pPr>
    </w:p>
    <w:p w:rsidR="002606CF" w:rsidRDefault="002606CF" w:rsidP="001111A6">
      <w:pPr>
        <w:sectPr w:rsidR="002606CF" w:rsidSect="00B9758F">
          <w:pgSz w:w="11907" w:h="16839" w:code="9"/>
          <w:pgMar w:top="1440" w:right="1440" w:bottom="1440" w:left="1440" w:header="708" w:footer="708" w:gutter="0"/>
          <w:cols w:space="708"/>
          <w:docGrid w:linePitch="360"/>
        </w:sectPr>
      </w:pPr>
    </w:p>
    <w:p w:rsidR="002606CF" w:rsidRPr="001F3C1D" w:rsidRDefault="001111A6" w:rsidP="001111A6">
      <w:r>
        <w:rPr>
          <w:noProof/>
        </w:rPr>
        <w:pict>
          <v:rect id="Rectangle 5" o:spid="_x0000_s1027" style="position:absolute;margin-left:241.5pt;margin-top:-34.8pt;width:99.85pt;height:47.4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" filled="f" stroked="f" strokeweight="1pt">
            <v:textbox style="mso-next-textbox:#Rectangle 5">
              <w:txbxContent>
                <w:p w:rsidR="002606CF" w:rsidRPr="002E593C" w:rsidRDefault="002606CF" w:rsidP="002606CF">
                  <w:pPr>
                    <w:jc w:val="center"/>
                    <w:rPr>
                      <w:b/>
                      <w:u w:val="single"/>
                      <w:lang w:val="en-US"/>
                    </w:rPr>
                  </w:pPr>
                  <w:r w:rsidRPr="002606CF">
                    <w:rPr>
                      <w:rFonts w:ascii="Arial Narrow" w:hAnsi="Arial Narrow"/>
                      <w:b/>
                      <w:color w:val="000000"/>
                      <w:u w:val="single"/>
                      <w:lang w:val="en-US"/>
                    </w:rPr>
                    <w:t>CORRESPONDING CLIMATE CHANGE FLAGSHIP PROGRAMME</w:t>
                  </w:r>
                </w:p>
              </w:txbxContent>
            </v:textbox>
          </v:rect>
        </w:pict>
      </w:r>
      <w:r>
        <w:rPr>
          <w:noProof/>
        </w:rPr>
        <w:pict>
          <v:rect id="Rectangle 3" o:spid="_x0000_s1026" style="position:absolute;margin-left:55.55pt;margin-top:-32.05pt;width:99.85pt;height:55.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" filled="f" stroked="f" strokeweight="1pt">
            <v:textbox style="mso-next-textbox:#Rectangle 3">
              <w:txbxContent>
                <w:p w:rsidR="002606CF" w:rsidRPr="002606CF" w:rsidRDefault="002606CF" w:rsidP="002606CF">
                  <w:pPr>
                    <w:jc w:val="center"/>
                    <w:rPr>
                      <w:rFonts w:ascii="Arial Narrow" w:hAnsi="Arial Narrow"/>
                      <w:b/>
                      <w:color w:val="000000"/>
                      <w:u w:val="single"/>
                      <w:lang w:val="en-US"/>
                    </w:rPr>
                  </w:pPr>
                  <w:r w:rsidRPr="002606CF">
                    <w:rPr>
                      <w:rFonts w:ascii="Arial Narrow" w:hAnsi="Arial Narrow"/>
                      <w:b/>
                      <w:color w:val="000000"/>
                      <w:u w:val="single"/>
                      <w:lang w:val="en-US"/>
                    </w:rPr>
                    <w:t>CLIMATE CHANGE PRIORITY INVESTMENT AREAS</w:t>
                  </w:r>
                </w:p>
              </w:txbxContent>
            </v:textbox>
          </v:rect>
        </w:pict>
      </w:r>
    </w:p>
    <w:p w:rsidR="002606CF" w:rsidRPr="001F3C1D" w:rsidRDefault="002606CF" w:rsidP="001111A6"/>
    <w:p w:rsidR="002606CF" w:rsidRDefault="00335EFC" w:rsidP="001111A6">
      <w:pPr>
        <w:rPr>
          <w:b/>
        </w:rPr>
      </w:pPr>
      <w:r>
        <w:rPr>
          <w:rFonts w:ascii="Arial Narrow" w:hAnsi="Arial Narrow" w:cs="Arial"/>
          <w:noProof/>
          <w:color w:val="000000"/>
          <w:lang w:eastAsia="en-ZA"/>
        </w:rPr>
        <w:drawing>
          <wp:inline distT="0" distB="0" distL="0" distR="0">
            <wp:extent cx="5509895" cy="6558280"/>
            <wp:effectExtent l="19050" t="0" r="0" b="0"/>
            <wp:docPr id="2"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0" cstate="print"/>
                    <a:srcRect t="-1605" b="-1605"/>
                    <a:stretch>
                      <a:fillRect/>
                    </a:stretch>
                  </pic:blipFill>
                  <pic:spPr bwMode="auto">
                    <a:xfrm>
                      <a:off x="0" y="0"/>
                      <a:ext cx="5509895" cy="6558280"/>
                    </a:xfrm>
                    <a:prstGeom prst="rect">
                      <a:avLst/>
                    </a:prstGeom>
                    <a:noFill/>
                    <a:ln w="9525">
                      <a:noFill/>
                      <a:miter lim="800000"/>
                      <a:headEnd/>
                      <a:tailEnd/>
                    </a:ln>
                  </pic:spPr>
                </pic:pic>
              </a:graphicData>
            </a:graphic>
          </wp:inline>
        </w:drawing>
      </w:r>
    </w:p>
    <w:p w:rsidR="002606CF" w:rsidRPr="00903C02" w:rsidRDefault="002606CF" w:rsidP="001111A6">
      <w:pPr>
        <w:spacing w:line="360" w:lineRule="auto"/>
        <w:rPr>
          <w:b/>
          <w:sz w:val="20"/>
          <w:szCs w:val="20"/>
        </w:rPr>
      </w:pPr>
      <w:bookmarkStart w:id="0" w:name="_Ref481606814"/>
      <w:r w:rsidRPr="00E9667A">
        <w:rPr>
          <w:rFonts w:ascii="Arial Narrow" w:hAnsi="Arial Narrow"/>
          <w:b/>
          <w:sz w:val="20"/>
          <w:szCs w:val="20"/>
        </w:rPr>
        <w:t xml:space="preserve">Figure </w:t>
      </w:r>
      <w:r w:rsidRPr="00E9667A">
        <w:rPr>
          <w:rFonts w:ascii="Arial Narrow" w:hAnsi="Arial Narrow"/>
          <w:b/>
          <w:sz w:val="20"/>
          <w:szCs w:val="20"/>
        </w:rPr>
        <w:fldChar w:fldCharType="begin"/>
      </w:r>
      <w:r w:rsidRPr="00E9667A">
        <w:rPr>
          <w:rFonts w:ascii="Arial Narrow" w:hAnsi="Arial Narrow"/>
          <w:b/>
          <w:sz w:val="20"/>
          <w:szCs w:val="20"/>
        </w:rPr>
        <w:instrText xml:space="preserve"> SEQ Figure \* ARABIC </w:instrText>
      </w:r>
      <w:r w:rsidRPr="00E9667A">
        <w:rPr>
          <w:rFonts w:ascii="Arial Narrow" w:hAnsi="Arial Narrow"/>
          <w:b/>
          <w:sz w:val="20"/>
          <w:szCs w:val="20"/>
        </w:rPr>
        <w:fldChar w:fldCharType="separate"/>
      </w:r>
      <w:r w:rsidR="00A70130">
        <w:rPr>
          <w:rFonts w:ascii="Arial Narrow" w:hAnsi="Arial Narrow"/>
          <w:b/>
          <w:noProof/>
          <w:sz w:val="20"/>
          <w:szCs w:val="20"/>
        </w:rPr>
        <w:t>1</w:t>
      </w:r>
      <w:r w:rsidRPr="00E9667A">
        <w:rPr>
          <w:rFonts w:ascii="Arial Narrow" w:hAnsi="Arial Narrow"/>
          <w:b/>
          <w:sz w:val="20"/>
          <w:szCs w:val="20"/>
        </w:rPr>
        <w:fldChar w:fldCharType="end"/>
      </w:r>
      <w:bookmarkEnd w:id="0"/>
      <w:r w:rsidRPr="00E9667A">
        <w:rPr>
          <w:rFonts w:ascii="Arial Narrow" w:hAnsi="Arial Narrow"/>
          <w:b/>
          <w:noProof/>
          <w:sz w:val="20"/>
          <w:szCs w:val="20"/>
        </w:rPr>
        <w:t>:</w:t>
      </w:r>
      <w:r w:rsidRPr="00E9667A">
        <w:rPr>
          <w:rFonts w:ascii="Arial Narrow" w:hAnsi="Arial Narrow"/>
          <w:b/>
          <w:sz w:val="20"/>
          <w:szCs w:val="20"/>
        </w:rPr>
        <w:t xml:space="preserve"> South Africa’s Climate Change Priority Investment Areas and Corresponding Expanded Climate Change Flagship Programmes (2016</w:t>
      </w:r>
      <w:r w:rsidRPr="00903C02">
        <w:rPr>
          <w:b/>
          <w:sz w:val="20"/>
          <w:szCs w:val="20"/>
        </w:rPr>
        <w:t>)</w:t>
      </w:r>
    </w:p>
    <w:p w:rsidR="001111A6" w:rsidRDefault="002606CF" w:rsidP="001111A6">
      <w:pPr>
        <w:spacing w:line="360" w:lineRule="auto"/>
        <w:rPr>
          <w:rFonts w:ascii="Arial Narrow" w:hAnsi="Arial Narrow"/>
        </w:rPr>
      </w:pPr>
      <w:r w:rsidRPr="00685954">
        <w:rPr>
          <w:rFonts w:ascii="Arial Narrow" w:hAnsi="Arial Narrow"/>
        </w:rPr>
        <w:t xml:space="preserve">The 2016 priority work packages included pre-existing Climate Change Flagship Programmes (first described in 2011), as well as new Flagship Programmes established since the publication of the NCCRP. </w:t>
      </w:r>
    </w:p>
    <w:p w:rsidR="002606CF" w:rsidRDefault="001111A6" w:rsidP="001111A6">
      <w:pPr>
        <w:spacing w:line="360" w:lineRule="auto"/>
        <w:rPr>
          <w:rFonts w:ascii="Arial Narrow" w:hAnsi="Arial Narrow"/>
        </w:rPr>
      </w:pPr>
      <w:r>
        <w:rPr>
          <w:rFonts w:ascii="Arial Narrow" w:hAnsi="Arial Narrow"/>
        </w:rPr>
        <w:br w:type="page"/>
      </w:r>
    </w:p>
    <w:p w:rsidR="002606CF" w:rsidRDefault="002606CF" w:rsidP="001111A6">
      <w:pPr>
        <w:spacing w:line="360" w:lineRule="auto"/>
        <w:rPr>
          <w:rFonts w:ascii="Arial Narrow" w:hAnsi="Arial Narrow"/>
          <w:sz w:val="22"/>
        </w:rPr>
      </w:pPr>
      <w:fldSimple w:instr=" REF _Ref474925613 \h  \* MERGEFORMAT ">
        <w:r w:rsidR="00A70130" w:rsidRPr="00A70130">
          <w:rPr>
            <w:rFonts w:ascii="Arial Narrow" w:hAnsi="Arial Narrow"/>
            <w:b/>
          </w:rPr>
          <w:t xml:space="preserve"> Table</w:t>
        </w:r>
        <w:r w:rsidR="00A70130" w:rsidRPr="00A70130">
          <w:rPr>
            <w:rFonts w:ascii="Arial Narrow" w:hAnsi="Arial Narrow"/>
            <w:b/>
            <w:noProof/>
          </w:rPr>
          <w:t xml:space="preserve"> </w:t>
        </w:r>
        <w:r w:rsidR="00A70130">
          <w:rPr>
            <w:rFonts w:ascii="Arial Narrow" w:hAnsi="Arial Narrow"/>
            <w:noProof/>
            <w:sz w:val="22"/>
          </w:rPr>
          <w:t>1</w:t>
        </w:r>
      </w:fldSimple>
      <w:r w:rsidRPr="00685954">
        <w:rPr>
          <w:rFonts w:ascii="Arial Narrow" w:hAnsi="Arial Narrow"/>
        </w:rPr>
        <w:t xml:space="preserve"> provides a summar</w:t>
      </w:r>
      <w:r>
        <w:rPr>
          <w:rFonts w:ascii="Arial Narrow" w:hAnsi="Arial Narrow"/>
        </w:rPr>
        <w:t>ised description of the current Climate Change Flagship Programmes focus areas.</w:t>
      </w:r>
      <w:bookmarkStart w:id="1" w:name="_Ref474925613"/>
      <w:bookmarkStart w:id="2" w:name="_Toc475630938"/>
      <w:r w:rsidR="001111A6">
        <w:rPr>
          <w:rFonts w:ascii="Arial Narrow" w:hAnsi="Arial Narrow"/>
        </w:rPr>
        <w:t xml:space="preserve"> </w:t>
      </w:r>
      <w:r w:rsidRPr="00E9667A">
        <w:rPr>
          <w:rFonts w:ascii="Arial Narrow" w:hAnsi="Arial Narrow"/>
          <w:sz w:val="22"/>
        </w:rPr>
        <w:t xml:space="preserve">Table </w:t>
      </w:r>
      <w:r w:rsidRPr="00E9667A">
        <w:rPr>
          <w:rFonts w:ascii="Arial Narrow" w:hAnsi="Arial Narrow"/>
          <w:sz w:val="22"/>
        </w:rPr>
        <w:fldChar w:fldCharType="begin"/>
      </w:r>
      <w:r w:rsidRPr="00E9667A">
        <w:rPr>
          <w:rFonts w:ascii="Arial Narrow" w:hAnsi="Arial Narrow"/>
          <w:sz w:val="22"/>
        </w:rPr>
        <w:instrText xml:space="preserve"> SEQ Table \* ARABIC </w:instrText>
      </w:r>
      <w:r w:rsidRPr="00E9667A">
        <w:rPr>
          <w:rFonts w:ascii="Arial Narrow" w:hAnsi="Arial Narrow"/>
          <w:sz w:val="22"/>
        </w:rPr>
        <w:fldChar w:fldCharType="separate"/>
      </w:r>
      <w:r w:rsidR="00A70130">
        <w:rPr>
          <w:rFonts w:ascii="Arial Narrow" w:hAnsi="Arial Narrow"/>
          <w:noProof/>
          <w:sz w:val="22"/>
        </w:rPr>
        <w:t>1</w:t>
      </w:r>
      <w:r w:rsidRPr="00E9667A">
        <w:rPr>
          <w:rFonts w:ascii="Arial Narrow" w:hAnsi="Arial Narrow"/>
          <w:sz w:val="22"/>
        </w:rPr>
        <w:fldChar w:fldCharType="end"/>
      </w:r>
      <w:bookmarkEnd w:id="1"/>
      <w:r>
        <w:rPr>
          <w:rFonts w:ascii="Arial Narrow" w:hAnsi="Arial Narrow"/>
          <w:sz w:val="22"/>
        </w:rPr>
        <w:t xml:space="preserve"> Current </w:t>
      </w:r>
      <w:r w:rsidRPr="00E9667A">
        <w:rPr>
          <w:rFonts w:ascii="Arial Narrow" w:hAnsi="Arial Narrow"/>
          <w:sz w:val="22"/>
        </w:rPr>
        <w:t xml:space="preserve">focus areas of the Climate Change Flagship Programmes </w:t>
      </w:r>
      <w:bookmarkEnd w:id="2"/>
    </w:p>
    <w:p w:rsidR="001111A6" w:rsidRPr="00E9667A" w:rsidRDefault="001111A6" w:rsidP="001111A6">
      <w:pPr>
        <w:spacing w:line="360" w:lineRule="auto"/>
        <w:rPr>
          <w:rFonts w:ascii="Arial Narrow" w:hAnsi="Arial Narrow"/>
          <w:sz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2411"/>
        <w:gridCol w:w="1570"/>
        <w:gridCol w:w="3739"/>
      </w:tblGrid>
      <w:tr w:rsidR="002606CF" w:rsidRPr="00E9667A" w:rsidTr="00B9758F">
        <w:trPr>
          <w:trHeight w:val="567"/>
        </w:trPr>
        <w:tc>
          <w:tcPr>
            <w:tcW w:w="2129" w:type="pct"/>
            <w:gridSpan w:val="2"/>
            <w:shd w:val="clear" w:color="auto" w:fill="auto"/>
          </w:tcPr>
          <w:p w:rsidR="002606CF" w:rsidRPr="00B9758F" w:rsidRDefault="002606CF" w:rsidP="001111A6">
            <w:pPr>
              <w:pStyle w:val="DEANormal"/>
              <w:spacing w:before="0" w:after="0"/>
              <w:jc w:val="center"/>
              <w:rPr>
                <w:rFonts w:eastAsia="Calibri" w:cs="Arial"/>
                <w:bCs/>
                <w:sz w:val="20"/>
                <w:szCs w:val="22"/>
              </w:rPr>
            </w:pPr>
            <w:r w:rsidRPr="00B9758F">
              <w:rPr>
                <w:rFonts w:eastAsia="Calibri" w:cs="Arial"/>
                <w:sz w:val="20"/>
                <w:szCs w:val="22"/>
              </w:rPr>
              <w:t xml:space="preserve">Climate Change Flagship Programmes </w:t>
            </w:r>
            <w:r w:rsidRPr="00B9758F">
              <w:rPr>
                <w:rFonts w:eastAsia="Calibri"/>
                <w:sz w:val="20"/>
                <w:szCs w:val="22"/>
              </w:rPr>
              <w:t>2016 Priority Work Package</w:t>
            </w:r>
          </w:p>
        </w:tc>
        <w:tc>
          <w:tcPr>
            <w:tcW w:w="849" w:type="pct"/>
            <w:vMerge w:val="restart"/>
            <w:shd w:val="clear" w:color="auto" w:fill="auto"/>
          </w:tcPr>
          <w:p w:rsidR="002606CF" w:rsidRPr="00B9758F" w:rsidRDefault="002606CF" w:rsidP="001111A6">
            <w:pPr>
              <w:pStyle w:val="DEANormal"/>
              <w:spacing w:before="0" w:after="0"/>
              <w:jc w:val="center"/>
              <w:rPr>
                <w:rFonts w:eastAsia="Calibri" w:cs="Arial"/>
                <w:sz w:val="20"/>
                <w:szCs w:val="22"/>
              </w:rPr>
            </w:pPr>
            <w:r w:rsidRPr="00B9758F">
              <w:rPr>
                <w:rFonts w:eastAsia="Calibri" w:cs="Arial"/>
                <w:sz w:val="20"/>
                <w:szCs w:val="22"/>
              </w:rPr>
              <w:t xml:space="preserve">Climate Change Flagship Programmes </w:t>
            </w:r>
          </w:p>
        </w:tc>
        <w:tc>
          <w:tcPr>
            <w:tcW w:w="2022" w:type="pct"/>
            <w:vMerge w:val="restart"/>
            <w:shd w:val="clear" w:color="auto" w:fill="auto"/>
          </w:tcPr>
          <w:p w:rsidR="002606CF" w:rsidRPr="00B9758F" w:rsidRDefault="002606CF" w:rsidP="001111A6">
            <w:pPr>
              <w:pStyle w:val="DEANormal"/>
              <w:spacing w:before="0" w:after="0"/>
              <w:jc w:val="center"/>
              <w:rPr>
                <w:rFonts w:eastAsia="Calibri" w:cs="Arial"/>
                <w:sz w:val="20"/>
                <w:szCs w:val="22"/>
              </w:rPr>
            </w:pPr>
            <w:r w:rsidRPr="00B9758F">
              <w:rPr>
                <w:rFonts w:eastAsia="Calibri" w:cs="Arial"/>
                <w:color w:val="000000"/>
                <w:sz w:val="20"/>
                <w:szCs w:val="22"/>
              </w:rPr>
              <w:t>Envisaged Climate Change Outcome</w:t>
            </w:r>
          </w:p>
        </w:tc>
      </w:tr>
      <w:tr w:rsidR="002606CF" w:rsidRPr="00E9667A" w:rsidTr="00B9758F">
        <w:trPr>
          <w:trHeight w:val="568"/>
        </w:trPr>
        <w:tc>
          <w:tcPr>
            <w:tcW w:w="825" w:type="pct"/>
            <w:shd w:val="clear" w:color="auto" w:fill="auto"/>
          </w:tcPr>
          <w:p w:rsidR="002606CF" w:rsidRPr="00B9758F" w:rsidRDefault="002606CF" w:rsidP="001111A6">
            <w:pPr>
              <w:contextualSpacing/>
              <w:jc w:val="center"/>
              <w:rPr>
                <w:rFonts w:ascii="Arial Narrow" w:eastAsia="Calibri" w:hAnsi="Arial Narrow"/>
                <w:sz w:val="20"/>
                <w:szCs w:val="22"/>
              </w:rPr>
            </w:pPr>
            <w:r w:rsidRPr="00B9758F">
              <w:rPr>
                <w:rFonts w:ascii="Arial Narrow" w:eastAsia="Calibri" w:hAnsi="Arial Narrow"/>
                <w:sz w:val="20"/>
                <w:szCs w:val="22"/>
              </w:rPr>
              <w:t>Work Package</w:t>
            </w:r>
          </w:p>
        </w:tc>
        <w:tc>
          <w:tcPr>
            <w:tcW w:w="1304" w:type="pct"/>
            <w:shd w:val="clear" w:color="auto" w:fill="auto"/>
          </w:tcPr>
          <w:p w:rsidR="002606CF" w:rsidRPr="00B9758F" w:rsidRDefault="002606CF" w:rsidP="001111A6">
            <w:pPr>
              <w:contextualSpacing/>
              <w:jc w:val="center"/>
              <w:rPr>
                <w:rFonts w:ascii="Arial Narrow" w:eastAsia="Calibri" w:hAnsi="Arial Narrow"/>
                <w:b/>
                <w:sz w:val="20"/>
                <w:szCs w:val="22"/>
              </w:rPr>
            </w:pPr>
            <w:r w:rsidRPr="00B9758F">
              <w:rPr>
                <w:rFonts w:ascii="Arial Narrow" w:eastAsia="Calibri" w:hAnsi="Arial Narrow"/>
                <w:b/>
                <w:sz w:val="20"/>
                <w:szCs w:val="22"/>
              </w:rPr>
              <w:t>Core Focus</w:t>
            </w:r>
          </w:p>
        </w:tc>
        <w:tc>
          <w:tcPr>
            <w:tcW w:w="849" w:type="pct"/>
            <w:vMerge/>
            <w:shd w:val="clear" w:color="auto" w:fill="auto"/>
          </w:tcPr>
          <w:p w:rsidR="002606CF" w:rsidRPr="00B9758F" w:rsidRDefault="002606CF" w:rsidP="001111A6">
            <w:pPr>
              <w:pStyle w:val="DEANormal"/>
              <w:spacing w:before="0" w:after="0"/>
              <w:jc w:val="center"/>
              <w:rPr>
                <w:rFonts w:eastAsia="Calibri" w:cs="Arial"/>
                <w:sz w:val="20"/>
                <w:szCs w:val="22"/>
              </w:rPr>
            </w:pPr>
          </w:p>
        </w:tc>
        <w:tc>
          <w:tcPr>
            <w:tcW w:w="2022" w:type="pct"/>
            <w:vMerge/>
            <w:shd w:val="clear" w:color="auto" w:fill="auto"/>
          </w:tcPr>
          <w:p w:rsidR="002606CF" w:rsidRPr="00B9758F" w:rsidRDefault="002606CF" w:rsidP="001111A6">
            <w:pPr>
              <w:pStyle w:val="DEANormal"/>
              <w:spacing w:before="0" w:after="0"/>
              <w:rPr>
                <w:rFonts w:eastAsia="Calibri" w:cs="Arial"/>
                <w:color w:val="000000"/>
                <w:sz w:val="20"/>
                <w:szCs w:val="22"/>
              </w:rPr>
            </w:pPr>
          </w:p>
        </w:tc>
      </w:tr>
      <w:tr w:rsidR="002606CF" w:rsidRPr="00E9667A" w:rsidTr="00B9758F">
        <w:trPr>
          <w:trHeight w:val="1878"/>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 xml:space="preserve">Energy Efficiency in Public Buildings Programme  </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Market development and expansion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Leveraging private sector investment </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val="en-US" w:eastAsia="en-ZA"/>
              </w:rPr>
            </w:pPr>
            <w:r w:rsidRPr="00B9758F">
              <w:rPr>
                <w:rFonts w:ascii="Arial Narrow" w:hAnsi="Arial Narrow" w:cs="Arial"/>
                <w:sz w:val="20"/>
                <w:szCs w:val="22"/>
                <w:lang w:eastAsia="en-ZA"/>
              </w:rPr>
              <w:t>Energy Efficiency and Energy Demand Management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Urgent, comprehensive and coordinated large-scale implementation of energy efficiency measures and technologies, across all sectors of South Africa’s economy and society anchoring and stimulating the establishment of inclusive and localised energy services and technologies.</w:t>
            </w:r>
          </w:p>
        </w:tc>
      </w:tr>
      <w:tr w:rsidR="002606CF" w:rsidRPr="00E9667A" w:rsidTr="00B9758F">
        <w:trPr>
          <w:trHeight w:val="1625"/>
        </w:trPr>
        <w:tc>
          <w:tcPr>
            <w:tcW w:w="825" w:type="pct"/>
            <w:shd w:val="clear" w:color="auto" w:fill="auto"/>
          </w:tcPr>
          <w:p w:rsidR="002606CF" w:rsidRPr="00B9758F" w:rsidRDefault="002606CF" w:rsidP="001111A6">
            <w:pPr>
              <w:contextualSpacing/>
              <w:rPr>
                <w:rFonts w:ascii="Arial Narrow" w:eastAsia="Calibri" w:hAnsi="Arial Narrow"/>
                <w:b/>
                <w:sz w:val="20"/>
                <w:szCs w:val="22"/>
              </w:rPr>
            </w:pPr>
            <w:r w:rsidRPr="00B9758F">
              <w:rPr>
                <w:rFonts w:ascii="Arial Narrow" w:hAnsi="Arial Narrow"/>
                <w:color w:val="000000"/>
                <w:kern w:val="24"/>
                <w:sz w:val="20"/>
                <w:szCs w:val="22"/>
              </w:rPr>
              <w:t>Diversion of Municipal Solid Waste from Landfill</w:t>
            </w:r>
          </w:p>
        </w:tc>
        <w:tc>
          <w:tcPr>
            <w:tcW w:w="1304" w:type="pct"/>
            <w:vMerge w:val="restar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Demonstration scale implementation and development of implementation blueprints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the regulatory framework </w:t>
            </w:r>
          </w:p>
        </w:tc>
        <w:tc>
          <w:tcPr>
            <w:tcW w:w="849" w:type="pct"/>
            <w:vMerge w:val="restar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Waste Management  Flagship Programme</w:t>
            </w:r>
          </w:p>
        </w:tc>
        <w:tc>
          <w:tcPr>
            <w:tcW w:w="2022" w:type="pct"/>
            <w:vMerge w:val="restar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Accelerated investment in, and implementation of large scale waste minimisation; recycling and composting of organic waste; using waste-to-energy opportunities available within the solid-, semi-solid- and liquid-waste management sectors; and establishing appropriate infrastructure and value chains to enable widespread uptake of low carbon waste management approaches.</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b/>
                <w:sz w:val="20"/>
                <w:szCs w:val="22"/>
              </w:rPr>
            </w:pPr>
            <w:r w:rsidRPr="00B9758F">
              <w:rPr>
                <w:rFonts w:ascii="Arial Narrow" w:hAnsi="Arial Narrow"/>
                <w:color w:val="000000"/>
                <w:kern w:val="24"/>
                <w:sz w:val="20"/>
                <w:szCs w:val="22"/>
              </w:rPr>
              <w:t>Wastewater Biogas Generation for Electricity</w:t>
            </w:r>
          </w:p>
        </w:tc>
        <w:tc>
          <w:tcPr>
            <w:tcW w:w="1304" w:type="pct"/>
            <w:vMerge/>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p>
        </w:tc>
        <w:tc>
          <w:tcPr>
            <w:tcW w:w="849" w:type="pct"/>
            <w:vMerge/>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p>
        </w:tc>
        <w:tc>
          <w:tcPr>
            <w:tcW w:w="2022" w:type="pct"/>
            <w:vMerge/>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b/>
                <w:sz w:val="20"/>
                <w:szCs w:val="22"/>
              </w:rPr>
            </w:pPr>
            <w:r w:rsidRPr="00B9758F">
              <w:rPr>
                <w:rFonts w:ascii="Arial Narrow" w:hAnsi="Arial Narrow"/>
                <w:color w:val="000000"/>
                <w:kern w:val="24"/>
                <w:sz w:val="20"/>
                <w:szCs w:val="22"/>
              </w:rPr>
              <w:t>Tsamaya Sustainable Urban Transport NAMA</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the regulatory framework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Dedicated implementation support </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Transport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Accessible and integrated transport systems that prioritise the use of more efficient spatial design, transport networks and operations; low emissions transport modes, vehicles, fuels, technology; non-motorised transport; and climate-resilient infrastructure to enhance social mobility; access to economic opportunities and levels of rural access and connectedness</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b/>
                <w:sz w:val="20"/>
                <w:szCs w:val="22"/>
              </w:rPr>
            </w:pPr>
            <w:r w:rsidRPr="00B9758F">
              <w:rPr>
                <w:rFonts w:ascii="Arial Narrow" w:hAnsi="Arial Narrow"/>
                <w:color w:val="000000"/>
                <w:kern w:val="24"/>
                <w:sz w:val="20"/>
                <w:szCs w:val="22"/>
              </w:rPr>
              <w:t>Rainwater Harvesting Strategy Development</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of the regulatory framework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Development and piloting of implementation blueprints</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Water Conservation and Demand Management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Urgent and large-scale implementation of efficient water systems, water storage and infrastructure coupled with prudent resource and demand management, and informed behavioural change</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Small-scale Embedded Energy Generation</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Strengthening the regulatory framework</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Supporting systematic implementation </w:t>
            </w:r>
          </w:p>
        </w:tc>
        <w:tc>
          <w:tcPr>
            <w:tcW w:w="849" w:type="pct"/>
            <w:vMerge w:val="restar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Renewable Energy Flagship Programme</w:t>
            </w:r>
          </w:p>
        </w:tc>
        <w:tc>
          <w:tcPr>
            <w:tcW w:w="2022" w:type="pct"/>
            <w:vMerge w:val="restart"/>
            <w:shd w:val="clear" w:color="auto" w:fill="auto"/>
          </w:tcPr>
          <w:p w:rsidR="002606CF" w:rsidRPr="00B9758F" w:rsidRDefault="002606CF" w:rsidP="001111A6">
            <w:pPr>
              <w:tabs>
                <w:tab w:val="left" w:pos="8771"/>
              </w:tabs>
              <w:spacing w:line="276" w:lineRule="auto"/>
              <w:rPr>
                <w:rFonts w:ascii="Arial Narrow" w:eastAsia="Calibri" w:hAnsi="Arial Narrow" w:cs="Arial"/>
                <w:sz w:val="20"/>
                <w:szCs w:val="22"/>
              </w:rPr>
            </w:pPr>
            <w:r w:rsidRPr="00B9758F">
              <w:rPr>
                <w:rFonts w:ascii="Arial Narrow" w:hAnsi="Arial Narrow" w:cs="Arial"/>
                <w:sz w:val="20"/>
                <w:szCs w:val="22"/>
                <w:lang w:eastAsia="en-ZA"/>
              </w:rPr>
              <w:t>Widespread development, integration and use of, and affordable access to, South Africa’s abundant renewable energy (RE) resources through the large-scale deployment of appropriate technologies at all scales driving innovation; localisation of RE goods, services and technologies; energy security and economic growth.</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Hydrogen and Fuel Cell Technologies</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Market development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Demonstration scale implementation and development of implementation blueprints</w:t>
            </w:r>
          </w:p>
        </w:tc>
        <w:tc>
          <w:tcPr>
            <w:tcW w:w="849" w:type="pct"/>
            <w:vMerge/>
            <w:shd w:val="clear" w:color="auto" w:fill="auto"/>
          </w:tcPr>
          <w:p w:rsidR="002606CF" w:rsidRPr="00B9758F" w:rsidRDefault="002606CF" w:rsidP="001111A6">
            <w:pPr>
              <w:contextualSpacing/>
              <w:rPr>
                <w:rFonts w:ascii="Arial Narrow" w:eastAsia="Calibri" w:hAnsi="Arial Narrow"/>
                <w:sz w:val="20"/>
                <w:szCs w:val="22"/>
              </w:rPr>
            </w:pPr>
          </w:p>
        </w:tc>
        <w:tc>
          <w:tcPr>
            <w:tcW w:w="2022" w:type="pct"/>
            <w:vMerge/>
            <w:shd w:val="clear" w:color="auto" w:fill="auto"/>
          </w:tcPr>
          <w:p w:rsidR="002606CF" w:rsidRPr="00B9758F" w:rsidRDefault="002606CF" w:rsidP="001111A6">
            <w:pPr>
              <w:contextualSpacing/>
              <w:rPr>
                <w:rFonts w:ascii="Arial Narrow" w:eastAsia="Calibri" w:hAnsi="Arial Narrow"/>
                <w:sz w:val="20"/>
                <w:szCs w:val="22"/>
              </w:rPr>
            </w:pP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Agriculture, Food Systems and Food Security Flagship Programme</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the regulatory framework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Demonstration scale implementation of integrated approaches and new systems</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Agriculture, Food Systems and Food Security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Widespread and urgent establishment of climate-smart agriculture, agro-processing and food production systems to enhance productivity and climate resilience, at all scales of production; and successfully integrating agro-ecological practices and resource efficient approaches to drive the growth and competitiveness of South Africa’s agricultural sector.</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 xml:space="preserve">Low Carbon, Climate Resilient Built Environment, Communities and Human Settlements </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the regulatory framework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Demonstration scale implementation of integrated approaches and new systems </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Low Carbon, Climate Resilient Built Environment, Communities and Human Settlements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Resilient, low emissions and spatially efficient, rural, urban and coastal communities, settlements and infrastructure incorporating a high-performance green built environment, green building practices, green retrofits of existing buildings, protecting and enhancing natural ecosystems and extensive green infrastructure networks.</w:t>
            </w:r>
          </w:p>
        </w:tc>
      </w:tr>
      <w:tr w:rsidR="002606CF" w:rsidRPr="00E9667A" w:rsidTr="00B9758F">
        <w:trPr>
          <w:trHeight w:val="454"/>
        </w:trPr>
        <w:tc>
          <w:tcPr>
            <w:tcW w:w="825" w:type="pct"/>
            <w:shd w:val="clear" w:color="auto" w:fill="auto"/>
          </w:tcPr>
          <w:p w:rsidR="002606CF" w:rsidRPr="00B9758F" w:rsidRDefault="002606CF" w:rsidP="001111A6">
            <w:pPr>
              <w:contextualSpacing/>
              <w:rPr>
                <w:rFonts w:ascii="Arial Narrow" w:eastAsia="Calibri" w:hAnsi="Arial Narrow"/>
                <w:sz w:val="20"/>
                <w:szCs w:val="22"/>
              </w:rPr>
            </w:pPr>
            <w:r w:rsidRPr="00B9758F">
              <w:rPr>
                <w:rFonts w:ascii="Arial Narrow" w:hAnsi="Arial Narrow"/>
                <w:color w:val="000000"/>
                <w:kern w:val="24"/>
                <w:sz w:val="20"/>
                <w:szCs w:val="22"/>
              </w:rPr>
              <w:t xml:space="preserve">Land,  Biodiversity and Ecosystems </w:t>
            </w:r>
          </w:p>
        </w:tc>
        <w:tc>
          <w:tcPr>
            <w:tcW w:w="1304" w:type="pct"/>
            <w:shd w:val="clear" w:color="auto" w:fill="auto"/>
          </w:tcPr>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 xml:space="preserve">Strengthening the regulatory framework </w:t>
            </w:r>
          </w:p>
          <w:p w:rsidR="002606CF" w:rsidRPr="00B9758F" w:rsidRDefault="002606CF" w:rsidP="0015248F">
            <w:pPr>
              <w:pStyle w:val="ColorfulList-Accent1"/>
              <w:numPr>
                <w:ilvl w:val="0"/>
                <w:numId w:val="4"/>
              </w:numPr>
              <w:spacing w:after="0" w:line="240" w:lineRule="auto"/>
              <w:ind w:left="284" w:hanging="284"/>
              <w:rPr>
                <w:rFonts w:ascii="Arial Narrow" w:hAnsi="Arial Narrow"/>
                <w:sz w:val="20"/>
              </w:rPr>
            </w:pPr>
            <w:r w:rsidRPr="00B9758F">
              <w:rPr>
                <w:rFonts w:ascii="Arial Narrow" w:hAnsi="Arial Narrow"/>
                <w:sz w:val="20"/>
              </w:rPr>
              <w:t>Demonstration scale implementation of integrated approaches to rehabilitation and management of grasslands, sub-tropical thicket, forests and woodlands</w:t>
            </w:r>
          </w:p>
        </w:tc>
        <w:tc>
          <w:tcPr>
            <w:tcW w:w="849"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The Climate Change Response Public Works Flagship Programme</w:t>
            </w:r>
          </w:p>
        </w:tc>
        <w:tc>
          <w:tcPr>
            <w:tcW w:w="2022" w:type="pct"/>
            <w:shd w:val="clear" w:color="auto" w:fill="auto"/>
          </w:tcPr>
          <w:p w:rsidR="002606CF" w:rsidRPr="00B9758F" w:rsidRDefault="002606CF" w:rsidP="001111A6">
            <w:pPr>
              <w:tabs>
                <w:tab w:val="left" w:pos="8771"/>
              </w:tabs>
              <w:spacing w:line="276" w:lineRule="auto"/>
              <w:rPr>
                <w:rFonts w:ascii="Arial Narrow" w:hAnsi="Arial Narrow" w:cs="Arial"/>
                <w:sz w:val="20"/>
                <w:szCs w:val="22"/>
                <w:lang w:eastAsia="en-ZA"/>
              </w:rPr>
            </w:pPr>
            <w:r w:rsidRPr="00B9758F">
              <w:rPr>
                <w:rFonts w:ascii="Arial Narrow" w:hAnsi="Arial Narrow" w:cs="Arial"/>
                <w:sz w:val="20"/>
                <w:szCs w:val="22"/>
                <w:lang w:eastAsia="en-ZA"/>
              </w:rPr>
              <w:t xml:space="preserve">Large-scale investment in, and expansion of, the restoration and rehabilitation of South Africa’s natural resource base; including management of invasive species; enhancing ecosystem integrity and resilience; creating and enhancing carbon sinks; ecosystem-based adaptation approaches and better management of marine resources, fisheries and ecosystems:  </w:t>
            </w:r>
          </w:p>
        </w:tc>
      </w:tr>
    </w:tbl>
    <w:p w:rsidR="002606CF" w:rsidRDefault="002606CF" w:rsidP="001111A6">
      <w:pPr>
        <w:jc w:val="both"/>
        <w:rPr>
          <w:rFonts w:ascii="Arial Narrow" w:hAnsi="Arial Narrow"/>
        </w:rPr>
      </w:pPr>
    </w:p>
    <w:p w:rsidR="002606CF" w:rsidRPr="00280E9B" w:rsidRDefault="002606CF" w:rsidP="0015248F">
      <w:pPr>
        <w:pStyle w:val="ColorfulList-Accent1"/>
        <w:numPr>
          <w:ilvl w:val="0"/>
          <w:numId w:val="3"/>
        </w:numPr>
        <w:spacing w:after="0" w:line="360" w:lineRule="auto"/>
        <w:jc w:val="both"/>
        <w:rPr>
          <w:rFonts w:ascii="Arial Narrow" w:hAnsi="Arial Narrow"/>
          <w:b/>
          <w:i/>
        </w:rPr>
      </w:pPr>
      <w:r w:rsidRPr="00280E9B">
        <w:rPr>
          <w:rFonts w:ascii="Arial Narrow" w:hAnsi="Arial Narrow"/>
          <w:b/>
          <w:i/>
        </w:rPr>
        <w:t>South Africa’s Green Climate Fund Strategic Investment Framework</w:t>
      </w:r>
    </w:p>
    <w:p w:rsidR="002606CF" w:rsidRDefault="002606CF" w:rsidP="001111A6">
      <w:pPr>
        <w:spacing w:line="360" w:lineRule="auto"/>
        <w:jc w:val="both"/>
        <w:rPr>
          <w:rFonts w:ascii="Arial Narrow" w:hAnsi="Arial Narrow"/>
        </w:rPr>
      </w:pPr>
      <w:r w:rsidRPr="00280E9B">
        <w:rPr>
          <w:rFonts w:ascii="Arial Narrow" w:hAnsi="Arial Narrow"/>
        </w:rPr>
        <w:t>The Climate Change Flagship Programmes are South Africa’s main link to the primary climate finance mechanism of the United Nations Framework Convention on Climate Change (UNFCCC), the Green Climate Fund (GCF) and other funding opportunities.</w:t>
      </w:r>
      <w:r w:rsidR="001111A6">
        <w:rPr>
          <w:rFonts w:ascii="Arial Narrow" w:hAnsi="Arial Narrow"/>
        </w:rPr>
        <w:t xml:space="preserve"> </w:t>
      </w:r>
      <w:r w:rsidRPr="00280E9B">
        <w:rPr>
          <w:rFonts w:ascii="Arial Narrow" w:hAnsi="Arial Narrow"/>
        </w:rPr>
        <w:t xml:space="preserve">Just as the ability to achieve South Africa’s NDC is premised on accessing adequate finance, technology and capacity building support; the required support needs to be directed by a clearly articulated set of investment priorities. In addition, this needs to be led by an identifiable champion, governance structure and implementation approach. The Climate Change Flagship Programmes </w:t>
      </w:r>
      <w:r w:rsidR="00C90476">
        <w:rPr>
          <w:rFonts w:ascii="Arial Narrow" w:hAnsi="Arial Narrow"/>
        </w:rPr>
        <w:t xml:space="preserve">fulfil this specific function. </w:t>
      </w:r>
      <w:r w:rsidRPr="00280E9B">
        <w:rPr>
          <w:rFonts w:ascii="Arial Narrow" w:hAnsi="Arial Narrow"/>
        </w:rPr>
        <w:t>The Climate Change Flagship Programmes provide a focal point for attracting and leveraging investment from both the private and public sectors at the scale required to enable meaningful climate action.</w:t>
      </w:r>
    </w:p>
    <w:p w:rsidR="00C90476" w:rsidRPr="00280E9B" w:rsidRDefault="00C90476" w:rsidP="001111A6">
      <w:pPr>
        <w:spacing w:line="360" w:lineRule="auto"/>
        <w:jc w:val="both"/>
        <w:rPr>
          <w:rFonts w:ascii="Arial Narrow" w:hAnsi="Arial Narrow"/>
        </w:rPr>
      </w:pPr>
    </w:p>
    <w:p w:rsidR="002606CF" w:rsidRPr="00280E9B" w:rsidRDefault="002606CF" w:rsidP="001111A6">
      <w:pPr>
        <w:spacing w:line="360" w:lineRule="auto"/>
        <w:jc w:val="both"/>
        <w:rPr>
          <w:rFonts w:ascii="Arial Narrow" w:hAnsi="Arial Narrow"/>
        </w:rPr>
      </w:pPr>
      <w:r w:rsidRPr="00280E9B">
        <w:rPr>
          <w:rFonts w:ascii="Arial Narrow" w:hAnsi="Arial Narrow"/>
        </w:rPr>
        <w:t>The GCF presents South Africa with a potential opportunity to access a significant part of the financial support required to drive the na</w:t>
      </w:r>
      <w:r w:rsidR="001111A6">
        <w:rPr>
          <w:rFonts w:ascii="Arial Narrow" w:hAnsi="Arial Narrow"/>
        </w:rPr>
        <w:t>tional climate change response.</w:t>
      </w:r>
      <w:r w:rsidRPr="00280E9B">
        <w:rPr>
          <w:rFonts w:ascii="Arial Narrow" w:hAnsi="Arial Narrow"/>
        </w:rPr>
        <w:t xml:space="preserve"> To fully utilise the opportunity presented by the GCF, a national GCF Strategic Framework has been developed to enable a coherent engagement with the GCF and to ensure that South Africa’s GCF investments are aligned to the national climate change response priorities</w:t>
      </w:r>
      <w:r w:rsidR="001111A6">
        <w:rPr>
          <w:rFonts w:ascii="Arial Narrow" w:hAnsi="Arial Narrow"/>
        </w:rPr>
        <w:t>.</w:t>
      </w:r>
    </w:p>
    <w:p w:rsidR="002606CF" w:rsidRPr="00280E9B" w:rsidRDefault="002606CF" w:rsidP="001111A6">
      <w:pPr>
        <w:rPr>
          <w:rFonts w:ascii="Arial Narrow" w:hAnsi="Arial Narrow"/>
        </w:rPr>
      </w:pPr>
    </w:p>
    <w:p w:rsidR="00327447" w:rsidRDefault="00C90476" w:rsidP="001111A6">
      <w:pPr>
        <w:spacing w:line="360" w:lineRule="auto"/>
        <w:ind w:left="709" w:hanging="709"/>
        <w:jc w:val="both"/>
        <w:rPr>
          <w:rFonts w:ascii="Arial Narrow" w:hAnsi="Arial Narrow"/>
        </w:rPr>
      </w:pPr>
      <w:r>
        <w:rPr>
          <w:rFonts w:ascii="Arial Narrow" w:hAnsi="Arial Narrow"/>
        </w:rPr>
        <w:t>2 (a)</w:t>
      </w:r>
      <w:r w:rsidR="002606CF">
        <w:rPr>
          <w:rFonts w:ascii="Arial Narrow" w:hAnsi="Arial Narrow"/>
        </w:rPr>
        <w:tab/>
      </w:r>
      <w:r w:rsidR="00327447">
        <w:rPr>
          <w:rFonts w:ascii="Arial Narrow" w:hAnsi="Arial Narrow"/>
        </w:rPr>
        <w:t xml:space="preserve">The department has effectively administered an offline reporting system as required by the </w:t>
      </w:r>
      <w:r w:rsidR="00327447" w:rsidRPr="00612EA1">
        <w:rPr>
          <w:rFonts w:ascii="Arial Narrow" w:hAnsi="Arial Narrow"/>
        </w:rPr>
        <w:t>Greenhouse Gas Emission Reporting Regulations</w:t>
      </w:r>
      <w:r w:rsidR="00327447">
        <w:rPr>
          <w:rFonts w:ascii="Arial Narrow" w:hAnsi="Arial Narrow"/>
        </w:rPr>
        <w:t xml:space="preserve">, in the absence of an </w:t>
      </w:r>
      <w:r w:rsidR="00327447" w:rsidRPr="00392E60">
        <w:rPr>
          <w:rFonts w:ascii="Arial Narrow" w:hAnsi="Arial Narrow"/>
        </w:rPr>
        <w:t>online reporting platform. Thus far, between the period May 2017 and present, the department has received registrations</w:t>
      </w:r>
      <w:r w:rsidR="00327447">
        <w:rPr>
          <w:rFonts w:ascii="Arial Narrow" w:hAnsi="Arial Narrow"/>
        </w:rPr>
        <w:t xml:space="preserve"> from</w:t>
      </w:r>
      <w:r w:rsidR="00327447" w:rsidRPr="00392E60">
        <w:rPr>
          <w:rFonts w:ascii="Arial Narrow" w:hAnsi="Arial Narrow"/>
        </w:rPr>
        <w:t xml:space="preserve"> </w:t>
      </w:r>
      <w:r w:rsidR="00327447">
        <w:rPr>
          <w:rFonts w:ascii="Arial Narrow" w:hAnsi="Arial Narrow"/>
        </w:rPr>
        <w:t xml:space="preserve">140 data </w:t>
      </w:r>
      <w:r w:rsidR="00327447" w:rsidRPr="00392E60">
        <w:rPr>
          <w:rFonts w:ascii="Arial Narrow" w:hAnsi="Arial Narrow"/>
        </w:rPr>
        <w:t xml:space="preserve">providers </w:t>
      </w:r>
      <w:r w:rsidR="00327447">
        <w:rPr>
          <w:rFonts w:ascii="Arial Narrow" w:hAnsi="Arial Narrow"/>
        </w:rPr>
        <w:t xml:space="preserve">nationally </w:t>
      </w:r>
      <w:r w:rsidR="00327447" w:rsidRPr="00392E60">
        <w:rPr>
          <w:rFonts w:ascii="Arial Narrow" w:hAnsi="Arial Narrow"/>
        </w:rPr>
        <w:t xml:space="preserve">that have registered a total of 595 facilities that </w:t>
      </w:r>
      <w:r w:rsidR="00327447">
        <w:rPr>
          <w:rFonts w:ascii="Arial Narrow" w:hAnsi="Arial Narrow"/>
        </w:rPr>
        <w:t>meet</w:t>
      </w:r>
      <w:r w:rsidR="00327447" w:rsidRPr="00392E60">
        <w:rPr>
          <w:rFonts w:ascii="Arial Narrow" w:hAnsi="Arial Narrow"/>
        </w:rPr>
        <w:t xml:space="preserve"> the reporting threshold</w:t>
      </w:r>
      <w:r w:rsidR="00327447">
        <w:rPr>
          <w:rFonts w:ascii="Arial Narrow" w:hAnsi="Arial Narrow"/>
        </w:rPr>
        <w:t>s</w:t>
      </w:r>
      <w:r w:rsidR="00327447" w:rsidRPr="00392E60">
        <w:rPr>
          <w:rFonts w:ascii="Arial Narrow" w:hAnsi="Arial Narrow"/>
        </w:rPr>
        <w:t xml:space="preserve"> specified in the regulations. Currently the department </w:t>
      </w:r>
      <w:r w:rsidR="00327447">
        <w:rPr>
          <w:rFonts w:ascii="Arial Narrow" w:hAnsi="Arial Narrow"/>
        </w:rPr>
        <w:t xml:space="preserve">is undertaking verification work in order to </w:t>
      </w:r>
      <w:r w:rsidR="00327447" w:rsidRPr="004C5FEB">
        <w:rPr>
          <w:rFonts w:ascii="Arial Narrow" w:hAnsi="Arial Narrow"/>
        </w:rPr>
        <w:t>conclude the first phase of the registration process</w:t>
      </w:r>
      <w:r w:rsidR="00327447">
        <w:rPr>
          <w:rFonts w:ascii="Arial Narrow" w:hAnsi="Arial Narrow"/>
        </w:rPr>
        <w:t xml:space="preserve"> and is also intending to further extend the registration period through a consultative process, as called for by various affected stakeho</w:t>
      </w:r>
      <w:r>
        <w:rPr>
          <w:rFonts w:ascii="Arial Narrow" w:hAnsi="Arial Narrow"/>
        </w:rPr>
        <w:t>lders and data providers.</w:t>
      </w:r>
    </w:p>
    <w:p w:rsidR="00C90476" w:rsidRDefault="00C90476" w:rsidP="001111A6">
      <w:pPr>
        <w:spacing w:line="360" w:lineRule="auto"/>
        <w:ind w:left="709" w:hanging="709"/>
        <w:jc w:val="both"/>
        <w:rPr>
          <w:rFonts w:ascii="Arial Narrow" w:hAnsi="Arial Narrow"/>
        </w:rPr>
      </w:pPr>
    </w:p>
    <w:p w:rsidR="00327447" w:rsidRDefault="005B030B" w:rsidP="001111A6">
      <w:pPr>
        <w:spacing w:line="360" w:lineRule="auto"/>
        <w:ind w:left="709"/>
        <w:jc w:val="both"/>
        <w:rPr>
          <w:rFonts w:ascii="Arial Narrow" w:hAnsi="Arial Narrow"/>
        </w:rPr>
      </w:pPr>
      <w:r>
        <w:rPr>
          <w:rFonts w:ascii="Arial Narrow" w:hAnsi="Arial Narrow"/>
        </w:rPr>
        <w:t>In addition t</w:t>
      </w:r>
      <w:r w:rsidR="00327447">
        <w:rPr>
          <w:rFonts w:ascii="Arial Narrow" w:hAnsi="Arial Narrow"/>
        </w:rPr>
        <w:t xml:space="preserve">he Department has also published detailed </w:t>
      </w:r>
      <w:r w:rsidR="00327447" w:rsidRPr="003A49AE">
        <w:rPr>
          <w:rFonts w:ascii="Arial Narrow" w:hAnsi="Arial Narrow"/>
          <w:i/>
        </w:rPr>
        <w:t>Technical Guidelines</w:t>
      </w:r>
      <w:r w:rsidR="00327447" w:rsidRPr="001126C5">
        <w:rPr>
          <w:rFonts w:ascii="Arial Narrow" w:hAnsi="Arial Narrow"/>
          <w:i/>
        </w:rPr>
        <w:t xml:space="preserve"> for Measurement Reporting and Verification of Greenhouse Gas emissions by Industry</w:t>
      </w:r>
      <w:r w:rsidR="00327447">
        <w:rPr>
          <w:rFonts w:ascii="Arial Narrow" w:hAnsi="Arial Narrow"/>
          <w:i/>
        </w:rPr>
        <w:t xml:space="preserve">, </w:t>
      </w:r>
      <w:r w:rsidR="00327447">
        <w:rPr>
          <w:rFonts w:ascii="Arial Narrow" w:hAnsi="Arial Narrow"/>
        </w:rPr>
        <w:t xml:space="preserve">which </w:t>
      </w:r>
      <w:r w:rsidR="00327447" w:rsidRPr="003A49AE">
        <w:rPr>
          <w:rFonts w:ascii="Arial Narrow" w:hAnsi="Arial Narrow"/>
        </w:rPr>
        <w:t>provide and enable</w:t>
      </w:r>
      <w:r w:rsidR="00327447">
        <w:rPr>
          <w:rFonts w:ascii="Arial Narrow" w:hAnsi="Arial Narrow"/>
        </w:rPr>
        <w:t xml:space="preserve"> data providers affected by the reporting regime to understand the reporting requirements and assist them in developing emission reports that are in line with the reporting requirements. In addition to the technical guidance, the department is also putting in place </w:t>
      </w:r>
      <w:r w:rsidR="00327447" w:rsidRPr="003A49AE">
        <w:rPr>
          <w:rFonts w:ascii="Arial Narrow" w:hAnsi="Arial Narrow"/>
          <w:i/>
        </w:rPr>
        <w:t>Greenhouse Gas Reporting Guidelines</w:t>
      </w:r>
      <w:r w:rsidR="00327447">
        <w:rPr>
          <w:rFonts w:ascii="Arial Narrow" w:hAnsi="Arial Narrow"/>
          <w:i/>
        </w:rPr>
        <w:t xml:space="preserve"> and Reporting Tools</w:t>
      </w:r>
      <w:r w:rsidR="00327447" w:rsidRPr="003A49AE">
        <w:rPr>
          <w:rFonts w:ascii="Arial Narrow" w:hAnsi="Arial Narrow"/>
          <w:i/>
        </w:rPr>
        <w:t xml:space="preserve"> </w:t>
      </w:r>
      <w:r w:rsidR="00327447">
        <w:rPr>
          <w:rFonts w:ascii="Arial Narrow" w:hAnsi="Arial Narrow"/>
        </w:rPr>
        <w:t xml:space="preserve">that will provide clarity on procedural aspects of the reporting programme and further enhance the successful implementation of the </w:t>
      </w:r>
      <w:r w:rsidR="00327447" w:rsidRPr="00612EA1">
        <w:rPr>
          <w:rFonts w:ascii="Arial Narrow" w:hAnsi="Arial Narrow"/>
        </w:rPr>
        <w:t>Greenhouse Gas Emission Reporting Regulations</w:t>
      </w:r>
      <w:r w:rsidR="00327447">
        <w:rPr>
          <w:rFonts w:ascii="Arial Narrow" w:hAnsi="Arial Narrow"/>
        </w:rPr>
        <w:t xml:space="preserve">. </w:t>
      </w:r>
    </w:p>
    <w:p w:rsidR="00C90476" w:rsidRDefault="00C90476" w:rsidP="001111A6">
      <w:pPr>
        <w:spacing w:line="360" w:lineRule="auto"/>
        <w:ind w:left="709"/>
        <w:jc w:val="both"/>
        <w:rPr>
          <w:rFonts w:ascii="Arial Narrow" w:hAnsi="Arial Narrow"/>
        </w:rPr>
      </w:pPr>
    </w:p>
    <w:p w:rsidR="00327447" w:rsidRDefault="005B030B" w:rsidP="001111A6">
      <w:pPr>
        <w:spacing w:line="360" w:lineRule="auto"/>
        <w:ind w:left="709"/>
        <w:jc w:val="both"/>
        <w:rPr>
          <w:rFonts w:ascii="Arial Narrow" w:hAnsi="Arial Narrow"/>
        </w:rPr>
      </w:pPr>
      <w:r>
        <w:rPr>
          <w:rFonts w:ascii="Arial Narrow" w:hAnsi="Arial Narrow"/>
        </w:rPr>
        <w:t>Furthermore, t</w:t>
      </w:r>
      <w:r w:rsidR="00327447">
        <w:rPr>
          <w:rFonts w:ascii="Arial Narrow" w:hAnsi="Arial Narrow"/>
        </w:rPr>
        <w:t xml:space="preserve">he Department is also working with the National Treasury, through the Partnership for Market Readiness programme, a programme funded by the World Bank, to modify the National Atmospheric Emissions Inventory System (NAEIS) which is the primary reporting system for the reporting of Greenhouse Gases, in order to meet the reporting requirements in line with the </w:t>
      </w:r>
      <w:r w:rsidR="00327447" w:rsidRPr="00612EA1">
        <w:rPr>
          <w:rFonts w:ascii="Arial Narrow" w:hAnsi="Arial Narrow"/>
        </w:rPr>
        <w:t>Greenhouse Gas Emission Reporting Regulations</w:t>
      </w:r>
      <w:r w:rsidR="00327447">
        <w:rPr>
          <w:rFonts w:ascii="Arial Narrow" w:hAnsi="Arial Narrow"/>
        </w:rPr>
        <w:t>. This work will enable future</w:t>
      </w:r>
      <w:r w:rsidR="00327447" w:rsidRPr="00950A06">
        <w:rPr>
          <w:rFonts w:ascii="Arial Narrow" w:hAnsi="Arial Narrow"/>
        </w:rPr>
        <w:t xml:space="preserve"> </w:t>
      </w:r>
      <w:r w:rsidR="00327447">
        <w:rPr>
          <w:rFonts w:ascii="Arial Narrow" w:hAnsi="Arial Narrow"/>
        </w:rPr>
        <w:t xml:space="preserve">reporting to be done using </w:t>
      </w:r>
      <w:r w:rsidR="00327447" w:rsidRPr="00950A06">
        <w:rPr>
          <w:rFonts w:ascii="Arial Narrow" w:hAnsi="Arial Narrow"/>
        </w:rPr>
        <w:t>electronic (Web-based) reporting via the NAEIS system</w:t>
      </w:r>
      <w:r w:rsidR="00327447">
        <w:rPr>
          <w:rFonts w:ascii="Arial Narrow" w:hAnsi="Arial Narrow"/>
        </w:rPr>
        <w:t xml:space="preserve"> and this work is currently at procurement stage</w:t>
      </w:r>
      <w:r w:rsidR="00327447" w:rsidRPr="00950A06">
        <w:rPr>
          <w:rFonts w:ascii="Arial Narrow" w:hAnsi="Arial Narrow"/>
        </w:rPr>
        <w:t>.</w:t>
      </w:r>
    </w:p>
    <w:p w:rsidR="00C90476" w:rsidRDefault="00C90476" w:rsidP="001111A6">
      <w:pPr>
        <w:spacing w:line="360" w:lineRule="auto"/>
        <w:ind w:left="709"/>
        <w:jc w:val="both"/>
        <w:rPr>
          <w:rFonts w:ascii="Arial Narrow" w:hAnsi="Arial Narrow"/>
        </w:rPr>
      </w:pPr>
    </w:p>
    <w:p w:rsidR="00327447" w:rsidRDefault="00327447" w:rsidP="001111A6">
      <w:pPr>
        <w:spacing w:line="360" w:lineRule="auto"/>
        <w:ind w:left="709"/>
        <w:jc w:val="both"/>
        <w:rPr>
          <w:rFonts w:ascii="Arial Narrow" w:hAnsi="Arial Narrow"/>
        </w:rPr>
      </w:pPr>
      <w:r>
        <w:rPr>
          <w:rFonts w:ascii="Arial Narrow" w:hAnsi="Arial Narrow"/>
        </w:rPr>
        <w:t xml:space="preserve">The department also has </w:t>
      </w:r>
      <w:r w:rsidR="006E068C">
        <w:rPr>
          <w:rFonts w:ascii="Arial Narrow" w:hAnsi="Arial Narrow"/>
        </w:rPr>
        <w:t xml:space="preserve">been </w:t>
      </w:r>
      <w:r>
        <w:rPr>
          <w:rFonts w:ascii="Arial Narrow" w:hAnsi="Arial Narrow"/>
        </w:rPr>
        <w:t>and continues to participate in various</w:t>
      </w:r>
      <w:r w:rsidR="00CB60FE">
        <w:rPr>
          <w:rFonts w:ascii="Arial Narrow" w:hAnsi="Arial Narrow"/>
        </w:rPr>
        <w:t xml:space="preserve"> public and</w:t>
      </w:r>
      <w:r>
        <w:rPr>
          <w:rFonts w:ascii="Arial Narrow" w:hAnsi="Arial Narrow"/>
        </w:rPr>
        <w:t xml:space="preserve"> private sector-led </w:t>
      </w:r>
      <w:r w:rsidRPr="003A49AE">
        <w:rPr>
          <w:rFonts w:ascii="Arial Narrow" w:hAnsi="Arial Narrow"/>
        </w:rPr>
        <w:t>capacity building initiatives</w:t>
      </w:r>
      <w:r>
        <w:rPr>
          <w:rFonts w:ascii="Arial Narrow" w:hAnsi="Arial Narrow"/>
        </w:rPr>
        <w:t xml:space="preserve"> aiming to create common understanding of the reporting regime and to play an active role in creating consensus about the reporting requirements amongst key stakeholders and affected data providers. </w:t>
      </w:r>
    </w:p>
    <w:p w:rsidR="00C90476" w:rsidRDefault="00C90476" w:rsidP="001111A6">
      <w:pPr>
        <w:spacing w:line="360" w:lineRule="auto"/>
        <w:ind w:left="709"/>
        <w:jc w:val="both"/>
        <w:rPr>
          <w:rFonts w:ascii="Arial Narrow" w:hAnsi="Arial Narrow"/>
        </w:rPr>
      </w:pPr>
    </w:p>
    <w:p w:rsidR="00327447" w:rsidRDefault="00327447" w:rsidP="001111A6">
      <w:pPr>
        <w:spacing w:line="360" w:lineRule="auto"/>
        <w:ind w:left="709"/>
        <w:jc w:val="both"/>
        <w:rPr>
          <w:rFonts w:ascii="Arial Narrow" w:hAnsi="Arial Narrow"/>
        </w:rPr>
      </w:pPr>
      <w:r>
        <w:rPr>
          <w:rFonts w:ascii="Arial Narrow" w:hAnsi="Arial Narrow"/>
        </w:rPr>
        <w:t>Whilst building capacity to understand the reporting regime amongst external stakeholders, as captured above, the department is also building its technical and institutional capacity in order to effectively administer the mandatory GHG reporting programme by putting systems in place to improve business intelligence of the department and putting in place sound quality control and assurance procedures in order to ensure that such reporting is d</w:t>
      </w:r>
      <w:r w:rsidR="00C90476">
        <w:rPr>
          <w:rFonts w:ascii="Arial Narrow" w:hAnsi="Arial Narrow"/>
        </w:rPr>
        <w:t xml:space="preserve">one sustainably in the future. </w:t>
      </w:r>
    </w:p>
    <w:p w:rsidR="00C90476" w:rsidRDefault="00C90476" w:rsidP="001111A6">
      <w:pPr>
        <w:spacing w:line="360" w:lineRule="auto"/>
        <w:ind w:left="709"/>
        <w:jc w:val="both"/>
        <w:rPr>
          <w:rFonts w:ascii="Arial Narrow" w:hAnsi="Arial Narrow"/>
        </w:rPr>
      </w:pPr>
    </w:p>
    <w:p w:rsidR="00327447" w:rsidRDefault="00327447" w:rsidP="001111A6">
      <w:pPr>
        <w:spacing w:line="360" w:lineRule="auto"/>
        <w:ind w:left="709"/>
        <w:jc w:val="both"/>
        <w:rPr>
          <w:rFonts w:ascii="Arial Narrow" w:hAnsi="Arial Narrow"/>
        </w:rPr>
      </w:pPr>
      <w:r>
        <w:rPr>
          <w:rFonts w:ascii="Arial Narrow" w:hAnsi="Arial Narrow"/>
        </w:rPr>
        <w:t xml:space="preserve">Whilst aiming to finalise the registration process in the second quarter of the 2017/18 financial year, the department is also preparing itself to receive the first round of emissions reports from data providers in March 2018 and is providing the necessary technical assistance to various data providers on technical and other methodological aspects of the </w:t>
      </w:r>
      <w:r w:rsidRPr="00612EA1">
        <w:rPr>
          <w:rFonts w:ascii="Arial Narrow" w:hAnsi="Arial Narrow"/>
        </w:rPr>
        <w:t>Greenhouse Gas Emission Reporting Regulations</w:t>
      </w:r>
    </w:p>
    <w:p w:rsidR="00327447" w:rsidRDefault="00327447" w:rsidP="001111A6">
      <w:pPr>
        <w:spacing w:line="360" w:lineRule="auto"/>
        <w:ind w:left="709" w:hanging="709"/>
        <w:jc w:val="both"/>
        <w:rPr>
          <w:rFonts w:ascii="Arial Narrow" w:hAnsi="Arial Narrow"/>
        </w:rPr>
      </w:pPr>
    </w:p>
    <w:p w:rsidR="00327447" w:rsidRDefault="001111A6" w:rsidP="001111A6">
      <w:pPr>
        <w:spacing w:line="360" w:lineRule="auto"/>
        <w:ind w:left="709" w:hanging="709"/>
        <w:jc w:val="both"/>
        <w:rPr>
          <w:rFonts w:ascii="Arial Narrow" w:hAnsi="Arial Narrow"/>
        </w:rPr>
      </w:pPr>
      <w:r>
        <w:rPr>
          <w:rFonts w:ascii="Arial Narrow" w:hAnsi="Arial Narrow"/>
        </w:rPr>
        <w:t>2 (b)</w:t>
      </w:r>
      <w:r w:rsidR="002606CF">
        <w:rPr>
          <w:rFonts w:ascii="Arial Narrow" w:hAnsi="Arial Narrow"/>
        </w:rPr>
        <w:tab/>
      </w:r>
      <w:r w:rsidR="00327447">
        <w:rPr>
          <w:rFonts w:ascii="Arial Narrow" w:hAnsi="Arial Narrow"/>
        </w:rPr>
        <w:t xml:space="preserve">In the current design of the reporting programme, data providers (companies) are required to submit one emissions report for all its facilities and are not required to submit separate emissions reports for each of its facilities. It is the view of the department that, in future, reporting of Greenhouse gases should follow international best practice and move towards facility-level reporting and the department is planning on introducing such level of reporting through a phased approach in the near future. However, the current level of reporting is sufficient to meet our international reporting obligations under the UNFCCC and to provide a robust scientific evidence base that helps us track progress towards implementation of Nationally Determined Contributions (NDCs) and other key National Climate Change mitigation policy programmes and commitments. </w:t>
      </w:r>
    </w:p>
    <w:p w:rsidR="008B47D6" w:rsidRDefault="008B47D6" w:rsidP="001111A6">
      <w:pPr>
        <w:spacing w:line="360" w:lineRule="auto"/>
        <w:ind w:left="709" w:hanging="709"/>
        <w:jc w:val="both"/>
        <w:rPr>
          <w:rFonts w:ascii="Arial Narrow" w:hAnsi="Arial Narrow"/>
          <w:b/>
        </w:rPr>
      </w:pPr>
    </w:p>
    <w:p w:rsidR="008B3BEE" w:rsidRDefault="008B3BEE" w:rsidP="001111A6">
      <w:pPr>
        <w:spacing w:line="360" w:lineRule="auto"/>
        <w:jc w:val="both"/>
        <w:rPr>
          <w:rFonts w:ascii="Arial Narrow" w:hAnsi="Arial Narrow"/>
          <w:b/>
        </w:rPr>
      </w:pPr>
    </w:p>
    <w:p w:rsidR="008B3BEE" w:rsidRDefault="008B3BEE" w:rsidP="001111A6">
      <w:pPr>
        <w:spacing w:line="360" w:lineRule="auto"/>
        <w:jc w:val="both"/>
        <w:rPr>
          <w:rFonts w:ascii="Arial Narrow" w:hAnsi="Arial Narrow"/>
          <w:b/>
        </w:rPr>
      </w:pPr>
    </w:p>
    <w:p w:rsidR="00D00535" w:rsidRPr="00A76401" w:rsidRDefault="006E42A6" w:rsidP="001111A6">
      <w:pPr>
        <w:spacing w:line="360" w:lineRule="auto"/>
        <w:jc w:val="center"/>
        <w:rPr>
          <w:rFonts w:ascii="Arial Narrow" w:hAnsi="Arial Narrow"/>
          <w:b/>
          <w:lang w:val="af-ZA" w:eastAsia="en-ZA"/>
        </w:rPr>
      </w:pPr>
      <w:r w:rsidRPr="00A76401">
        <w:rPr>
          <w:rFonts w:ascii="Arial Narrow" w:hAnsi="Arial Narrow"/>
          <w:b/>
          <w:lang w:val="af-ZA" w:eastAsia="en-ZA"/>
        </w:rPr>
        <w:t>-</w:t>
      </w:r>
      <w:r w:rsidR="0048390A" w:rsidRPr="00A76401">
        <w:rPr>
          <w:rFonts w:ascii="Arial Narrow" w:hAnsi="Arial Narrow"/>
          <w:b/>
          <w:lang w:val="af-ZA" w:eastAsia="en-ZA"/>
        </w:rPr>
        <w:t>--ooOoo--</w:t>
      </w:r>
      <w:r w:rsidRPr="00A76401">
        <w:rPr>
          <w:rFonts w:ascii="Arial Narrow" w:hAnsi="Arial Narrow"/>
          <w:b/>
          <w:lang w:val="af-ZA" w:eastAsia="en-ZA"/>
        </w:rPr>
        <w:t>-</w:t>
      </w:r>
    </w:p>
    <w:sectPr w:rsidR="00D00535" w:rsidRPr="00A76401" w:rsidSect="0048390A">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2DC" w:rsidRDefault="00CB72DC" w:rsidP="004F1BDF">
      <w:r>
        <w:separator/>
      </w:r>
    </w:p>
  </w:endnote>
  <w:endnote w:type="continuationSeparator" w:id="0">
    <w:p w:rsidR="00CB72DC" w:rsidRDefault="00CB72D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612EA1">
      <w:rPr>
        <w:rFonts w:ascii="Arial Narrow" w:hAnsi="Arial Narrow"/>
        <w:b w:val="0"/>
        <w:sz w:val="16"/>
        <w:szCs w:val="16"/>
      </w:rPr>
      <w:t>2293</w:t>
    </w:r>
    <w:r w:rsidR="008B3BEE">
      <w:rPr>
        <w:rFonts w:ascii="Arial Narrow" w:hAnsi="Arial Narrow"/>
        <w:b w:val="0"/>
        <w:sz w:val="16"/>
        <w:szCs w:val="16"/>
      </w:rPr>
      <w:tab/>
    </w:r>
    <w:r w:rsidR="00612EA1">
      <w:rPr>
        <w:rFonts w:ascii="Arial Narrow" w:eastAsia="Calibri" w:hAnsi="Arial Narrow"/>
        <w:b w:val="0"/>
        <w:bCs w:val="0"/>
        <w:sz w:val="16"/>
        <w:szCs w:val="16"/>
        <w:lang w:val="en-ZA"/>
      </w:rPr>
      <w:t>NW2531</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2DC" w:rsidRDefault="00CB72DC" w:rsidP="004F1BDF">
      <w:r>
        <w:separator/>
      </w:r>
    </w:p>
  </w:footnote>
  <w:footnote w:type="continuationSeparator" w:id="0">
    <w:p w:rsidR="00CB72DC" w:rsidRDefault="00CB72D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D8E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244945"/>
    <w:multiLevelType w:val="hybridMultilevel"/>
    <w:tmpl w:val="BCDE1296"/>
    <w:lvl w:ilvl="0" w:tplc="1AC693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151EF1"/>
    <w:multiLevelType w:val="hybridMultilevel"/>
    <w:tmpl w:val="988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6511C"/>
    <w:multiLevelType w:val="hybridMultilevel"/>
    <w:tmpl w:val="4BD6E978"/>
    <w:lvl w:ilvl="0" w:tplc="BBECC8BC">
      <w:start w:val="1"/>
      <w:numFmt w:val="lowerLetter"/>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77600E"/>
    <w:multiLevelType w:val="multilevel"/>
    <w:tmpl w:val="68A4B7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AC34DC3"/>
    <w:multiLevelType w:val="hybridMultilevel"/>
    <w:tmpl w:val="154EB5AE"/>
    <w:lvl w:ilvl="0" w:tplc="38F8F9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362A36"/>
    <w:multiLevelType w:val="hybridMultilevel"/>
    <w:tmpl w:val="18D64D4A"/>
    <w:lvl w:ilvl="0" w:tplc="43765D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414A8"/>
    <w:rsid w:val="00050EE0"/>
    <w:rsid w:val="0005634F"/>
    <w:rsid w:val="000605D8"/>
    <w:rsid w:val="00060E68"/>
    <w:rsid w:val="000612DD"/>
    <w:rsid w:val="00061EE5"/>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229A"/>
    <w:rsid w:val="00107CF9"/>
    <w:rsid w:val="00107D87"/>
    <w:rsid w:val="001111A6"/>
    <w:rsid w:val="001126C5"/>
    <w:rsid w:val="00121FAA"/>
    <w:rsid w:val="001223BD"/>
    <w:rsid w:val="001226D3"/>
    <w:rsid w:val="00132E22"/>
    <w:rsid w:val="00134E77"/>
    <w:rsid w:val="001361E1"/>
    <w:rsid w:val="0015248F"/>
    <w:rsid w:val="001534C1"/>
    <w:rsid w:val="00153551"/>
    <w:rsid w:val="00153E3D"/>
    <w:rsid w:val="001734FC"/>
    <w:rsid w:val="00174753"/>
    <w:rsid w:val="001801F2"/>
    <w:rsid w:val="00180924"/>
    <w:rsid w:val="00182CA5"/>
    <w:rsid w:val="00194A04"/>
    <w:rsid w:val="00194D0A"/>
    <w:rsid w:val="001B0214"/>
    <w:rsid w:val="001B2562"/>
    <w:rsid w:val="001C0B86"/>
    <w:rsid w:val="001D20B7"/>
    <w:rsid w:val="001D239F"/>
    <w:rsid w:val="001E017E"/>
    <w:rsid w:val="001E4278"/>
    <w:rsid w:val="001F44B1"/>
    <w:rsid w:val="001F6092"/>
    <w:rsid w:val="001F69DB"/>
    <w:rsid w:val="001F70BA"/>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56782"/>
    <w:rsid w:val="002606CF"/>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2F6A"/>
    <w:rsid w:val="002B40D5"/>
    <w:rsid w:val="002B656B"/>
    <w:rsid w:val="002C1ACA"/>
    <w:rsid w:val="002C5CE0"/>
    <w:rsid w:val="002C687F"/>
    <w:rsid w:val="002C6FF7"/>
    <w:rsid w:val="002D1781"/>
    <w:rsid w:val="002E6F00"/>
    <w:rsid w:val="002E77D4"/>
    <w:rsid w:val="002F7AF5"/>
    <w:rsid w:val="003020D1"/>
    <w:rsid w:val="003072EF"/>
    <w:rsid w:val="00316C53"/>
    <w:rsid w:val="0032026A"/>
    <w:rsid w:val="00325F44"/>
    <w:rsid w:val="00327447"/>
    <w:rsid w:val="0033203A"/>
    <w:rsid w:val="00335EFC"/>
    <w:rsid w:val="003451BB"/>
    <w:rsid w:val="00350FD9"/>
    <w:rsid w:val="00361C68"/>
    <w:rsid w:val="003737E3"/>
    <w:rsid w:val="0037704F"/>
    <w:rsid w:val="003811A3"/>
    <w:rsid w:val="00392E60"/>
    <w:rsid w:val="00397DE9"/>
    <w:rsid w:val="003A49AE"/>
    <w:rsid w:val="003A4B55"/>
    <w:rsid w:val="003A6077"/>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BED"/>
    <w:rsid w:val="00411EE4"/>
    <w:rsid w:val="00414594"/>
    <w:rsid w:val="004148DE"/>
    <w:rsid w:val="004150BF"/>
    <w:rsid w:val="00416ABD"/>
    <w:rsid w:val="00417347"/>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B4FBD"/>
    <w:rsid w:val="004C06DB"/>
    <w:rsid w:val="004C1598"/>
    <w:rsid w:val="004C5FEB"/>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68F6"/>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030B"/>
    <w:rsid w:val="005B15FC"/>
    <w:rsid w:val="005B787C"/>
    <w:rsid w:val="005C18A4"/>
    <w:rsid w:val="005C2E1A"/>
    <w:rsid w:val="005D2A27"/>
    <w:rsid w:val="005D441A"/>
    <w:rsid w:val="005D4C1C"/>
    <w:rsid w:val="005D549D"/>
    <w:rsid w:val="005E40BF"/>
    <w:rsid w:val="005F29C7"/>
    <w:rsid w:val="00600512"/>
    <w:rsid w:val="00602985"/>
    <w:rsid w:val="00606931"/>
    <w:rsid w:val="006112BD"/>
    <w:rsid w:val="0061208C"/>
    <w:rsid w:val="006129DC"/>
    <w:rsid w:val="00612EA1"/>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52FC"/>
    <w:rsid w:val="00687EDB"/>
    <w:rsid w:val="00690BE0"/>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068C"/>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11BE"/>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44553"/>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B61CC"/>
    <w:rsid w:val="008C3203"/>
    <w:rsid w:val="008D575A"/>
    <w:rsid w:val="008E0603"/>
    <w:rsid w:val="008E3CC8"/>
    <w:rsid w:val="008E49A8"/>
    <w:rsid w:val="008E4F69"/>
    <w:rsid w:val="008E5222"/>
    <w:rsid w:val="008F0C72"/>
    <w:rsid w:val="008F68E5"/>
    <w:rsid w:val="00901C47"/>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3DC7"/>
    <w:rsid w:val="0094442E"/>
    <w:rsid w:val="0094726F"/>
    <w:rsid w:val="009503BF"/>
    <w:rsid w:val="00950A06"/>
    <w:rsid w:val="0095135F"/>
    <w:rsid w:val="00951F16"/>
    <w:rsid w:val="00953B2C"/>
    <w:rsid w:val="009552AF"/>
    <w:rsid w:val="00960518"/>
    <w:rsid w:val="009616D3"/>
    <w:rsid w:val="00961EAE"/>
    <w:rsid w:val="0096391A"/>
    <w:rsid w:val="009641A1"/>
    <w:rsid w:val="009647ED"/>
    <w:rsid w:val="00975F93"/>
    <w:rsid w:val="00976C3D"/>
    <w:rsid w:val="009774DA"/>
    <w:rsid w:val="0098470F"/>
    <w:rsid w:val="00984C11"/>
    <w:rsid w:val="0098725A"/>
    <w:rsid w:val="00990468"/>
    <w:rsid w:val="009939FD"/>
    <w:rsid w:val="00993AC2"/>
    <w:rsid w:val="009965BC"/>
    <w:rsid w:val="009A3C30"/>
    <w:rsid w:val="009A4B0A"/>
    <w:rsid w:val="009B08FF"/>
    <w:rsid w:val="009B7E16"/>
    <w:rsid w:val="009C37CA"/>
    <w:rsid w:val="009C4BB6"/>
    <w:rsid w:val="009C5C16"/>
    <w:rsid w:val="009D3410"/>
    <w:rsid w:val="009D5D72"/>
    <w:rsid w:val="009D74D5"/>
    <w:rsid w:val="009D74E8"/>
    <w:rsid w:val="009E0FDA"/>
    <w:rsid w:val="009E3EB1"/>
    <w:rsid w:val="009E7478"/>
    <w:rsid w:val="009E754D"/>
    <w:rsid w:val="00A00B0B"/>
    <w:rsid w:val="00A051E6"/>
    <w:rsid w:val="00A06888"/>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2AC3"/>
    <w:rsid w:val="00A66B49"/>
    <w:rsid w:val="00A70130"/>
    <w:rsid w:val="00A76401"/>
    <w:rsid w:val="00A90E71"/>
    <w:rsid w:val="00A9242D"/>
    <w:rsid w:val="00AA2C71"/>
    <w:rsid w:val="00AA3D1A"/>
    <w:rsid w:val="00AA5E92"/>
    <w:rsid w:val="00AA7D2D"/>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9758F"/>
    <w:rsid w:val="00BA079A"/>
    <w:rsid w:val="00BA0FBC"/>
    <w:rsid w:val="00BA160C"/>
    <w:rsid w:val="00BA1B2D"/>
    <w:rsid w:val="00BA2088"/>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452D"/>
    <w:rsid w:val="00C46ECD"/>
    <w:rsid w:val="00C5118E"/>
    <w:rsid w:val="00C62259"/>
    <w:rsid w:val="00C630BC"/>
    <w:rsid w:val="00C7208F"/>
    <w:rsid w:val="00C74963"/>
    <w:rsid w:val="00C74F9C"/>
    <w:rsid w:val="00C80229"/>
    <w:rsid w:val="00C83217"/>
    <w:rsid w:val="00C86B43"/>
    <w:rsid w:val="00C87DF6"/>
    <w:rsid w:val="00C90476"/>
    <w:rsid w:val="00C97967"/>
    <w:rsid w:val="00C97E53"/>
    <w:rsid w:val="00CA4C82"/>
    <w:rsid w:val="00CA5D56"/>
    <w:rsid w:val="00CB4B13"/>
    <w:rsid w:val="00CB4FF8"/>
    <w:rsid w:val="00CB60FE"/>
    <w:rsid w:val="00CB72DC"/>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258F"/>
    <w:rsid w:val="00D27265"/>
    <w:rsid w:val="00D32011"/>
    <w:rsid w:val="00D32DAA"/>
    <w:rsid w:val="00D35DD7"/>
    <w:rsid w:val="00D368AF"/>
    <w:rsid w:val="00D463D6"/>
    <w:rsid w:val="00D472BE"/>
    <w:rsid w:val="00D505B7"/>
    <w:rsid w:val="00D52417"/>
    <w:rsid w:val="00D53160"/>
    <w:rsid w:val="00D56351"/>
    <w:rsid w:val="00D57F9F"/>
    <w:rsid w:val="00D66808"/>
    <w:rsid w:val="00D7158A"/>
    <w:rsid w:val="00D727BA"/>
    <w:rsid w:val="00D76B0A"/>
    <w:rsid w:val="00D86B11"/>
    <w:rsid w:val="00D95043"/>
    <w:rsid w:val="00DA3ED5"/>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532D"/>
    <w:rsid w:val="00E16485"/>
    <w:rsid w:val="00E247AD"/>
    <w:rsid w:val="00E26CD0"/>
    <w:rsid w:val="00E30A22"/>
    <w:rsid w:val="00E34038"/>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27C1B"/>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uiPriority w:val="99"/>
    <w:rsid w:val="004F1BDF"/>
    <w:pPr>
      <w:tabs>
        <w:tab w:val="center" w:pos="4513"/>
        <w:tab w:val="right" w:pos="9026"/>
      </w:tabs>
    </w:pPr>
  </w:style>
  <w:style w:type="character" w:customStyle="1" w:styleId="FooterChar">
    <w:name w:val="Footer Char"/>
    <w:link w:val="Footer"/>
    <w:uiPriority w:val="99"/>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FootnoteText">
    <w:name w:val="footnote text"/>
    <w:basedOn w:val="Normal"/>
    <w:link w:val="FootnoteTextChar"/>
    <w:rsid w:val="00E26CD0"/>
    <w:rPr>
      <w:sz w:val="20"/>
      <w:szCs w:val="20"/>
    </w:rPr>
  </w:style>
  <w:style w:type="character" w:customStyle="1" w:styleId="FootnoteTextChar">
    <w:name w:val="Footnote Text Char"/>
    <w:link w:val="FootnoteText"/>
    <w:rsid w:val="00E26CD0"/>
    <w:rPr>
      <w:lang w:eastAsia="en-US"/>
    </w:rPr>
  </w:style>
  <w:style w:type="character" w:styleId="FootnoteReference">
    <w:name w:val="footnote reference"/>
    <w:rsid w:val="00E26CD0"/>
    <w:rPr>
      <w:vertAlign w:val="superscript"/>
    </w:rPr>
  </w:style>
  <w:style w:type="paragraph" w:styleId="ColorfulList-Accent1">
    <w:name w:val="Colorful List Accent 1"/>
    <w:aliases w:val="Dot pt,No Spacing1,List Paragraph Char Char Char,Indicator Text,Numbered Para 1,List Paragraph1,Bullet Points,MAIN CONTENT,List Paragraph12,List Paragraph11,OBC Bullet,F5 List Paragraph,Colorful List - Accent 11,Bullet 1"/>
    <w:basedOn w:val="Normal"/>
    <w:link w:val="ColorfulList-Accent1Char"/>
    <w:uiPriority w:val="34"/>
    <w:qFormat/>
    <w:rsid w:val="002606CF"/>
    <w:pPr>
      <w:spacing w:after="160" w:line="259" w:lineRule="auto"/>
      <w:ind w:left="720"/>
      <w:contextualSpacing/>
    </w:pPr>
    <w:rPr>
      <w:rFonts w:ascii="Calibri" w:eastAsia="Calibri" w:hAnsi="Calibri"/>
      <w:sz w:val="22"/>
      <w:szCs w:val="22"/>
      <w:lang w:val="en-GB"/>
    </w:rPr>
  </w:style>
  <w:style w:type="character" w:customStyle="1" w:styleId="ColorfulList-Accent1Char">
    <w:name w:val="Colorful List - Accent 1 Char"/>
    <w:aliases w:val="Dot pt Char,No Spacing1 Char,List Paragraph Char Char Char Char,Indicator Text Char,Numbered Para 1 Char,List Paragraph1 Char,Bullet Points Char,MAIN CONTENT Char,List Paragraph12 Char,List Paragraph11 Char,OBC Bullet Char"/>
    <w:link w:val="ColorfulList-Accent1"/>
    <w:uiPriority w:val="34"/>
    <w:qFormat/>
    <w:locked/>
    <w:rsid w:val="002606CF"/>
    <w:rPr>
      <w:rFonts w:ascii="Calibri" w:eastAsia="Calibri" w:hAnsi="Calibri"/>
      <w:sz w:val="22"/>
      <w:szCs w:val="22"/>
      <w:lang w:val="en-GB" w:eastAsia="en-US"/>
    </w:rPr>
  </w:style>
  <w:style w:type="character" w:customStyle="1" w:styleId="DEANormalChar">
    <w:name w:val="DEA Normal Char"/>
    <w:link w:val="DEANormal"/>
    <w:rsid w:val="002606CF"/>
    <w:rPr>
      <w:rFonts w:ascii="Arial Narrow" w:hAnsi="Arial Narrow"/>
      <w:sz w:val="24"/>
    </w:rPr>
  </w:style>
  <w:style w:type="paragraph" w:customStyle="1" w:styleId="DEANormal">
    <w:name w:val="DEA Normal"/>
    <w:basedOn w:val="Normal"/>
    <w:link w:val="DEANormalChar"/>
    <w:qFormat/>
    <w:rsid w:val="002606CF"/>
    <w:pPr>
      <w:spacing w:before="240" w:after="200" w:line="276" w:lineRule="auto"/>
      <w:jc w:val="both"/>
    </w:pPr>
    <w:rPr>
      <w:rFonts w:ascii="Arial Narrow" w:hAnsi="Arial Narrow"/>
      <w:szCs w:val="20"/>
      <w:lang w:eastAsia="en-ZA"/>
    </w:rPr>
  </w:style>
  <w:style w:type="paragraph" w:styleId="Caption">
    <w:name w:val="caption"/>
    <w:basedOn w:val="Normal"/>
    <w:next w:val="Normal"/>
    <w:link w:val="CaptionChar"/>
    <w:uiPriority w:val="35"/>
    <w:qFormat/>
    <w:rsid w:val="002606CF"/>
    <w:pPr>
      <w:spacing w:before="120" w:after="120"/>
      <w:jc w:val="center"/>
    </w:pPr>
    <w:rPr>
      <w:rFonts w:ascii="Calibri" w:hAnsi="Calibri"/>
      <w:b/>
      <w:sz w:val="20"/>
      <w:szCs w:val="20"/>
    </w:rPr>
  </w:style>
  <w:style w:type="character" w:customStyle="1" w:styleId="CaptionChar">
    <w:name w:val="Caption Char"/>
    <w:link w:val="Caption"/>
    <w:uiPriority w:val="35"/>
    <w:rsid w:val="002606CF"/>
    <w:rPr>
      <w:rFonts w:ascii="Calibri" w:hAnsi="Calibri"/>
      <w:b/>
      <w:lang w:eastAsia="en-US"/>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743645361">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83D7-81F4-48DC-B84B-BAAFB9F3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2017-08-22T10:41:00Z</cp:lastPrinted>
  <dcterms:created xsi:type="dcterms:W3CDTF">2017-09-01T07:56:00Z</dcterms:created>
  <dcterms:modified xsi:type="dcterms:W3CDTF">2017-09-01T07:56:00Z</dcterms:modified>
</cp:coreProperties>
</file>