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F01C3D" w:rsidRDefault="00CE323E" w:rsidP="002C0C62">
      <w:pPr>
        <w:jc w:val="center"/>
        <w:rPr>
          <w:rFonts w:ascii="Arial" w:hAnsi="Arial" w:cs="Arial"/>
          <w:sz w:val="24"/>
          <w:szCs w:val="24"/>
        </w:rPr>
      </w:pPr>
      <w:r w:rsidRPr="00F01C3D">
        <w:rPr>
          <w:rFonts w:ascii="Arial" w:hAnsi="Arial" w:cs="Arial"/>
          <w:noProof/>
          <w:sz w:val="24"/>
          <w:szCs w:val="24"/>
          <w:lang w:val="en-US"/>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F01C3D" w:rsidRDefault="00C3677B" w:rsidP="002C0C62">
      <w:pPr>
        <w:spacing w:after="120" w:line="240" w:lineRule="auto"/>
        <w:jc w:val="center"/>
        <w:rPr>
          <w:rFonts w:ascii="Arial" w:hAnsi="Arial" w:cs="Arial"/>
          <w:sz w:val="24"/>
          <w:szCs w:val="24"/>
        </w:rPr>
      </w:pPr>
      <w:r w:rsidRPr="00F01C3D">
        <w:rPr>
          <w:rFonts w:ascii="Arial" w:hAnsi="Arial" w:cs="Arial"/>
          <w:sz w:val="24"/>
          <w:szCs w:val="24"/>
        </w:rPr>
        <w:t>Private Bag X893, Pretoria, 0001, Tel (012) 312 5555, Fax (012) 323 5618</w:t>
      </w:r>
    </w:p>
    <w:p w:rsidR="006B438D" w:rsidRPr="00F01C3D" w:rsidRDefault="00C3677B" w:rsidP="002C0C62">
      <w:pPr>
        <w:spacing w:after="120" w:line="240" w:lineRule="auto"/>
        <w:jc w:val="center"/>
        <w:rPr>
          <w:rFonts w:ascii="Arial" w:hAnsi="Arial" w:cs="Arial"/>
          <w:sz w:val="24"/>
          <w:szCs w:val="24"/>
        </w:rPr>
      </w:pPr>
      <w:r w:rsidRPr="00F01C3D">
        <w:rPr>
          <w:rFonts w:ascii="Arial" w:hAnsi="Arial" w:cs="Arial"/>
          <w:sz w:val="24"/>
          <w:szCs w:val="24"/>
        </w:rPr>
        <w:t>Private Bag X9192, Cape Town, 8000, Tel (021) 46</w:t>
      </w:r>
      <w:r w:rsidR="00EA2661" w:rsidRPr="00F01C3D">
        <w:rPr>
          <w:rFonts w:ascii="Arial" w:hAnsi="Arial" w:cs="Arial"/>
          <w:sz w:val="24"/>
          <w:szCs w:val="24"/>
        </w:rPr>
        <w:t>9</w:t>
      </w:r>
      <w:r w:rsidRPr="00F01C3D">
        <w:rPr>
          <w:rFonts w:ascii="Arial" w:hAnsi="Arial" w:cs="Arial"/>
          <w:sz w:val="24"/>
          <w:szCs w:val="24"/>
        </w:rPr>
        <w:t xml:space="preserve"> 5</w:t>
      </w:r>
      <w:r w:rsidR="00EA2661" w:rsidRPr="00F01C3D">
        <w:rPr>
          <w:rFonts w:ascii="Arial" w:hAnsi="Arial" w:cs="Arial"/>
          <w:sz w:val="24"/>
          <w:szCs w:val="24"/>
        </w:rPr>
        <w:t>150</w:t>
      </w:r>
      <w:r w:rsidRPr="00F01C3D">
        <w:rPr>
          <w:rFonts w:ascii="Arial" w:hAnsi="Arial" w:cs="Arial"/>
          <w:sz w:val="24"/>
          <w:szCs w:val="24"/>
        </w:rPr>
        <w:t>, Fax: (021) 465 7956</w:t>
      </w:r>
    </w:p>
    <w:p w:rsidR="00C3677B" w:rsidRPr="00F01C3D"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F01C3D">
        <w:rPr>
          <w:rFonts w:ascii="Arial" w:hAnsi="Arial" w:cs="Arial"/>
          <w:b/>
          <w:bCs/>
          <w:sz w:val="24"/>
          <w:szCs w:val="24"/>
          <w:lang w:val="en-ZA"/>
        </w:rPr>
        <w:tab/>
        <w:t>Memorandum from the Parliamentary Office</w:t>
      </w:r>
    </w:p>
    <w:p w:rsidR="001915DA" w:rsidRPr="00F01C3D" w:rsidRDefault="001915DA" w:rsidP="00DD6D16">
      <w:pPr>
        <w:jc w:val="center"/>
        <w:rPr>
          <w:rFonts w:ascii="Arial" w:hAnsi="Arial" w:cs="Arial"/>
          <w:b/>
          <w:bCs/>
          <w:sz w:val="24"/>
          <w:szCs w:val="24"/>
        </w:rPr>
      </w:pPr>
      <w:r w:rsidRPr="00F01C3D">
        <w:rPr>
          <w:rFonts w:ascii="Arial" w:hAnsi="Arial" w:cs="Arial"/>
          <w:b/>
          <w:bCs/>
          <w:sz w:val="24"/>
          <w:szCs w:val="24"/>
          <w:lang w:val="en-ZA"/>
        </w:rPr>
        <w:t>NATIONAL ASSEMBLY</w:t>
      </w:r>
      <w:r w:rsidRPr="00F01C3D">
        <w:rPr>
          <w:rFonts w:ascii="Arial" w:hAnsi="Arial" w:cs="Arial"/>
          <w:b/>
          <w:bCs/>
          <w:sz w:val="24"/>
          <w:szCs w:val="24"/>
        </w:rPr>
        <w:t xml:space="preserve"> </w:t>
      </w:r>
    </w:p>
    <w:p w:rsidR="00C3677B" w:rsidRPr="00F01C3D" w:rsidRDefault="00C3677B" w:rsidP="00DD6D16">
      <w:pPr>
        <w:jc w:val="center"/>
        <w:rPr>
          <w:rFonts w:ascii="Arial" w:hAnsi="Arial" w:cs="Arial"/>
          <w:b/>
          <w:bCs/>
          <w:sz w:val="24"/>
          <w:szCs w:val="24"/>
        </w:rPr>
      </w:pPr>
      <w:r w:rsidRPr="00F01C3D">
        <w:rPr>
          <w:rFonts w:ascii="Arial" w:hAnsi="Arial" w:cs="Arial"/>
          <w:b/>
          <w:bCs/>
          <w:sz w:val="24"/>
          <w:szCs w:val="24"/>
        </w:rPr>
        <w:t xml:space="preserve">FOR </w:t>
      </w:r>
      <w:r w:rsidR="00AA246C" w:rsidRPr="00F01C3D">
        <w:rPr>
          <w:rFonts w:ascii="Arial" w:hAnsi="Arial" w:cs="Arial"/>
          <w:b/>
          <w:bCs/>
          <w:sz w:val="24"/>
          <w:szCs w:val="24"/>
        </w:rPr>
        <w:t>WRITTEN</w:t>
      </w:r>
      <w:r w:rsidRPr="00F01C3D">
        <w:rPr>
          <w:rFonts w:ascii="Arial" w:hAnsi="Arial" w:cs="Arial"/>
          <w:b/>
          <w:bCs/>
          <w:sz w:val="24"/>
          <w:szCs w:val="24"/>
        </w:rPr>
        <w:t xml:space="preserve"> REPLY</w:t>
      </w:r>
    </w:p>
    <w:p w:rsidR="00C3677B" w:rsidRPr="00F01C3D" w:rsidRDefault="00C654A2" w:rsidP="00DD6D16">
      <w:pPr>
        <w:jc w:val="center"/>
        <w:rPr>
          <w:rFonts w:ascii="Arial" w:hAnsi="Arial" w:cs="Arial"/>
          <w:b/>
          <w:bCs/>
          <w:sz w:val="24"/>
          <w:szCs w:val="24"/>
        </w:rPr>
      </w:pPr>
      <w:r w:rsidRPr="00F01C3D">
        <w:rPr>
          <w:rFonts w:ascii="Arial" w:hAnsi="Arial" w:cs="Arial"/>
          <w:b/>
          <w:bCs/>
          <w:sz w:val="24"/>
          <w:szCs w:val="24"/>
        </w:rPr>
        <w:t xml:space="preserve">QUESTION </w:t>
      </w:r>
      <w:r w:rsidR="009E4177" w:rsidRPr="00F01C3D">
        <w:rPr>
          <w:rFonts w:ascii="Arial" w:hAnsi="Arial" w:cs="Arial"/>
          <w:b/>
          <w:bCs/>
          <w:sz w:val="24"/>
          <w:szCs w:val="24"/>
        </w:rPr>
        <w:t>22</w:t>
      </w:r>
      <w:r w:rsidR="009577F8" w:rsidRPr="00F01C3D">
        <w:rPr>
          <w:rFonts w:ascii="Arial" w:hAnsi="Arial" w:cs="Arial"/>
          <w:b/>
          <w:bCs/>
          <w:sz w:val="24"/>
          <w:szCs w:val="24"/>
        </w:rPr>
        <w:t>9</w:t>
      </w:r>
    </w:p>
    <w:p w:rsidR="00C3677B" w:rsidRPr="00F01C3D" w:rsidRDefault="00C3677B" w:rsidP="00DD6D16">
      <w:pPr>
        <w:jc w:val="center"/>
        <w:rPr>
          <w:rFonts w:ascii="Arial" w:hAnsi="Arial" w:cs="Arial"/>
          <w:b/>
          <w:bCs/>
          <w:sz w:val="24"/>
          <w:szCs w:val="24"/>
          <w:u w:val="single"/>
        </w:rPr>
      </w:pPr>
      <w:r w:rsidRPr="00F01C3D">
        <w:rPr>
          <w:rFonts w:ascii="Arial" w:hAnsi="Arial" w:cs="Arial"/>
          <w:b/>
          <w:bCs/>
          <w:sz w:val="24"/>
          <w:szCs w:val="24"/>
          <w:u w:val="single"/>
        </w:rPr>
        <w:t>DATE OF PUBLICATIO</w:t>
      </w:r>
      <w:r w:rsidR="009B0E09" w:rsidRPr="00F01C3D">
        <w:rPr>
          <w:rFonts w:ascii="Arial" w:hAnsi="Arial" w:cs="Arial"/>
          <w:b/>
          <w:bCs/>
          <w:sz w:val="24"/>
          <w:szCs w:val="24"/>
          <w:u w:val="single"/>
        </w:rPr>
        <w:t xml:space="preserve">N OF INTERNAL QUESTION PAPER: </w:t>
      </w:r>
      <w:r w:rsidR="001915DA" w:rsidRPr="00F01C3D">
        <w:rPr>
          <w:rFonts w:ascii="Arial" w:hAnsi="Arial" w:cs="Arial"/>
          <w:b/>
          <w:bCs/>
          <w:sz w:val="24"/>
          <w:szCs w:val="24"/>
          <w:u w:val="single"/>
        </w:rPr>
        <w:t>16</w:t>
      </w:r>
      <w:r w:rsidR="00E103E5" w:rsidRPr="00F01C3D">
        <w:rPr>
          <w:rFonts w:ascii="Arial" w:hAnsi="Arial" w:cs="Arial"/>
          <w:b/>
          <w:bCs/>
          <w:sz w:val="24"/>
          <w:szCs w:val="24"/>
          <w:u w:val="single"/>
        </w:rPr>
        <w:t>/</w:t>
      </w:r>
      <w:r w:rsidR="002C0C62" w:rsidRPr="00F01C3D">
        <w:rPr>
          <w:rFonts w:ascii="Arial" w:hAnsi="Arial" w:cs="Arial"/>
          <w:b/>
          <w:bCs/>
          <w:sz w:val="24"/>
          <w:szCs w:val="24"/>
          <w:u w:val="single"/>
        </w:rPr>
        <w:t>02</w:t>
      </w:r>
      <w:r w:rsidR="00F73D24" w:rsidRPr="00F01C3D">
        <w:rPr>
          <w:rFonts w:ascii="Arial" w:hAnsi="Arial" w:cs="Arial"/>
          <w:b/>
          <w:bCs/>
          <w:sz w:val="24"/>
          <w:szCs w:val="24"/>
          <w:u w:val="single"/>
        </w:rPr>
        <w:t>/201</w:t>
      </w:r>
      <w:r w:rsidR="002C0C62" w:rsidRPr="00F01C3D">
        <w:rPr>
          <w:rFonts w:ascii="Arial" w:hAnsi="Arial" w:cs="Arial"/>
          <w:b/>
          <w:bCs/>
          <w:sz w:val="24"/>
          <w:szCs w:val="24"/>
          <w:u w:val="single"/>
        </w:rPr>
        <w:t>8</w:t>
      </w:r>
    </w:p>
    <w:p w:rsidR="00F177A6" w:rsidRPr="00F01C3D" w:rsidRDefault="009B0E09" w:rsidP="00491C5B">
      <w:pPr>
        <w:spacing w:before="100" w:beforeAutospacing="1" w:after="100" w:afterAutospacing="1"/>
        <w:jc w:val="center"/>
        <w:outlineLvl w:val="0"/>
        <w:rPr>
          <w:rFonts w:ascii="Arial" w:hAnsi="Arial" w:cs="Arial"/>
          <w:b/>
          <w:bCs/>
          <w:sz w:val="24"/>
          <w:szCs w:val="24"/>
          <w:u w:val="single"/>
        </w:rPr>
      </w:pPr>
      <w:r w:rsidRPr="00F01C3D">
        <w:rPr>
          <w:rFonts w:ascii="Arial" w:hAnsi="Arial" w:cs="Arial"/>
          <w:b/>
          <w:bCs/>
          <w:sz w:val="24"/>
          <w:szCs w:val="24"/>
          <w:u w:val="single"/>
        </w:rPr>
        <w:t xml:space="preserve">(INTERNAL QUESTION PAPER </w:t>
      </w:r>
      <w:r w:rsidR="002C0C62" w:rsidRPr="00F01C3D">
        <w:rPr>
          <w:rFonts w:ascii="Arial" w:hAnsi="Arial" w:cs="Arial"/>
          <w:b/>
          <w:bCs/>
          <w:sz w:val="24"/>
          <w:szCs w:val="24"/>
          <w:u w:val="single"/>
        </w:rPr>
        <w:t xml:space="preserve">NO </w:t>
      </w:r>
      <w:r w:rsidR="001915DA" w:rsidRPr="00F01C3D">
        <w:rPr>
          <w:rFonts w:ascii="Arial" w:hAnsi="Arial" w:cs="Arial"/>
          <w:b/>
          <w:bCs/>
          <w:sz w:val="24"/>
          <w:szCs w:val="24"/>
          <w:u w:val="single"/>
        </w:rPr>
        <w:t>2</w:t>
      </w:r>
      <w:r w:rsidR="008A5D41" w:rsidRPr="00F01C3D">
        <w:rPr>
          <w:rFonts w:ascii="Arial" w:hAnsi="Arial" w:cs="Arial"/>
          <w:b/>
          <w:bCs/>
          <w:sz w:val="24"/>
          <w:szCs w:val="24"/>
          <w:u w:val="single"/>
        </w:rPr>
        <w:t xml:space="preserve"> </w:t>
      </w:r>
      <w:r w:rsidR="00F73D24" w:rsidRPr="00F01C3D">
        <w:rPr>
          <w:rFonts w:ascii="Arial" w:hAnsi="Arial" w:cs="Arial"/>
          <w:b/>
          <w:bCs/>
          <w:sz w:val="24"/>
          <w:szCs w:val="24"/>
          <w:u w:val="single"/>
        </w:rPr>
        <w:t>OF 201</w:t>
      </w:r>
      <w:r w:rsidR="002C0C62" w:rsidRPr="00F01C3D">
        <w:rPr>
          <w:rFonts w:ascii="Arial" w:hAnsi="Arial" w:cs="Arial"/>
          <w:b/>
          <w:bCs/>
          <w:sz w:val="24"/>
          <w:szCs w:val="24"/>
          <w:u w:val="single"/>
        </w:rPr>
        <w:t>8</w:t>
      </w:r>
      <w:r w:rsidR="00E02103" w:rsidRPr="00F01C3D">
        <w:rPr>
          <w:rFonts w:ascii="Arial" w:hAnsi="Arial" w:cs="Arial"/>
          <w:b/>
          <w:bCs/>
          <w:sz w:val="24"/>
          <w:szCs w:val="24"/>
          <w:u w:val="single"/>
        </w:rPr>
        <w:t>)</w:t>
      </w:r>
    </w:p>
    <w:p w:rsidR="00706CA8" w:rsidRPr="00F01C3D" w:rsidRDefault="00D16EA0" w:rsidP="00706CA8">
      <w:pPr>
        <w:spacing w:before="100" w:beforeAutospacing="1" w:after="100" w:afterAutospacing="1" w:line="360" w:lineRule="auto"/>
        <w:ind w:left="851" w:hanging="851"/>
        <w:jc w:val="both"/>
        <w:rPr>
          <w:rFonts w:ascii="Arial" w:hAnsi="Arial" w:cs="Arial"/>
          <w:b/>
          <w:noProof/>
          <w:sz w:val="24"/>
          <w:szCs w:val="24"/>
          <w:lang w:val="af-ZA"/>
        </w:rPr>
      </w:pPr>
      <w:r w:rsidRPr="00F01C3D">
        <w:rPr>
          <w:rFonts w:ascii="Arial" w:hAnsi="Arial" w:cs="Arial"/>
          <w:b/>
          <w:noProof/>
          <w:sz w:val="24"/>
          <w:szCs w:val="24"/>
          <w:lang w:val="af-ZA"/>
        </w:rPr>
        <w:t xml:space="preserve">Ms N P Sonti (EFF) </w:t>
      </w:r>
      <w:r w:rsidR="002A76BD" w:rsidRPr="00F01C3D">
        <w:rPr>
          <w:rFonts w:ascii="Arial" w:hAnsi="Arial" w:cs="Arial"/>
          <w:b/>
          <w:noProof/>
          <w:sz w:val="24"/>
          <w:szCs w:val="24"/>
          <w:lang w:val="af-ZA"/>
        </w:rPr>
        <w:t>to ask the Minister of Higher Education and Training:</w:t>
      </w:r>
    </w:p>
    <w:p w:rsidR="000B5192" w:rsidRPr="00F01C3D" w:rsidRDefault="009577F8" w:rsidP="009577F8">
      <w:pPr>
        <w:spacing w:before="100" w:beforeAutospacing="1" w:after="100" w:afterAutospacing="1" w:line="360" w:lineRule="auto"/>
        <w:jc w:val="both"/>
        <w:rPr>
          <w:rFonts w:ascii="Arial" w:hAnsi="Arial" w:cs="Arial"/>
          <w:sz w:val="24"/>
          <w:szCs w:val="24"/>
        </w:rPr>
      </w:pPr>
      <w:r w:rsidRPr="00F01C3D">
        <w:rPr>
          <w:rFonts w:ascii="Arial" w:hAnsi="Arial" w:cs="Arial"/>
          <w:sz w:val="24"/>
          <w:szCs w:val="24"/>
        </w:rPr>
        <w:t>Whether the National Institute for the Humanities and Social Sciences paid any bonuses in the (a) 2014-15, (b) 2015-16 and (c) 2016-17 financial years; if so, (</w:t>
      </w:r>
      <w:proofErr w:type="spellStart"/>
      <w:r w:rsidRPr="00F01C3D">
        <w:rPr>
          <w:rFonts w:ascii="Arial" w:hAnsi="Arial" w:cs="Arial"/>
          <w:sz w:val="24"/>
          <w:szCs w:val="24"/>
        </w:rPr>
        <w:t>i</w:t>
      </w:r>
      <w:proofErr w:type="spellEnd"/>
      <w:r w:rsidRPr="00F01C3D">
        <w:rPr>
          <w:rFonts w:ascii="Arial" w:hAnsi="Arial" w:cs="Arial"/>
          <w:sz w:val="24"/>
          <w:szCs w:val="24"/>
        </w:rPr>
        <w:t>) what was the amount paid to each person in each specified financial year, (ii) for what reason was each bonus paid in each case and (iii) did the payment of each bonus comply with the cost-cutting measures and regulations of (aa) the National Treasury, (bb) her department and (cc) the Auditor-General of South Africa?</w:t>
      </w:r>
      <w:r w:rsidRPr="00F01C3D">
        <w:rPr>
          <w:rFonts w:ascii="Arial" w:hAnsi="Arial" w:cs="Arial"/>
          <w:sz w:val="24"/>
          <w:szCs w:val="24"/>
        </w:rPr>
        <w:tab/>
      </w:r>
      <w:r w:rsidR="000B5192" w:rsidRPr="00F01C3D">
        <w:rPr>
          <w:rFonts w:ascii="Arial" w:hAnsi="Arial" w:cs="Arial"/>
          <w:sz w:val="24"/>
          <w:szCs w:val="24"/>
        </w:rPr>
        <w:tab/>
      </w:r>
      <w:r w:rsidR="000B5192" w:rsidRPr="00F01C3D">
        <w:rPr>
          <w:rFonts w:ascii="Arial" w:hAnsi="Arial" w:cs="Arial"/>
          <w:sz w:val="24"/>
          <w:szCs w:val="24"/>
        </w:rPr>
        <w:tab/>
      </w:r>
      <w:r w:rsidR="000B5192" w:rsidRPr="00F01C3D">
        <w:rPr>
          <w:rFonts w:ascii="Arial" w:hAnsi="Arial" w:cs="Arial"/>
          <w:sz w:val="24"/>
          <w:szCs w:val="24"/>
        </w:rPr>
        <w:tab/>
      </w:r>
      <w:r w:rsidR="000B5192" w:rsidRPr="00F01C3D">
        <w:rPr>
          <w:rFonts w:ascii="Arial" w:hAnsi="Arial" w:cs="Arial"/>
          <w:sz w:val="24"/>
          <w:szCs w:val="24"/>
        </w:rPr>
        <w:tab/>
      </w:r>
    </w:p>
    <w:p w:rsidR="004A5705" w:rsidRPr="00F01C3D" w:rsidRDefault="000B5192" w:rsidP="00700F5C">
      <w:pPr>
        <w:spacing w:before="100" w:beforeAutospacing="1" w:after="100" w:afterAutospacing="1" w:line="360" w:lineRule="auto"/>
        <w:ind w:firstLine="8364"/>
        <w:jc w:val="both"/>
        <w:rPr>
          <w:rFonts w:ascii="Arial" w:hAnsi="Arial" w:cs="Arial"/>
          <w:sz w:val="24"/>
          <w:szCs w:val="24"/>
        </w:rPr>
      </w:pPr>
      <w:r w:rsidRPr="00F01C3D">
        <w:rPr>
          <w:rFonts w:ascii="Arial" w:hAnsi="Arial" w:cs="Arial"/>
          <w:b/>
          <w:sz w:val="24"/>
          <w:szCs w:val="24"/>
        </w:rPr>
        <w:t>NW2</w:t>
      </w:r>
      <w:r w:rsidR="009577F8" w:rsidRPr="00F01C3D">
        <w:rPr>
          <w:rFonts w:ascii="Arial" w:hAnsi="Arial" w:cs="Arial"/>
          <w:b/>
          <w:sz w:val="24"/>
          <w:szCs w:val="24"/>
        </w:rPr>
        <w:t>50</w:t>
      </w:r>
      <w:r w:rsidRPr="00F01C3D">
        <w:rPr>
          <w:rFonts w:ascii="Arial" w:hAnsi="Arial" w:cs="Arial"/>
          <w:b/>
          <w:sz w:val="24"/>
          <w:szCs w:val="24"/>
        </w:rPr>
        <w:t>E</w:t>
      </w:r>
    </w:p>
    <w:p w:rsidR="001915DA" w:rsidRPr="00F01C3D" w:rsidRDefault="001915DA">
      <w:pPr>
        <w:spacing w:after="0" w:line="240" w:lineRule="auto"/>
        <w:rPr>
          <w:rFonts w:ascii="Arial" w:hAnsi="Arial" w:cs="Arial"/>
          <w:b/>
          <w:sz w:val="24"/>
          <w:szCs w:val="24"/>
        </w:rPr>
      </w:pPr>
      <w:r w:rsidRPr="00F01C3D">
        <w:rPr>
          <w:rFonts w:ascii="Arial" w:hAnsi="Arial" w:cs="Arial"/>
          <w:b/>
          <w:sz w:val="24"/>
          <w:szCs w:val="24"/>
        </w:rPr>
        <w:br w:type="page"/>
      </w:r>
    </w:p>
    <w:p w:rsidR="00F01C3D" w:rsidRPr="00F01C3D" w:rsidRDefault="00F01C3D" w:rsidP="00F01C3D">
      <w:pPr>
        <w:spacing w:before="100" w:beforeAutospacing="1" w:after="100" w:afterAutospacing="1" w:line="360" w:lineRule="auto"/>
        <w:jc w:val="both"/>
        <w:rPr>
          <w:rFonts w:ascii="Arial" w:hAnsi="Arial" w:cs="Arial"/>
          <w:b/>
          <w:sz w:val="24"/>
          <w:szCs w:val="24"/>
        </w:rPr>
      </w:pPr>
      <w:r w:rsidRPr="00F01C3D">
        <w:rPr>
          <w:rFonts w:ascii="Arial" w:hAnsi="Arial" w:cs="Arial"/>
          <w:b/>
          <w:sz w:val="24"/>
          <w:szCs w:val="24"/>
        </w:rPr>
        <w:lastRenderedPageBreak/>
        <w:t>REPLY:</w:t>
      </w:r>
    </w:p>
    <w:p w:rsidR="008829D5" w:rsidRDefault="008829D5" w:rsidP="00E7619B">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F01C3D" w:rsidRPr="00F01C3D" w:rsidRDefault="00F01C3D" w:rsidP="00E7619B">
      <w:pPr>
        <w:pStyle w:val="ListParagraph"/>
        <w:numPr>
          <w:ilvl w:val="0"/>
          <w:numId w:val="20"/>
        </w:numPr>
        <w:spacing w:after="240" w:line="360" w:lineRule="auto"/>
        <w:ind w:left="709" w:hanging="709"/>
        <w:contextualSpacing w:val="0"/>
        <w:jc w:val="both"/>
        <w:rPr>
          <w:rFonts w:ascii="Arial" w:hAnsi="Arial" w:cs="Arial"/>
          <w:sz w:val="24"/>
          <w:szCs w:val="24"/>
        </w:rPr>
      </w:pPr>
      <w:r w:rsidRPr="00F01C3D">
        <w:rPr>
          <w:rFonts w:ascii="Arial" w:hAnsi="Arial" w:cs="Arial"/>
          <w:sz w:val="24"/>
          <w:szCs w:val="24"/>
        </w:rPr>
        <w:t>No, the NIHSS did not pay bonuses for the 2014-15 financial year</w:t>
      </w:r>
    </w:p>
    <w:p w:rsidR="007F0149" w:rsidRDefault="00F01C3D" w:rsidP="00E7619B">
      <w:pPr>
        <w:pStyle w:val="ListParagraph"/>
        <w:numPr>
          <w:ilvl w:val="0"/>
          <w:numId w:val="20"/>
        </w:numPr>
        <w:spacing w:after="240" w:line="360" w:lineRule="auto"/>
        <w:ind w:left="709" w:hanging="709"/>
        <w:contextualSpacing w:val="0"/>
        <w:jc w:val="both"/>
        <w:rPr>
          <w:rFonts w:ascii="Arial" w:hAnsi="Arial" w:cs="Arial"/>
          <w:sz w:val="24"/>
          <w:szCs w:val="24"/>
        </w:rPr>
      </w:pPr>
      <w:r w:rsidRPr="00F01C3D">
        <w:rPr>
          <w:rFonts w:ascii="Arial" w:hAnsi="Arial" w:cs="Arial"/>
          <w:sz w:val="24"/>
          <w:szCs w:val="24"/>
        </w:rPr>
        <w:t>No, the NIHSS did not pay bonuses for the 2015-16 financial year</w:t>
      </w:r>
    </w:p>
    <w:p w:rsidR="007F0149" w:rsidRPr="00E7619B" w:rsidRDefault="00E7619B" w:rsidP="005B43C9">
      <w:pPr>
        <w:tabs>
          <w:tab w:val="left" w:pos="284"/>
        </w:tabs>
        <w:spacing w:after="240" w:line="360" w:lineRule="auto"/>
        <w:ind w:left="709" w:hanging="709"/>
        <w:jc w:val="both"/>
        <w:rPr>
          <w:rFonts w:ascii="Arial" w:hAnsi="Arial" w:cs="Arial"/>
          <w:sz w:val="24"/>
          <w:szCs w:val="24"/>
        </w:rPr>
      </w:pPr>
      <w:r>
        <w:rPr>
          <w:rFonts w:ascii="Arial" w:hAnsi="Arial" w:cs="Arial"/>
          <w:bCs/>
          <w:sz w:val="24"/>
          <w:szCs w:val="24"/>
        </w:rPr>
        <w:t>(c)</w:t>
      </w:r>
      <w:r w:rsidR="005B43C9">
        <w:rPr>
          <w:rFonts w:ascii="Arial" w:hAnsi="Arial" w:cs="Arial"/>
          <w:bCs/>
          <w:sz w:val="24"/>
          <w:szCs w:val="24"/>
        </w:rPr>
        <w:tab/>
      </w:r>
      <w:r>
        <w:rPr>
          <w:rFonts w:ascii="Arial" w:hAnsi="Arial" w:cs="Arial"/>
          <w:bCs/>
          <w:sz w:val="24"/>
          <w:szCs w:val="24"/>
        </w:rPr>
        <w:t>(</w:t>
      </w:r>
      <w:proofErr w:type="spellStart"/>
      <w:r>
        <w:rPr>
          <w:rFonts w:ascii="Arial" w:hAnsi="Arial" w:cs="Arial"/>
          <w:bCs/>
          <w:sz w:val="24"/>
          <w:szCs w:val="24"/>
        </w:rPr>
        <w:t>i</w:t>
      </w:r>
      <w:proofErr w:type="spellEnd"/>
      <w:r>
        <w:rPr>
          <w:rFonts w:ascii="Arial" w:hAnsi="Arial" w:cs="Arial"/>
          <w:bCs/>
          <w:sz w:val="24"/>
          <w:szCs w:val="24"/>
        </w:rPr>
        <w:t>)</w:t>
      </w:r>
      <w:r>
        <w:rPr>
          <w:rFonts w:ascii="Arial" w:hAnsi="Arial" w:cs="Arial"/>
          <w:bCs/>
          <w:sz w:val="24"/>
          <w:szCs w:val="24"/>
        </w:rPr>
        <w:tab/>
      </w:r>
      <w:r w:rsidR="007F0149" w:rsidRPr="007F0149">
        <w:rPr>
          <w:rFonts w:ascii="Arial" w:hAnsi="Arial" w:cs="Arial"/>
          <w:bCs/>
          <w:sz w:val="24"/>
          <w:szCs w:val="24"/>
        </w:rPr>
        <w:t>For the year 2016/17, a total amount of R624 86</w:t>
      </w:r>
      <w:r w:rsidR="005B43C9">
        <w:rPr>
          <w:rFonts w:ascii="Arial" w:hAnsi="Arial" w:cs="Arial"/>
          <w:bCs/>
          <w:sz w:val="24"/>
          <w:szCs w:val="24"/>
        </w:rPr>
        <w:t xml:space="preserve">5, 87 was paid in bonuses to 25 </w:t>
      </w:r>
      <w:r w:rsidR="007F0149" w:rsidRPr="007F0149">
        <w:rPr>
          <w:rFonts w:ascii="Arial" w:hAnsi="Arial" w:cs="Arial"/>
          <w:bCs/>
          <w:sz w:val="24"/>
          <w:szCs w:val="24"/>
        </w:rPr>
        <w:t>persons employed or appointed at the National Institute for the Humanities and Social Sciences. The breakdown is as follows:</w:t>
      </w:r>
    </w:p>
    <w:tbl>
      <w:tblPr>
        <w:tblStyle w:val="TableGrid1"/>
        <w:tblW w:w="2268" w:type="dxa"/>
        <w:tblInd w:w="1271" w:type="dxa"/>
        <w:tblLayout w:type="fixed"/>
        <w:tblLook w:val="04A0" w:firstRow="1" w:lastRow="0" w:firstColumn="1" w:lastColumn="0" w:noHBand="0" w:noVBand="1"/>
      </w:tblPr>
      <w:tblGrid>
        <w:gridCol w:w="2268"/>
      </w:tblGrid>
      <w:tr w:rsidR="007F0149" w:rsidRPr="007F0149" w:rsidTr="00E7619B">
        <w:tc>
          <w:tcPr>
            <w:tcW w:w="2268" w:type="dxa"/>
          </w:tcPr>
          <w:p w:rsidR="007F0149" w:rsidRPr="007F0149" w:rsidRDefault="007F0149" w:rsidP="00C1095D">
            <w:pPr>
              <w:tabs>
                <w:tab w:val="left" w:pos="1134"/>
                <w:tab w:val="left" w:pos="2336"/>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94 000.63</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48 212.04</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38 367.41</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46 040.89</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84 119.91</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16 737.33</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11 414.74</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14 268.42</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29 597.65</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7 555.65</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15 531.56</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 xml:space="preserve">12 942.97 </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6 194.99</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6 253.42</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3 495.17</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12 035.64</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47 247.00</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24 589.91</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22 054.45</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47 242.00</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24 589.91</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22 054.45</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18 221.61</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4 326.27</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10 096.50</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39 375.00</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3 020.06</w:t>
            </w:r>
          </w:p>
        </w:tc>
      </w:tr>
      <w:tr w:rsidR="007F0149" w:rsidRPr="007F0149" w:rsidTr="00E7619B">
        <w:tc>
          <w:tcPr>
            <w:tcW w:w="2268" w:type="dxa"/>
          </w:tcPr>
          <w:p w:rsidR="007F0149" w:rsidRPr="007F0149" w:rsidRDefault="007F0149" w:rsidP="00C1095D">
            <w:pPr>
              <w:tabs>
                <w:tab w:val="left" w:pos="1134"/>
              </w:tabs>
              <w:spacing w:after="0" w:line="240" w:lineRule="auto"/>
              <w:jc w:val="right"/>
              <w:rPr>
                <w:rFonts w:ascii="Arial" w:hAnsi="Arial" w:cs="Arial"/>
                <w:bCs/>
                <w:sz w:val="24"/>
                <w:szCs w:val="24"/>
                <w:lang w:val="en-ZA" w:eastAsia="en-ZA"/>
              </w:rPr>
            </w:pPr>
            <w:r w:rsidRPr="007F0149">
              <w:rPr>
                <w:rFonts w:ascii="Arial" w:hAnsi="Arial" w:cs="Arial"/>
                <w:bCs/>
                <w:sz w:val="24"/>
                <w:szCs w:val="24"/>
                <w:lang w:val="en-ZA" w:eastAsia="en-ZA"/>
              </w:rPr>
              <w:t>9 166.67</w:t>
            </w:r>
          </w:p>
        </w:tc>
      </w:tr>
      <w:tr w:rsidR="007F0149" w:rsidRPr="007F0149" w:rsidTr="00E7619B">
        <w:tc>
          <w:tcPr>
            <w:tcW w:w="2268" w:type="dxa"/>
          </w:tcPr>
          <w:p w:rsidR="007F0149" w:rsidRPr="007F0149" w:rsidRDefault="007F0149" w:rsidP="00E7619B">
            <w:pPr>
              <w:tabs>
                <w:tab w:val="left" w:pos="1134"/>
              </w:tabs>
              <w:spacing w:after="0" w:line="240" w:lineRule="auto"/>
              <w:jc w:val="right"/>
              <w:rPr>
                <w:rFonts w:ascii="Arial" w:hAnsi="Arial" w:cs="Arial"/>
                <w:b/>
                <w:bCs/>
                <w:sz w:val="24"/>
                <w:szCs w:val="24"/>
                <w:lang w:val="en-ZA" w:eastAsia="en-ZA"/>
              </w:rPr>
            </w:pPr>
            <w:r w:rsidRPr="007F0149">
              <w:rPr>
                <w:rFonts w:ascii="Arial" w:hAnsi="Arial" w:cs="Arial"/>
                <w:b/>
                <w:bCs/>
                <w:sz w:val="24"/>
                <w:szCs w:val="24"/>
                <w:lang w:val="en-ZA" w:eastAsia="en-ZA"/>
              </w:rPr>
              <w:t>Total: 624 865.87</w:t>
            </w:r>
          </w:p>
        </w:tc>
      </w:tr>
    </w:tbl>
    <w:p w:rsidR="00F01C3D" w:rsidRPr="007F0149" w:rsidRDefault="00F01C3D" w:rsidP="005B43C9">
      <w:pPr>
        <w:pStyle w:val="ListParagraph"/>
        <w:numPr>
          <w:ilvl w:val="0"/>
          <w:numId w:val="25"/>
        </w:numPr>
        <w:spacing w:after="240" w:line="360" w:lineRule="auto"/>
        <w:ind w:left="709" w:hanging="437"/>
        <w:contextualSpacing w:val="0"/>
        <w:jc w:val="both"/>
        <w:rPr>
          <w:rFonts w:ascii="Arial" w:hAnsi="Arial" w:cs="Arial"/>
          <w:sz w:val="24"/>
          <w:szCs w:val="24"/>
        </w:rPr>
      </w:pPr>
      <w:r w:rsidRPr="007F0149">
        <w:rPr>
          <w:rFonts w:ascii="Arial" w:hAnsi="Arial" w:cs="Arial"/>
          <w:sz w:val="24"/>
          <w:szCs w:val="24"/>
        </w:rPr>
        <w:lastRenderedPageBreak/>
        <w:t>The bonuses paid were</w:t>
      </w:r>
      <w:r w:rsidR="00C817B4" w:rsidRPr="007F0149">
        <w:rPr>
          <w:rFonts w:ascii="Arial" w:hAnsi="Arial" w:cs="Arial"/>
          <w:sz w:val="24"/>
          <w:szCs w:val="24"/>
        </w:rPr>
        <w:t xml:space="preserve"> performance based for the 2016/</w:t>
      </w:r>
      <w:r w:rsidRPr="007F0149">
        <w:rPr>
          <w:rFonts w:ascii="Arial" w:hAnsi="Arial" w:cs="Arial"/>
          <w:sz w:val="24"/>
          <w:szCs w:val="24"/>
        </w:rPr>
        <w:t>17 financial year. The rate (percentage) was based on the performance rating of staff members in terms of the year-end performance evaluations. The following methodology applied:</w:t>
      </w:r>
    </w:p>
    <w:p w:rsidR="00F01C3D" w:rsidRPr="00F01C3D" w:rsidRDefault="00F01C3D" w:rsidP="00C817B4">
      <w:pPr>
        <w:pStyle w:val="ListParagraph"/>
        <w:numPr>
          <w:ilvl w:val="0"/>
          <w:numId w:val="22"/>
        </w:numPr>
        <w:spacing w:after="120" w:line="360" w:lineRule="auto"/>
        <w:ind w:left="1559" w:hanging="425"/>
        <w:contextualSpacing w:val="0"/>
        <w:jc w:val="both"/>
        <w:rPr>
          <w:rFonts w:ascii="Arial" w:hAnsi="Arial" w:cs="Arial"/>
          <w:sz w:val="24"/>
          <w:szCs w:val="24"/>
        </w:rPr>
      </w:pPr>
      <w:r w:rsidRPr="00F01C3D">
        <w:rPr>
          <w:rFonts w:ascii="Arial" w:hAnsi="Arial" w:cs="Arial"/>
          <w:sz w:val="24"/>
          <w:szCs w:val="24"/>
        </w:rPr>
        <w:t>Bonuses were apportioned for the number of months worked in the financial year by staff members</w:t>
      </w:r>
    </w:p>
    <w:p w:rsidR="00F01C3D" w:rsidRPr="00F01C3D" w:rsidRDefault="00F01C3D" w:rsidP="00C817B4">
      <w:pPr>
        <w:pStyle w:val="ListParagraph"/>
        <w:numPr>
          <w:ilvl w:val="0"/>
          <w:numId w:val="22"/>
        </w:numPr>
        <w:spacing w:after="120" w:line="360" w:lineRule="auto"/>
        <w:ind w:left="1559" w:hanging="425"/>
        <w:contextualSpacing w:val="0"/>
        <w:jc w:val="both"/>
        <w:rPr>
          <w:rFonts w:ascii="Arial" w:hAnsi="Arial" w:cs="Arial"/>
          <w:sz w:val="24"/>
          <w:szCs w:val="24"/>
        </w:rPr>
      </w:pPr>
      <w:r w:rsidRPr="00F01C3D">
        <w:rPr>
          <w:rFonts w:ascii="Arial" w:hAnsi="Arial" w:cs="Arial"/>
          <w:sz w:val="24"/>
          <w:szCs w:val="24"/>
        </w:rPr>
        <w:t>Bonuses exclude maternity and paternity leave</w:t>
      </w:r>
    </w:p>
    <w:p w:rsidR="00F01C3D" w:rsidRPr="00F01C3D" w:rsidRDefault="00F01C3D" w:rsidP="00C817B4">
      <w:pPr>
        <w:pStyle w:val="ListParagraph"/>
        <w:numPr>
          <w:ilvl w:val="0"/>
          <w:numId w:val="22"/>
        </w:numPr>
        <w:spacing w:after="120" w:line="360" w:lineRule="auto"/>
        <w:ind w:left="1559" w:hanging="425"/>
        <w:contextualSpacing w:val="0"/>
        <w:jc w:val="both"/>
        <w:rPr>
          <w:rFonts w:ascii="Arial" w:hAnsi="Arial" w:cs="Arial"/>
          <w:sz w:val="24"/>
          <w:szCs w:val="24"/>
        </w:rPr>
      </w:pPr>
      <w:r w:rsidRPr="00F01C3D">
        <w:rPr>
          <w:rFonts w:ascii="Arial" w:hAnsi="Arial" w:cs="Arial"/>
          <w:sz w:val="24"/>
          <w:szCs w:val="24"/>
        </w:rPr>
        <w:t>Bonuses were paid only if a rating of 3.5 and above was achieved by staff members</w:t>
      </w:r>
    </w:p>
    <w:p w:rsidR="00F01C3D" w:rsidRPr="00F01C3D" w:rsidRDefault="00F01C3D" w:rsidP="00C817B4">
      <w:pPr>
        <w:pStyle w:val="ListParagraph"/>
        <w:numPr>
          <w:ilvl w:val="0"/>
          <w:numId w:val="22"/>
        </w:numPr>
        <w:spacing w:after="120" w:line="360" w:lineRule="auto"/>
        <w:ind w:left="1559" w:hanging="425"/>
        <w:contextualSpacing w:val="0"/>
        <w:jc w:val="both"/>
        <w:rPr>
          <w:rFonts w:ascii="Arial" w:hAnsi="Arial" w:cs="Arial"/>
          <w:sz w:val="24"/>
          <w:szCs w:val="24"/>
        </w:rPr>
      </w:pPr>
      <w:r w:rsidRPr="00F01C3D">
        <w:rPr>
          <w:rFonts w:ascii="Arial" w:hAnsi="Arial" w:cs="Arial"/>
          <w:sz w:val="24"/>
          <w:szCs w:val="24"/>
        </w:rPr>
        <w:t>Bonuses excluded fixed term employees who worked less than 6 months in the financial year</w:t>
      </w:r>
    </w:p>
    <w:p w:rsidR="00F01C3D" w:rsidRPr="00F01C3D" w:rsidRDefault="00F01C3D" w:rsidP="001C144A">
      <w:pPr>
        <w:pStyle w:val="ListParagraph"/>
        <w:numPr>
          <w:ilvl w:val="0"/>
          <w:numId w:val="22"/>
        </w:numPr>
        <w:spacing w:after="240" w:line="360" w:lineRule="auto"/>
        <w:ind w:left="1560" w:hanging="426"/>
        <w:contextualSpacing w:val="0"/>
        <w:jc w:val="both"/>
        <w:rPr>
          <w:rFonts w:ascii="Arial" w:hAnsi="Arial" w:cs="Arial"/>
          <w:sz w:val="24"/>
          <w:szCs w:val="24"/>
        </w:rPr>
      </w:pPr>
      <w:r w:rsidRPr="00F01C3D">
        <w:rPr>
          <w:rFonts w:ascii="Arial" w:hAnsi="Arial" w:cs="Arial"/>
          <w:sz w:val="24"/>
          <w:szCs w:val="24"/>
        </w:rPr>
        <w:t>Bonuses excluded permanent employees who worked less than 2 months</w:t>
      </w:r>
    </w:p>
    <w:p w:rsidR="00F01C3D" w:rsidRPr="007F0149" w:rsidRDefault="00267138" w:rsidP="00C1095D">
      <w:pPr>
        <w:pStyle w:val="ListParagraph"/>
        <w:spacing w:after="240" w:line="360" w:lineRule="auto"/>
        <w:ind w:left="1560" w:hanging="567"/>
        <w:contextualSpacing w:val="0"/>
        <w:jc w:val="both"/>
        <w:rPr>
          <w:rFonts w:ascii="Arial" w:hAnsi="Arial" w:cs="Arial"/>
          <w:sz w:val="24"/>
          <w:szCs w:val="24"/>
        </w:rPr>
      </w:pPr>
      <w:r w:rsidRPr="007F0149">
        <w:rPr>
          <w:rFonts w:ascii="Arial" w:hAnsi="Arial" w:cs="Arial"/>
          <w:sz w:val="24"/>
          <w:szCs w:val="24"/>
        </w:rPr>
        <w:t>(aa)</w:t>
      </w:r>
      <w:r w:rsidR="00F01C3D" w:rsidRPr="007F0149">
        <w:rPr>
          <w:rFonts w:ascii="Arial" w:hAnsi="Arial" w:cs="Arial"/>
          <w:sz w:val="24"/>
          <w:szCs w:val="24"/>
        </w:rPr>
        <w:tab/>
      </w:r>
      <w:r w:rsidR="009B60CB" w:rsidRPr="007F0149">
        <w:rPr>
          <w:rFonts w:ascii="Arial" w:hAnsi="Arial" w:cs="Arial"/>
          <w:sz w:val="24"/>
          <w:szCs w:val="24"/>
        </w:rPr>
        <w:t>The expenditure complied with the NIHSS’s policies. The NIHSS is neither a Department, nor a constitutional institution, nor a public entity listed in Schedule 2 or 3, and therefore the Public Finance Management Act is not applicable to the NIHSS.</w:t>
      </w:r>
    </w:p>
    <w:p w:rsidR="00F01C3D" w:rsidRPr="00F01C3D" w:rsidRDefault="00F01C3D" w:rsidP="0061251F">
      <w:pPr>
        <w:pStyle w:val="ListParagraph"/>
        <w:spacing w:after="240" w:line="360" w:lineRule="auto"/>
        <w:ind w:left="1560" w:hanging="567"/>
        <w:contextualSpacing w:val="0"/>
        <w:jc w:val="both"/>
        <w:rPr>
          <w:rFonts w:ascii="Arial" w:hAnsi="Arial" w:cs="Arial"/>
          <w:noProof/>
          <w:sz w:val="24"/>
          <w:szCs w:val="24"/>
        </w:rPr>
      </w:pPr>
      <w:r w:rsidRPr="00F01C3D">
        <w:rPr>
          <w:rFonts w:ascii="Arial" w:hAnsi="Arial" w:cs="Arial"/>
          <w:sz w:val="24"/>
          <w:szCs w:val="24"/>
        </w:rPr>
        <w:t>(bb)</w:t>
      </w:r>
      <w:r w:rsidRPr="00F01C3D">
        <w:rPr>
          <w:rFonts w:ascii="Arial" w:hAnsi="Arial" w:cs="Arial"/>
          <w:sz w:val="24"/>
          <w:szCs w:val="24"/>
        </w:rPr>
        <w:tab/>
      </w:r>
      <w:r w:rsidR="00C817B4" w:rsidRPr="00C817B4">
        <w:rPr>
          <w:rFonts w:ascii="Arial" w:hAnsi="Arial" w:cs="Arial"/>
          <w:sz w:val="24"/>
          <w:szCs w:val="24"/>
        </w:rPr>
        <w:t>Spending is managed by the NIHSS in terms of its policies.</w:t>
      </w:r>
    </w:p>
    <w:p w:rsidR="009B60CB" w:rsidRDefault="00F01C3D" w:rsidP="0061251F">
      <w:pPr>
        <w:pStyle w:val="ListParagraph"/>
        <w:spacing w:after="240" w:line="360" w:lineRule="auto"/>
        <w:ind w:left="1560" w:hanging="567"/>
        <w:contextualSpacing w:val="0"/>
        <w:jc w:val="both"/>
        <w:rPr>
          <w:rFonts w:ascii="Arial" w:hAnsi="Arial" w:cs="Arial"/>
          <w:sz w:val="24"/>
          <w:szCs w:val="24"/>
        </w:rPr>
      </w:pPr>
      <w:r w:rsidRPr="00F01C3D">
        <w:rPr>
          <w:rFonts w:ascii="Arial" w:hAnsi="Arial" w:cs="Arial"/>
          <w:sz w:val="24"/>
          <w:szCs w:val="24"/>
        </w:rPr>
        <w:t>(cc)</w:t>
      </w:r>
      <w:r w:rsidRPr="00F01C3D">
        <w:rPr>
          <w:rFonts w:ascii="Arial" w:hAnsi="Arial" w:cs="Arial"/>
          <w:sz w:val="24"/>
          <w:szCs w:val="24"/>
        </w:rPr>
        <w:tab/>
      </w:r>
      <w:r w:rsidR="00C817B4" w:rsidRPr="006A721F">
        <w:rPr>
          <w:rFonts w:ascii="Arial" w:hAnsi="Arial" w:cs="Arial"/>
          <w:sz w:val="24"/>
          <w:szCs w:val="24"/>
        </w:rPr>
        <w:t>The Auditor-General of South Afri</w:t>
      </w:r>
      <w:r w:rsidR="00C817B4">
        <w:rPr>
          <w:rFonts w:ascii="Arial" w:hAnsi="Arial" w:cs="Arial"/>
          <w:sz w:val="24"/>
          <w:szCs w:val="24"/>
        </w:rPr>
        <w:t xml:space="preserve">ca audits the NIHSS in terms of </w:t>
      </w:r>
      <w:r w:rsidR="00C817B4" w:rsidRPr="00C817B4">
        <w:rPr>
          <w:rFonts w:ascii="Arial" w:hAnsi="Arial" w:cs="Arial"/>
          <w:sz w:val="24"/>
          <w:szCs w:val="24"/>
        </w:rPr>
        <w:t>Section 38 of the Higher Education Act and since its inception has received unqualified audit opinions.</w:t>
      </w:r>
    </w:p>
    <w:p w:rsidR="009B60CB" w:rsidRDefault="009B60CB">
      <w:pPr>
        <w:spacing w:after="0" w:line="240" w:lineRule="auto"/>
        <w:rPr>
          <w:rFonts w:ascii="Arial" w:hAnsi="Arial" w:cs="Arial"/>
          <w:sz w:val="24"/>
          <w:szCs w:val="24"/>
        </w:rPr>
      </w:pPr>
      <w:r>
        <w:rPr>
          <w:rFonts w:ascii="Arial" w:hAnsi="Arial" w:cs="Arial"/>
          <w:sz w:val="24"/>
          <w:szCs w:val="24"/>
        </w:rPr>
        <w:br w:type="page"/>
      </w:r>
    </w:p>
    <w:p w:rsidR="00F01C3D" w:rsidRPr="00F01C3D" w:rsidRDefault="00F01C3D" w:rsidP="009B60CB">
      <w:pPr>
        <w:spacing w:line="360" w:lineRule="auto"/>
        <w:jc w:val="both"/>
        <w:rPr>
          <w:rFonts w:ascii="Arial" w:hAnsi="Arial" w:cs="Arial"/>
          <w:sz w:val="24"/>
          <w:szCs w:val="24"/>
        </w:rPr>
      </w:pPr>
      <w:bookmarkStart w:id="0" w:name="_GoBack"/>
      <w:bookmarkEnd w:id="0"/>
    </w:p>
    <w:sectPr w:rsidR="00F01C3D" w:rsidRPr="00F01C3D"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6227422"/>
    <w:multiLevelType w:val="hybridMultilevel"/>
    <w:tmpl w:val="0A50FDF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80B7A22"/>
    <w:multiLevelType w:val="hybridMultilevel"/>
    <w:tmpl w:val="D624BE90"/>
    <w:lvl w:ilvl="0" w:tplc="951E3A52">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4354B9"/>
    <w:multiLevelType w:val="hybridMultilevel"/>
    <w:tmpl w:val="7B2E22AC"/>
    <w:lvl w:ilvl="0" w:tplc="2952781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1AB5E9F"/>
    <w:multiLevelType w:val="hybridMultilevel"/>
    <w:tmpl w:val="7A7C8172"/>
    <w:lvl w:ilvl="0" w:tplc="EAA206B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79C48E2"/>
    <w:multiLevelType w:val="hybridMultilevel"/>
    <w:tmpl w:val="4CE41E10"/>
    <w:lvl w:ilvl="0" w:tplc="6CFEDFF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4" w15:restartNumberingAfterBreak="0">
    <w:nsid w:val="7F8022C8"/>
    <w:multiLevelType w:val="hybridMultilevel"/>
    <w:tmpl w:val="87C8856C"/>
    <w:lvl w:ilvl="0" w:tplc="E4CCF694">
      <w:start w:val="1"/>
      <w:numFmt w:val="lowerRoman"/>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3"/>
  </w:num>
  <w:num w:numId="3">
    <w:abstractNumId w:val="15"/>
  </w:num>
  <w:num w:numId="4">
    <w:abstractNumId w:val="3"/>
  </w:num>
  <w:num w:numId="5">
    <w:abstractNumId w:val="20"/>
  </w:num>
  <w:num w:numId="6">
    <w:abstractNumId w:val="14"/>
  </w:num>
  <w:num w:numId="7">
    <w:abstractNumId w:val="18"/>
  </w:num>
  <w:num w:numId="8">
    <w:abstractNumId w:val="11"/>
  </w:num>
  <w:num w:numId="9">
    <w:abstractNumId w:val="19"/>
  </w:num>
  <w:num w:numId="10">
    <w:abstractNumId w:val="6"/>
  </w:num>
  <w:num w:numId="11">
    <w:abstractNumId w:val="8"/>
  </w:num>
  <w:num w:numId="12">
    <w:abstractNumId w:val="2"/>
  </w:num>
  <w:num w:numId="13">
    <w:abstractNumId w:val="10"/>
  </w:num>
  <w:num w:numId="14">
    <w:abstractNumId w:val="17"/>
  </w:num>
  <w:num w:numId="15">
    <w:abstractNumId w:val="4"/>
  </w:num>
  <w:num w:numId="16">
    <w:abstractNumId w:val="21"/>
  </w:num>
  <w:num w:numId="17">
    <w:abstractNumId w:val="16"/>
  </w:num>
  <w:num w:numId="18">
    <w:abstractNumId w:val="22"/>
  </w:num>
  <w:num w:numId="19">
    <w:abstractNumId w:val="5"/>
  </w:num>
  <w:num w:numId="20">
    <w:abstractNumId w:val="13"/>
  </w:num>
  <w:num w:numId="21">
    <w:abstractNumId w:val="24"/>
  </w:num>
  <w:num w:numId="22">
    <w:abstractNumId w:val="1"/>
  </w:num>
  <w:num w:numId="23">
    <w:abstractNumId w:val="9"/>
  </w:num>
  <w:num w:numId="24">
    <w:abstractNumId w:val="12"/>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312"/>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3B6"/>
    <w:rsid w:val="001915DA"/>
    <w:rsid w:val="00191755"/>
    <w:rsid w:val="001954F0"/>
    <w:rsid w:val="001958D8"/>
    <w:rsid w:val="00196461"/>
    <w:rsid w:val="001A01DC"/>
    <w:rsid w:val="001A06E7"/>
    <w:rsid w:val="001A1252"/>
    <w:rsid w:val="001A277A"/>
    <w:rsid w:val="001C144A"/>
    <w:rsid w:val="001C33B5"/>
    <w:rsid w:val="001C6A3B"/>
    <w:rsid w:val="001C7AFC"/>
    <w:rsid w:val="001D3D9C"/>
    <w:rsid w:val="001D6541"/>
    <w:rsid w:val="001D7C6A"/>
    <w:rsid w:val="001E0CB6"/>
    <w:rsid w:val="001E36DF"/>
    <w:rsid w:val="001E6697"/>
    <w:rsid w:val="001E6F96"/>
    <w:rsid w:val="001F4B7D"/>
    <w:rsid w:val="001F6833"/>
    <w:rsid w:val="001F7DEE"/>
    <w:rsid w:val="0020681E"/>
    <w:rsid w:val="0020779F"/>
    <w:rsid w:val="00217678"/>
    <w:rsid w:val="00221F7C"/>
    <w:rsid w:val="002264C4"/>
    <w:rsid w:val="00241F09"/>
    <w:rsid w:val="00245A6B"/>
    <w:rsid w:val="00247CDD"/>
    <w:rsid w:val="00250110"/>
    <w:rsid w:val="0025309B"/>
    <w:rsid w:val="00253A84"/>
    <w:rsid w:val="00264295"/>
    <w:rsid w:val="00265A26"/>
    <w:rsid w:val="00265A88"/>
    <w:rsid w:val="002670F8"/>
    <w:rsid w:val="0026713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D7FCD"/>
    <w:rsid w:val="003E2F70"/>
    <w:rsid w:val="003E455E"/>
    <w:rsid w:val="003E78E1"/>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13BB"/>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14768"/>
    <w:rsid w:val="005223B8"/>
    <w:rsid w:val="005237E8"/>
    <w:rsid w:val="00532713"/>
    <w:rsid w:val="005328DE"/>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43C9"/>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251F"/>
    <w:rsid w:val="00613250"/>
    <w:rsid w:val="006172DA"/>
    <w:rsid w:val="00620759"/>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0F5C"/>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149"/>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3E0E"/>
    <w:rsid w:val="00837482"/>
    <w:rsid w:val="008405D6"/>
    <w:rsid w:val="0084308D"/>
    <w:rsid w:val="008455F2"/>
    <w:rsid w:val="00857AAF"/>
    <w:rsid w:val="00861587"/>
    <w:rsid w:val="00866723"/>
    <w:rsid w:val="0087257A"/>
    <w:rsid w:val="00874346"/>
    <w:rsid w:val="00875C6C"/>
    <w:rsid w:val="0087757C"/>
    <w:rsid w:val="008829D5"/>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577F8"/>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B60CB"/>
    <w:rsid w:val="009C1C15"/>
    <w:rsid w:val="009C332A"/>
    <w:rsid w:val="009D010F"/>
    <w:rsid w:val="009D3C62"/>
    <w:rsid w:val="009E4177"/>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45AF"/>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B6CC3"/>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E1AAF"/>
    <w:rsid w:val="00BE2524"/>
    <w:rsid w:val="00BF0299"/>
    <w:rsid w:val="00C1095D"/>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67459"/>
    <w:rsid w:val="00C7147D"/>
    <w:rsid w:val="00C71B91"/>
    <w:rsid w:val="00C72AC2"/>
    <w:rsid w:val="00C73D89"/>
    <w:rsid w:val="00C817B4"/>
    <w:rsid w:val="00C820B0"/>
    <w:rsid w:val="00C847AC"/>
    <w:rsid w:val="00C865AF"/>
    <w:rsid w:val="00C8668A"/>
    <w:rsid w:val="00C9549B"/>
    <w:rsid w:val="00C96416"/>
    <w:rsid w:val="00CA1F30"/>
    <w:rsid w:val="00CA541F"/>
    <w:rsid w:val="00CA6A41"/>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16EA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619B"/>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1C3D"/>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table" w:styleId="TableGridLight">
    <w:name w:val="Grid Table Light"/>
    <w:basedOn w:val="TableNormal"/>
    <w:uiPriority w:val="40"/>
    <w:rsid w:val="00F01C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7F014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262908507">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B16F-CCAD-470F-A08A-4C899540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2018-03-06T13:20:00Z</cp:lastPrinted>
  <dcterms:created xsi:type="dcterms:W3CDTF">2018-03-27T10:29:00Z</dcterms:created>
  <dcterms:modified xsi:type="dcterms:W3CDTF">2018-03-27T10:29:00Z</dcterms:modified>
</cp:coreProperties>
</file>