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7464D">
        <w:rPr>
          <w:rFonts w:ascii="Times New Roman" w:hAnsi="Times New Roman" w:cs="Times New Roman"/>
          <w:b/>
          <w:sz w:val="24"/>
          <w:szCs w:val="24"/>
        </w:rPr>
        <w:t xml:space="preserve"> 229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F7464D" w:rsidRPr="00F7464D" w:rsidRDefault="00F7464D" w:rsidP="00F7464D">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proofErr w:type="gramStart"/>
      <w:r w:rsidRPr="00F7464D">
        <w:rPr>
          <w:rFonts w:ascii="Times New Roman" w:eastAsia="Calibri" w:hAnsi="Times New Roman" w:cs="Times New Roman"/>
          <w:b/>
          <w:sz w:val="24"/>
          <w:szCs w:val="24"/>
          <w:lang w:val="en-GB"/>
        </w:rPr>
        <w:t>229.</w:t>
      </w:r>
      <w:r w:rsidRPr="00F7464D">
        <w:rPr>
          <w:rFonts w:ascii="Times New Roman" w:eastAsia="Calibri" w:hAnsi="Times New Roman" w:cs="Times New Roman"/>
          <w:b/>
          <w:sz w:val="24"/>
          <w:szCs w:val="24"/>
          <w:lang w:val="en-GB"/>
        </w:rPr>
        <w:tab/>
        <w:t xml:space="preserve">Ms N W A </w:t>
      </w:r>
      <w:proofErr w:type="spellStart"/>
      <w:r w:rsidRPr="00F7464D">
        <w:rPr>
          <w:rFonts w:ascii="Times New Roman" w:eastAsia="Calibri" w:hAnsi="Times New Roman" w:cs="Times New Roman"/>
          <w:b/>
          <w:sz w:val="24"/>
          <w:szCs w:val="24"/>
          <w:lang w:val="en-GB"/>
        </w:rPr>
        <w:t>Mazzone</w:t>
      </w:r>
      <w:proofErr w:type="spellEnd"/>
      <w:r w:rsidRPr="00F7464D">
        <w:rPr>
          <w:rFonts w:ascii="Times New Roman" w:eastAsia="Calibri" w:hAnsi="Times New Roman" w:cs="Times New Roman"/>
          <w:b/>
          <w:sz w:val="24"/>
          <w:szCs w:val="24"/>
          <w:lang w:val="en-GB"/>
        </w:rPr>
        <w:t xml:space="preserve"> (DA)</w:t>
      </w:r>
      <w:proofErr w:type="gramEnd"/>
      <w:r w:rsidRPr="00F7464D">
        <w:rPr>
          <w:rFonts w:ascii="Times New Roman" w:eastAsia="Calibri" w:hAnsi="Times New Roman" w:cs="Times New Roman"/>
          <w:b/>
          <w:sz w:val="24"/>
          <w:szCs w:val="24"/>
          <w:lang w:val="en-GB"/>
        </w:rPr>
        <w:t xml:space="preserve"> to ask the Minister of Basic Education:</w:t>
      </w:r>
    </w:p>
    <w:p w:rsidR="00F7464D" w:rsidRPr="00F7464D" w:rsidRDefault="00F7464D" w:rsidP="00F7464D">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F7464D">
        <w:rPr>
          <w:rFonts w:ascii="Times New Roman" w:eastAsia="Times New Roman" w:hAnsi="Times New Roman" w:cs="Times New Roman"/>
          <w:sz w:val="24"/>
          <w:szCs w:val="24"/>
          <w:lang w:val="en-US"/>
        </w:rPr>
        <w:t>What was the delivery rate of (a) textbooks and (b) other school stationery items in each province in the (</w:t>
      </w:r>
      <w:proofErr w:type="spellStart"/>
      <w:r w:rsidRPr="00F7464D">
        <w:rPr>
          <w:rFonts w:ascii="Times New Roman" w:eastAsia="Times New Roman" w:hAnsi="Times New Roman" w:cs="Times New Roman"/>
          <w:sz w:val="24"/>
          <w:szCs w:val="24"/>
          <w:lang w:val="en-US"/>
        </w:rPr>
        <w:t>i</w:t>
      </w:r>
      <w:proofErr w:type="spellEnd"/>
      <w:r w:rsidRPr="00F7464D">
        <w:rPr>
          <w:rFonts w:ascii="Times New Roman" w:eastAsia="Times New Roman" w:hAnsi="Times New Roman" w:cs="Times New Roman"/>
          <w:sz w:val="24"/>
          <w:szCs w:val="24"/>
          <w:lang w:val="en-US"/>
        </w:rPr>
        <w:t xml:space="preserve">) 2012, (ii) 2013, (iii) 2014 and </w:t>
      </w:r>
      <w:proofErr w:type="gramStart"/>
      <w:r w:rsidRPr="00F7464D">
        <w:rPr>
          <w:rFonts w:ascii="Times New Roman" w:eastAsia="Times New Roman" w:hAnsi="Times New Roman" w:cs="Times New Roman"/>
          <w:sz w:val="24"/>
          <w:szCs w:val="24"/>
          <w:lang w:val="en-US"/>
        </w:rPr>
        <w:t>(iv) 2015</w:t>
      </w:r>
      <w:proofErr w:type="gramEnd"/>
      <w:r w:rsidRPr="00F7464D">
        <w:rPr>
          <w:rFonts w:ascii="Times New Roman" w:eastAsia="Times New Roman" w:hAnsi="Times New Roman" w:cs="Times New Roman"/>
          <w:sz w:val="24"/>
          <w:szCs w:val="24"/>
          <w:lang w:val="en-US"/>
        </w:rPr>
        <w:t xml:space="preserve"> school years?</w:t>
      </w:r>
      <w:r w:rsidRPr="00F7464D">
        <w:rPr>
          <w:rFonts w:ascii="Times New Roman" w:eastAsia="Times New Roman" w:hAnsi="Times New Roman" w:cs="Times New Roman"/>
          <w:sz w:val="24"/>
          <w:szCs w:val="24"/>
          <w:lang w:val="en-US"/>
        </w:rPr>
        <w:tab/>
      </w:r>
      <w:r w:rsidRPr="00F7464D">
        <w:rPr>
          <w:rFonts w:ascii="Times New Roman" w:eastAsia="Times New Roman" w:hAnsi="Times New Roman" w:cs="Times New Roman"/>
          <w:sz w:val="20"/>
          <w:szCs w:val="20"/>
          <w:lang w:val="en-US"/>
        </w:rPr>
        <w:t>NW242E</w:t>
      </w:r>
    </w:p>
    <w:p w:rsidR="00EE2189" w:rsidRDefault="00EE2189" w:rsidP="00EE2189">
      <w:pPr>
        <w:spacing w:after="0" w:line="360" w:lineRule="auto"/>
        <w:rPr>
          <w:rFonts w:ascii="Arial" w:hAnsi="Arial" w:cs="Arial"/>
          <w:b/>
          <w:sz w:val="24"/>
          <w:szCs w:val="24"/>
        </w:rPr>
      </w:pPr>
      <w:r w:rsidRPr="00BD69A9">
        <w:rPr>
          <w:rFonts w:ascii="Arial" w:hAnsi="Arial" w:cs="Arial"/>
          <w:b/>
          <w:sz w:val="24"/>
          <w:szCs w:val="24"/>
        </w:rPr>
        <w:t>Response:</w:t>
      </w:r>
    </w:p>
    <w:p w:rsidR="00EE2189" w:rsidRPr="00BD69A9" w:rsidRDefault="00EE2189" w:rsidP="00EE2189">
      <w:pPr>
        <w:spacing w:after="0" w:line="360" w:lineRule="auto"/>
        <w:rPr>
          <w:rFonts w:ascii="Arial" w:hAnsi="Arial" w:cs="Arial"/>
          <w:b/>
          <w:sz w:val="24"/>
          <w:szCs w:val="24"/>
        </w:rPr>
      </w:pPr>
    </w:p>
    <w:p w:rsidR="00EE2189" w:rsidRPr="00E72337" w:rsidRDefault="00EE2189" w:rsidP="00EE2189">
      <w:pPr>
        <w:pStyle w:val="ListParagraph"/>
        <w:spacing w:after="0" w:line="240" w:lineRule="auto"/>
        <w:ind w:left="0"/>
        <w:jc w:val="both"/>
        <w:rPr>
          <w:rFonts w:ascii="Arial" w:eastAsia="Times New Roman" w:hAnsi="Arial" w:cs="Arial"/>
          <w:sz w:val="24"/>
          <w:szCs w:val="24"/>
          <w:lang w:val="en-US"/>
        </w:rPr>
      </w:pPr>
      <w:r>
        <w:rPr>
          <w:rFonts w:ascii="Arial" w:eastAsia="Times New Roman" w:hAnsi="Arial" w:cs="Arial"/>
          <w:sz w:val="24"/>
          <w:szCs w:val="24"/>
          <w:lang w:val="en-US"/>
        </w:rPr>
        <w:t xml:space="preserve">(a) </w:t>
      </w:r>
      <w:r w:rsidRPr="00E72337">
        <w:rPr>
          <w:rFonts w:ascii="Arial" w:eastAsia="Times New Roman" w:hAnsi="Arial" w:cs="Arial"/>
          <w:sz w:val="24"/>
          <w:szCs w:val="24"/>
          <w:lang w:val="en-US"/>
        </w:rPr>
        <w:t>(</w:t>
      </w:r>
      <w:proofErr w:type="spellStart"/>
      <w:proofErr w:type="gramStart"/>
      <w:r w:rsidRPr="00E72337">
        <w:rPr>
          <w:rFonts w:ascii="Arial" w:eastAsia="Times New Roman" w:hAnsi="Arial" w:cs="Arial"/>
          <w:sz w:val="24"/>
          <w:szCs w:val="24"/>
          <w:lang w:val="en-US"/>
        </w:rPr>
        <w:t>i</w:t>
      </w:r>
      <w:proofErr w:type="spellEnd"/>
      <w:proofErr w:type="gramEnd"/>
      <w:r w:rsidRPr="00E72337">
        <w:rPr>
          <w:rFonts w:ascii="Arial" w:eastAsia="Times New Roman" w:hAnsi="Arial" w:cs="Arial"/>
          <w:sz w:val="24"/>
          <w:szCs w:val="24"/>
          <w:lang w:val="en-US"/>
        </w:rPr>
        <w:t xml:space="preserve">)-(iv) It is worth noting that different provinces employ different procurement models and therefore the delivery rate will vary from province to province. In terms of the South African Schools Act No. 84 of 1996, schools that are allocated a Section 21 function procure </w:t>
      </w:r>
      <w:r>
        <w:rPr>
          <w:rFonts w:ascii="Arial" w:eastAsia="Times New Roman" w:hAnsi="Arial" w:cs="Arial"/>
          <w:sz w:val="24"/>
          <w:szCs w:val="24"/>
          <w:lang w:val="en-US"/>
        </w:rPr>
        <w:t>Learning Teaching Support Material (</w:t>
      </w:r>
      <w:r w:rsidRPr="00E72337">
        <w:rPr>
          <w:rFonts w:ascii="Arial" w:eastAsia="Times New Roman" w:hAnsi="Arial" w:cs="Arial"/>
          <w:sz w:val="24"/>
          <w:szCs w:val="24"/>
          <w:lang w:val="en-US"/>
        </w:rPr>
        <w:t>LTSM</w:t>
      </w:r>
      <w:r>
        <w:rPr>
          <w:rFonts w:ascii="Arial" w:eastAsia="Times New Roman" w:hAnsi="Arial" w:cs="Arial"/>
          <w:sz w:val="24"/>
          <w:szCs w:val="24"/>
          <w:lang w:val="en-US"/>
        </w:rPr>
        <w:t>)</w:t>
      </w:r>
      <w:r w:rsidRPr="00E72337">
        <w:rPr>
          <w:rFonts w:ascii="Arial" w:eastAsia="Times New Roman" w:hAnsi="Arial" w:cs="Arial"/>
          <w:sz w:val="24"/>
          <w:szCs w:val="24"/>
          <w:lang w:val="en-US"/>
        </w:rPr>
        <w:t xml:space="preserve"> </w:t>
      </w:r>
      <w:proofErr w:type="spellStart"/>
      <w:r w:rsidRPr="00E72337">
        <w:rPr>
          <w:rFonts w:ascii="Arial" w:eastAsia="Times New Roman" w:hAnsi="Arial" w:cs="Arial"/>
          <w:sz w:val="24"/>
          <w:szCs w:val="24"/>
          <w:lang w:val="en-US"/>
        </w:rPr>
        <w:t>uti</w:t>
      </w:r>
      <w:r>
        <w:rPr>
          <w:rFonts w:ascii="Arial" w:eastAsia="Times New Roman" w:hAnsi="Arial" w:cs="Arial"/>
          <w:sz w:val="24"/>
          <w:szCs w:val="24"/>
          <w:lang w:val="en-US"/>
        </w:rPr>
        <w:t>lising</w:t>
      </w:r>
      <w:proofErr w:type="spellEnd"/>
      <w:r>
        <w:rPr>
          <w:rFonts w:ascii="Arial" w:eastAsia="Times New Roman" w:hAnsi="Arial" w:cs="Arial"/>
          <w:sz w:val="24"/>
          <w:szCs w:val="24"/>
          <w:lang w:val="en-US"/>
        </w:rPr>
        <w:t xml:space="preserve"> their allocated budget and the p</w:t>
      </w:r>
      <w:r w:rsidRPr="00E72337">
        <w:rPr>
          <w:rFonts w:ascii="Arial" w:eastAsia="Times New Roman" w:hAnsi="Arial" w:cs="Arial"/>
          <w:sz w:val="24"/>
          <w:szCs w:val="24"/>
          <w:lang w:val="en-US"/>
        </w:rPr>
        <w:t>rovinces</w:t>
      </w:r>
      <w:r>
        <w:rPr>
          <w:rFonts w:ascii="Arial" w:eastAsia="Times New Roman" w:hAnsi="Arial" w:cs="Arial"/>
          <w:sz w:val="24"/>
          <w:szCs w:val="24"/>
          <w:lang w:val="en-US"/>
        </w:rPr>
        <w:t xml:space="preserve"> procure </w:t>
      </w:r>
      <w:r w:rsidRPr="00E72337">
        <w:rPr>
          <w:rFonts w:ascii="Arial" w:eastAsia="Times New Roman" w:hAnsi="Arial" w:cs="Arial"/>
          <w:sz w:val="24"/>
          <w:szCs w:val="24"/>
          <w:lang w:val="en-US"/>
        </w:rPr>
        <w:t>for schools with a Section 20 function. According to provincial reports from 2012 – 2015, all orders placed were delivered</w:t>
      </w:r>
      <w:r>
        <w:rPr>
          <w:rFonts w:ascii="Arial" w:eastAsia="Times New Roman" w:hAnsi="Arial" w:cs="Arial"/>
          <w:sz w:val="24"/>
          <w:szCs w:val="24"/>
          <w:lang w:val="en-US"/>
        </w:rPr>
        <w:t xml:space="preserve"> and </w:t>
      </w:r>
      <w:r w:rsidRPr="00E72337">
        <w:rPr>
          <w:rFonts w:ascii="Arial" w:eastAsia="Times New Roman" w:hAnsi="Arial" w:cs="Arial"/>
          <w:sz w:val="24"/>
          <w:szCs w:val="24"/>
          <w:lang w:val="en-US"/>
        </w:rPr>
        <w:t xml:space="preserve">therefore </w:t>
      </w:r>
      <w:r>
        <w:rPr>
          <w:rFonts w:ascii="Arial" w:eastAsia="Times New Roman" w:hAnsi="Arial" w:cs="Arial"/>
          <w:sz w:val="24"/>
          <w:szCs w:val="24"/>
          <w:lang w:val="en-US"/>
        </w:rPr>
        <w:t>makes the delivery rate to be 100%</w:t>
      </w:r>
      <w:r w:rsidRPr="00E72337">
        <w:rPr>
          <w:rFonts w:ascii="Arial" w:eastAsia="Times New Roman" w:hAnsi="Arial" w:cs="Arial"/>
          <w:sz w:val="24"/>
          <w:szCs w:val="24"/>
          <w:lang w:val="en-US"/>
        </w:rPr>
        <w:t xml:space="preserve"> in all provinces. </w:t>
      </w:r>
      <w:r>
        <w:rPr>
          <w:rFonts w:ascii="Arial" w:eastAsia="Times New Roman" w:hAnsi="Arial" w:cs="Arial"/>
          <w:sz w:val="24"/>
          <w:szCs w:val="24"/>
          <w:lang w:val="en-US"/>
        </w:rPr>
        <w:t xml:space="preserve">The percentage reflects a cycle that involves the initial orders, mop-ups, retention and retrieval as well as top-ups </w:t>
      </w:r>
      <w:r w:rsidRPr="00E72337">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based of the retrieval report</w:t>
      </w:r>
    </w:p>
    <w:p w:rsidR="00EE2189" w:rsidRPr="00BD69A9" w:rsidRDefault="00EE2189" w:rsidP="00EE2189">
      <w:pPr>
        <w:spacing w:after="0" w:line="240" w:lineRule="auto"/>
        <w:ind w:left="426" w:hanging="426"/>
        <w:jc w:val="both"/>
        <w:rPr>
          <w:rFonts w:ascii="Arial" w:eastAsia="Times New Roman" w:hAnsi="Arial" w:cs="Arial"/>
          <w:sz w:val="24"/>
          <w:szCs w:val="24"/>
        </w:rPr>
      </w:pPr>
    </w:p>
    <w:p w:rsidR="00EE2189" w:rsidRDefault="00EE2189" w:rsidP="00EE2189">
      <w:pPr>
        <w:spacing w:after="0" w:line="240" w:lineRule="auto"/>
        <w:jc w:val="both"/>
        <w:rPr>
          <w:rFonts w:ascii="Arial" w:eastAsia="Times New Roman" w:hAnsi="Arial" w:cs="Arial"/>
          <w:sz w:val="24"/>
          <w:szCs w:val="24"/>
          <w:lang w:val="en-US"/>
        </w:rPr>
      </w:pPr>
      <w:r w:rsidRPr="007519C6">
        <w:rPr>
          <w:rFonts w:ascii="Arial" w:eastAsia="Times New Roman" w:hAnsi="Arial" w:cs="Arial"/>
          <w:sz w:val="24"/>
          <w:szCs w:val="24"/>
          <w:lang w:val="en-US"/>
        </w:rPr>
        <w:t xml:space="preserve">It is </w:t>
      </w:r>
      <w:r>
        <w:rPr>
          <w:rFonts w:ascii="Arial" w:eastAsia="Times New Roman" w:hAnsi="Arial" w:cs="Arial"/>
          <w:sz w:val="24"/>
          <w:szCs w:val="24"/>
          <w:lang w:val="en-US"/>
        </w:rPr>
        <w:t xml:space="preserve">further </w:t>
      </w:r>
      <w:r w:rsidRPr="007519C6">
        <w:rPr>
          <w:rFonts w:ascii="Arial" w:eastAsia="Times New Roman" w:hAnsi="Arial" w:cs="Arial"/>
          <w:sz w:val="24"/>
          <w:szCs w:val="24"/>
          <w:lang w:val="en-US"/>
        </w:rPr>
        <w:t xml:space="preserve">worth noting that the Curriculum </w:t>
      </w:r>
      <w:r>
        <w:rPr>
          <w:rFonts w:ascii="Arial" w:eastAsia="Times New Roman" w:hAnsi="Arial" w:cs="Arial"/>
          <w:sz w:val="24"/>
          <w:szCs w:val="24"/>
          <w:lang w:val="en-US"/>
        </w:rPr>
        <w:t xml:space="preserve">and </w:t>
      </w:r>
      <w:r w:rsidRPr="007519C6">
        <w:rPr>
          <w:rFonts w:ascii="Arial" w:eastAsia="Times New Roman" w:hAnsi="Arial" w:cs="Arial"/>
          <w:sz w:val="24"/>
          <w:szCs w:val="24"/>
          <w:lang w:val="en-US"/>
        </w:rPr>
        <w:t>Assessment Policy Statements (CAPS) was incrementally implemented as follows:</w:t>
      </w:r>
    </w:p>
    <w:p w:rsidR="00EE2189" w:rsidRPr="007519C6" w:rsidRDefault="00EE2189" w:rsidP="00EE2189">
      <w:pPr>
        <w:numPr>
          <w:ilvl w:val="0"/>
          <w:numId w:val="1"/>
        </w:numPr>
        <w:spacing w:after="0" w:line="240" w:lineRule="auto"/>
        <w:ind w:left="900" w:hanging="720"/>
        <w:jc w:val="both"/>
        <w:rPr>
          <w:rFonts w:ascii="Arial" w:eastAsia="Times New Roman" w:hAnsi="Arial" w:cs="Arial"/>
          <w:sz w:val="24"/>
          <w:szCs w:val="24"/>
          <w:lang w:val="en-US"/>
        </w:rPr>
      </w:pPr>
      <w:r w:rsidRPr="007519C6">
        <w:rPr>
          <w:rFonts w:ascii="Arial" w:eastAsia="Times New Roman" w:hAnsi="Arial" w:cs="Arial"/>
          <w:sz w:val="24"/>
          <w:szCs w:val="24"/>
          <w:lang w:val="en-US"/>
        </w:rPr>
        <w:t>Grades 1 – 3 and 10 w</w:t>
      </w:r>
      <w:r>
        <w:rPr>
          <w:rFonts w:ascii="Arial" w:eastAsia="Times New Roman" w:hAnsi="Arial" w:cs="Arial"/>
          <w:sz w:val="24"/>
          <w:szCs w:val="24"/>
          <w:lang w:val="en-US"/>
        </w:rPr>
        <w:t>ere</w:t>
      </w:r>
      <w:r w:rsidRPr="007519C6">
        <w:rPr>
          <w:rFonts w:ascii="Arial" w:eastAsia="Times New Roman" w:hAnsi="Arial" w:cs="Arial"/>
          <w:sz w:val="24"/>
          <w:szCs w:val="24"/>
          <w:lang w:val="en-US"/>
        </w:rPr>
        <w:t xml:space="preserve"> implanted in 2012;</w:t>
      </w:r>
    </w:p>
    <w:p w:rsidR="00EE2189" w:rsidRPr="007519C6" w:rsidRDefault="00EE2189" w:rsidP="00EE2189">
      <w:pPr>
        <w:numPr>
          <w:ilvl w:val="0"/>
          <w:numId w:val="1"/>
        </w:numPr>
        <w:spacing w:after="0" w:line="240" w:lineRule="auto"/>
        <w:ind w:left="900" w:hanging="720"/>
        <w:jc w:val="both"/>
        <w:rPr>
          <w:rFonts w:ascii="Arial" w:eastAsia="Times New Roman" w:hAnsi="Arial" w:cs="Arial"/>
          <w:sz w:val="24"/>
          <w:szCs w:val="24"/>
          <w:lang w:val="en-US"/>
        </w:rPr>
      </w:pPr>
      <w:r w:rsidRPr="007519C6">
        <w:rPr>
          <w:rFonts w:ascii="Arial" w:eastAsia="Times New Roman" w:hAnsi="Arial" w:cs="Arial"/>
          <w:sz w:val="24"/>
          <w:szCs w:val="24"/>
          <w:lang w:val="en-US"/>
        </w:rPr>
        <w:t>Grades 4 – 6 and 11 w</w:t>
      </w:r>
      <w:r>
        <w:rPr>
          <w:rFonts w:ascii="Arial" w:eastAsia="Times New Roman" w:hAnsi="Arial" w:cs="Arial"/>
          <w:sz w:val="24"/>
          <w:szCs w:val="24"/>
          <w:lang w:val="en-US"/>
        </w:rPr>
        <w:t>ere</w:t>
      </w:r>
      <w:r w:rsidRPr="007519C6">
        <w:rPr>
          <w:rFonts w:ascii="Arial" w:eastAsia="Times New Roman" w:hAnsi="Arial" w:cs="Arial"/>
          <w:sz w:val="24"/>
          <w:szCs w:val="24"/>
          <w:lang w:val="en-US"/>
        </w:rPr>
        <w:t xml:space="preserve"> implanted in 2013;</w:t>
      </w:r>
    </w:p>
    <w:p w:rsidR="00EE2189" w:rsidRPr="007519C6" w:rsidRDefault="00EE2189" w:rsidP="00EE2189">
      <w:pPr>
        <w:numPr>
          <w:ilvl w:val="0"/>
          <w:numId w:val="1"/>
        </w:numPr>
        <w:spacing w:after="0" w:line="240" w:lineRule="auto"/>
        <w:ind w:left="900" w:hanging="720"/>
        <w:jc w:val="both"/>
        <w:rPr>
          <w:rFonts w:ascii="Arial" w:eastAsia="Times New Roman" w:hAnsi="Arial" w:cs="Arial"/>
          <w:sz w:val="24"/>
          <w:szCs w:val="24"/>
          <w:lang w:val="en-US"/>
        </w:rPr>
      </w:pPr>
      <w:r w:rsidRPr="007519C6">
        <w:rPr>
          <w:rFonts w:ascii="Arial" w:eastAsia="Times New Roman" w:hAnsi="Arial" w:cs="Arial"/>
          <w:sz w:val="24"/>
          <w:szCs w:val="24"/>
          <w:lang w:val="en-US"/>
        </w:rPr>
        <w:t>Grades 7 – 9 and 12 w</w:t>
      </w:r>
      <w:r>
        <w:rPr>
          <w:rFonts w:ascii="Arial" w:eastAsia="Times New Roman" w:hAnsi="Arial" w:cs="Arial"/>
          <w:sz w:val="24"/>
          <w:szCs w:val="24"/>
          <w:lang w:val="en-US"/>
        </w:rPr>
        <w:t>ere</w:t>
      </w:r>
      <w:r w:rsidRPr="007519C6">
        <w:rPr>
          <w:rFonts w:ascii="Arial" w:eastAsia="Times New Roman" w:hAnsi="Arial" w:cs="Arial"/>
          <w:sz w:val="24"/>
          <w:szCs w:val="24"/>
          <w:lang w:val="en-US"/>
        </w:rPr>
        <w:t xml:space="preserve"> implanted in 2014; and </w:t>
      </w:r>
    </w:p>
    <w:p w:rsidR="00EE2189" w:rsidRPr="007519C6" w:rsidRDefault="00EE2189" w:rsidP="00EE2189">
      <w:pPr>
        <w:numPr>
          <w:ilvl w:val="0"/>
          <w:numId w:val="1"/>
        </w:numPr>
        <w:spacing w:after="0" w:line="240" w:lineRule="auto"/>
        <w:ind w:left="900" w:hanging="720"/>
        <w:jc w:val="both"/>
        <w:rPr>
          <w:rFonts w:ascii="Arial" w:eastAsia="Times New Roman" w:hAnsi="Arial" w:cs="Arial"/>
          <w:sz w:val="24"/>
          <w:szCs w:val="24"/>
          <w:lang w:val="en-US"/>
        </w:rPr>
      </w:pPr>
      <w:r w:rsidRPr="007519C6">
        <w:rPr>
          <w:rFonts w:ascii="Arial" w:eastAsia="Times New Roman" w:hAnsi="Arial" w:cs="Arial"/>
          <w:sz w:val="24"/>
          <w:szCs w:val="24"/>
          <w:lang w:val="en-US"/>
        </w:rPr>
        <w:t>Grades 10 – 12 and Grade R w</w:t>
      </w:r>
      <w:r>
        <w:rPr>
          <w:rFonts w:ascii="Arial" w:eastAsia="Times New Roman" w:hAnsi="Arial" w:cs="Arial"/>
          <w:sz w:val="24"/>
          <w:szCs w:val="24"/>
          <w:lang w:val="en-US"/>
        </w:rPr>
        <w:t>ere</w:t>
      </w:r>
      <w:r w:rsidRPr="007519C6">
        <w:rPr>
          <w:rFonts w:ascii="Arial" w:eastAsia="Times New Roman" w:hAnsi="Arial" w:cs="Arial"/>
          <w:sz w:val="24"/>
          <w:szCs w:val="24"/>
          <w:lang w:val="en-US"/>
        </w:rPr>
        <w:t xml:space="preserve"> impl</w:t>
      </w:r>
      <w:r>
        <w:rPr>
          <w:rFonts w:ascii="Arial" w:eastAsia="Times New Roman" w:hAnsi="Arial" w:cs="Arial"/>
          <w:sz w:val="24"/>
          <w:szCs w:val="24"/>
          <w:lang w:val="en-US"/>
        </w:rPr>
        <w:t>emen</w:t>
      </w:r>
      <w:r w:rsidRPr="007519C6">
        <w:rPr>
          <w:rFonts w:ascii="Arial" w:eastAsia="Times New Roman" w:hAnsi="Arial" w:cs="Arial"/>
          <w:sz w:val="24"/>
          <w:szCs w:val="24"/>
          <w:lang w:val="en-US"/>
        </w:rPr>
        <w:t xml:space="preserve">ted in 2015 and 2016 respectively. </w:t>
      </w:r>
    </w:p>
    <w:p w:rsidR="00EE2189" w:rsidRPr="007519C6" w:rsidRDefault="00EE2189" w:rsidP="00EE2189">
      <w:pPr>
        <w:spacing w:after="0" w:line="240" w:lineRule="auto"/>
        <w:ind w:left="540"/>
        <w:jc w:val="both"/>
        <w:rPr>
          <w:rFonts w:ascii="Arial" w:eastAsia="Times New Roman" w:hAnsi="Arial" w:cs="Arial"/>
          <w:sz w:val="24"/>
          <w:szCs w:val="24"/>
          <w:lang w:val="en-US"/>
        </w:rPr>
      </w:pPr>
    </w:p>
    <w:p w:rsidR="00EE2189" w:rsidRPr="007519C6" w:rsidRDefault="00EE2189" w:rsidP="00EE2189">
      <w:pPr>
        <w:spacing w:after="0" w:line="240" w:lineRule="auto"/>
        <w:jc w:val="both"/>
        <w:rPr>
          <w:rFonts w:ascii="Arial" w:eastAsia="Times New Roman" w:hAnsi="Arial" w:cs="Arial"/>
          <w:sz w:val="24"/>
          <w:szCs w:val="24"/>
          <w:lang w:val="en-US"/>
        </w:rPr>
      </w:pPr>
      <w:r w:rsidRPr="007519C6">
        <w:rPr>
          <w:rFonts w:ascii="Arial" w:eastAsia="Times New Roman" w:hAnsi="Arial" w:cs="Arial"/>
          <w:sz w:val="24"/>
          <w:szCs w:val="24"/>
          <w:lang w:val="en-US"/>
        </w:rPr>
        <w:t xml:space="preserve">The implementation of CAPS necessitated that new textbooks be </w:t>
      </w:r>
      <w:proofErr w:type="spellStart"/>
      <w:r w:rsidRPr="007519C6">
        <w:rPr>
          <w:rFonts w:ascii="Arial" w:eastAsia="Times New Roman" w:hAnsi="Arial" w:cs="Arial"/>
          <w:sz w:val="24"/>
          <w:szCs w:val="24"/>
          <w:lang w:val="en-US"/>
        </w:rPr>
        <w:t>utili</w:t>
      </w:r>
      <w:r>
        <w:rPr>
          <w:rFonts w:ascii="Arial" w:eastAsia="Times New Roman" w:hAnsi="Arial" w:cs="Arial"/>
          <w:sz w:val="24"/>
          <w:szCs w:val="24"/>
          <w:lang w:val="en-US"/>
        </w:rPr>
        <w:t>s</w:t>
      </w:r>
      <w:r w:rsidRPr="007519C6">
        <w:rPr>
          <w:rFonts w:ascii="Arial" w:eastAsia="Times New Roman" w:hAnsi="Arial" w:cs="Arial"/>
          <w:sz w:val="24"/>
          <w:szCs w:val="24"/>
          <w:lang w:val="en-US"/>
        </w:rPr>
        <w:t>ed</w:t>
      </w:r>
      <w:proofErr w:type="spellEnd"/>
      <w:r w:rsidRPr="007519C6">
        <w:rPr>
          <w:rFonts w:ascii="Arial" w:eastAsia="Times New Roman" w:hAnsi="Arial" w:cs="Arial"/>
          <w:sz w:val="24"/>
          <w:szCs w:val="24"/>
          <w:lang w:val="en-US"/>
        </w:rPr>
        <w:t xml:space="preserve"> hence the development of National Catalogues for provinces to procure these listed LTSMs. These National Catalogues were developed a year prior </w:t>
      </w:r>
      <w:r>
        <w:rPr>
          <w:rFonts w:ascii="Arial" w:eastAsia="Times New Roman" w:hAnsi="Arial" w:cs="Arial"/>
          <w:sz w:val="24"/>
          <w:szCs w:val="24"/>
          <w:lang w:val="en-US"/>
        </w:rPr>
        <w:t xml:space="preserve">to </w:t>
      </w:r>
      <w:r w:rsidRPr="007519C6">
        <w:rPr>
          <w:rFonts w:ascii="Arial" w:eastAsia="Times New Roman" w:hAnsi="Arial" w:cs="Arial"/>
          <w:sz w:val="24"/>
          <w:szCs w:val="24"/>
          <w:lang w:val="en-US"/>
        </w:rPr>
        <w:t xml:space="preserve">implementation allowing provinces and schools to procure LTSM a year in advance. Therefore the </w:t>
      </w:r>
      <w:r>
        <w:rPr>
          <w:rFonts w:ascii="Arial" w:eastAsia="Times New Roman" w:hAnsi="Arial" w:cs="Arial"/>
          <w:sz w:val="24"/>
          <w:szCs w:val="24"/>
          <w:lang w:val="en-US"/>
        </w:rPr>
        <w:t>u</w:t>
      </w:r>
      <w:r w:rsidRPr="007519C6">
        <w:rPr>
          <w:rFonts w:ascii="Arial" w:eastAsia="Times New Roman" w:hAnsi="Arial" w:cs="Arial"/>
          <w:sz w:val="24"/>
          <w:szCs w:val="24"/>
          <w:lang w:val="en-US"/>
        </w:rPr>
        <w:t xml:space="preserve">niversal coverage could only be fully monitored at the end of the cycle of the implementation of CAPS. </w:t>
      </w:r>
    </w:p>
    <w:p w:rsidR="00EE2189" w:rsidRDefault="00EE2189" w:rsidP="00EE2189">
      <w:pPr>
        <w:spacing w:after="0" w:line="240" w:lineRule="auto"/>
        <w:ind w:left="720" w:firstLine="720"/>
        <w:jc w:val="both"/>
        <w:rPr>
          <w:rFonts w:ascii="Arial" w:eastAsia="Times New Roman" w:hAnsi="Arial" w:cs="Arial"/>
          <w:sz w:val="24"/>
          <w:szCs w:val="24"/>
          <w:lang w:val="en-US"/>
        </w:rPr>
      </w:pPr>
    </w:p>
    <w:p w:rsidR="00316866" w:rsidRDefault="00316866" w:rsidP="00EE2189">
      <w:pPr>
        <w:spacing w:after="0" w:line="240" w:lineRule="auto"/>
        <w:ind w:left="720" w:firstLine="720"/>
        <w:jc w:val="both"/>
        <w:rPr>
          <w:rFonts w:ascii="Arial" w:eastAsia="Times New Roman" w:hAnsi="Arial" w:cs="Arial"/>
          <w:sz w:val="24"/>
          <w:szCs w:val="24"/>
          <w:lang w:val="en-US"/>
        </w:rPr>
      </w:pPr>
    </w:p>
    <w:p w:rsidR="00316866" w:rsidRDefault="00316866" w:rsidP="00EE2189">
      <w:pPr>
        <w:spacing w:after="0" w:line="240" w:lineRule="auto"/>
        <w:ind w:left="720" w:firstLine="720"/>
        <w:jc w:val="both"/>
        <w:rPr>
          <w:rFonts w:ascii="Arial" w:eastAsia="Times New Roman" w:hAnsi="Arial" w:cs="Arial"/>
          <w:sz w:val="24"/>
          <w:szCs w:val="24"/>
          <w:lang w:val="en-US"/>
        </w:rPr>
      </w:pPr>
    </w:p>
    <w:p w:rsidR="00316866" w:rsidRDefault="00316866" w:rsidP="00EE2189">
      <w:pPr>
        <w:spacing w:after="0" w:line="240" w:lineRule="auto"/>
        <w:ind w:left="720" w:firstLine="720"/>
        <w:jc w:val="both"/>
        <w:rPr>
          <w:rFonts w:ascii="Arial" w:eastAsia="Times New Roman" w:hAnsi="Arial" w:cs="Arial"/>
          <w:sz w:val="24"/>
          <w:szCs w:val="24"/>
          <w:lang w:val="en-US"/>
        </w:rPr>
      </w:pPr>
    </w:p>
    <w:p w:rsidR="00316866" w:rsidRPr="007519C6" w:rsidRDefault="00316866" w:rsidP="00EE2189">
      <w:pPr>
        <w:spacing w:after="0" w:line="240" w:lineRule="auto"/>
        <w:ind w:left="720" w:firstLine="720"/>
        <w:jc w:val="both"/>
        <w:rPr>
          <w:rFonts w:ascii="Arial" w:eastAsia="Times New Roman" w:hAnsi="Arial" w:cs="Arial"/>
          <w:sz w:val="24"/>
          <w:szCs w:val="24"/>
          <w:lang w:val="en-US"/>
        </w:rPr>
      </w:pPr>
      <w:bookmarkStart w:id="0" w:name="_GoBack"/>
      <w:bookmarkEnd w:id="0"/>
    </w:p>
    <w:p w:rsidR="00EE2189" w:rsidRPr="007519C6" w:rsidRDefault="00EE2189" w:rsidP="00EE2189">
      <w:pPr>
        <w:spacing w:after="0" w:line="240" w:lineRule="auto"/>
        <w:ind w:left="720"/>
        <w:jc w:val="both"/>
        <w:rPr>
          <w:rFonts w:ascii="Arial" w:eastAsia="Times New Roman" w:hAnsi="Arial" w:cs="Arial"/>
          <w:sz w:val="24"/>
          <w:szCs w:val="24"/>
          <w:lang w:val="en-US"/>
        </w:rPr>
      </w:pPr>
      <w:r w:rsidRPr="007519C6">
        <w:rPr>
          <w:rFonts w:ascii="Arial" w:eastAsia="Times New Roman" w:hAnsi="Arial" w:cs="Arial"/>
          <w:sz w:val="24"/>
          <w:szCs w:val="24"/>
          <w:lang w:val="en-US"/>
        </w:rPr>
        <w:lastRenderedPageBreak/>
        <w:t xml:space="preserve">As a result, in the middle of 2014, the Department consolidated the figures to determine the </w:t>
      </w:r>
      <w:r>
        <w:rPr>
          <w:rFonts w:ascii="Arial" w:eastAsia="Times New Roman" w:hAnsi="Arial" w:cs="Arial"/>
          <w:sz w:val="24"/>
          <w:szCs w:val="24"/>
          <w:lang w:val="en-US"/>
        </w:rPr>
        <w:t>u</w:t>
      </w:r>
      <w:r w:rsidRPr="007519C6">
        <w:rPr>
          <w:rFonts w:ascii="Arial" w:eastAsia="Times New Roman" w:hAnsi="Arial" w:cs="Arial"/>
          <w:sz w:val="24"/>
          <w:szCs w:val="24"/>
          <w:lang w:val="en-US"/>
        </w:rPr>
        <w:t xml:space="preserve">niversal coverage of textbooks in the country. Below is a table that indicates the Universal Coverage at the per province </w:t>
      </w:r>
    </w:p>
    <w:p w:rsidR="00EE2189" w:rsidRPr="002D67DB" w:rsidRDefault="00EE2189" w:rsidP="00EE2189">
      <w:pPr>
        <w:spacing w:after="0" w:line="240" w:lineRule="auto"/>
        <w:ind w:left="720"/>
        <w:jc w:val="both"/>
        <w:rPr>
          <w:rFonts w:ascii="Times New Roman" w:eastAsia="Times New Roman" w:hAnsi="Times New Roman"/>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701"/>
      </w:tblGrid>
      <w:tr w:rsidR="00EE2189" w:rsidRPr="007519C6" w:rsidTr="00E33AD8">
        <w:trPr>
          <w:trHeight w:hRule="exact" w:val="466"/>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Province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As at mid-2014</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2015</w:t>
            </w:r>
          </w:p>
        </w:tc>
      </w:tr>
      <w:tr w:rsidR="00EE2189" w:rsidRPr="007519C6" w:rsidTr="00E33AD8">
        <w:trPr>
          <w:trHeight w:hRule="exact" w:val="371"/>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Eastern Cape</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100%</w:t>
            </w:r>
          </w:p>
        </w:tc>
        <w:tc>
          <w:tcPr>
            <w:tcW w:w="1701" w:type="dxa"/>
            <w:shd w:val="clear" w:color="auto" w:fill="auto"/>
          </w:tcPr>
          <w:p w:rsidR="00EE2189" w:rsidRPr="007519C6" w:rsidRDefault="00EE2189" w:rsidP="00E33AD8">
            <w:pPr>
              <w:tabs>
                <w:tab w:val="left" w:pos="945"/>
              </w:tabs>
              <w:jc w:val="center"/>
              <w:rPr>
                <w:rFonts w:ascii="Arial" w:hAnsi="Arial" w:cs="Arial"/>
                <w:sz w:val="24"/>
                <w:szCs w:val="24"/>
              </w:rPr>
            </w:pPr>
            <w:r w:rsidRPr="007519C6">
              <w:rPr>
                <w:rFonts w:ascii="Arial" w:hAnsi="Arial" w:cs="Arial"/>
                <w:sz w:val="24"/>
                <w:szCs w:val="24"/>
              </w:rPr>
              <w:t>100%</w:t>
            </w:r>
          </w:p>
        </w:tc>
      </w:tr>
      <w:tr w:rsidR="00EE2189" w:rsidRPr="007519C6" w:rsidTr="00E33AD8">
        <w:trPr>
          <w:trHeight w:hRule="exact" w:val="290"/>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Free State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100%</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100%</w:t>
            </w:r>
          </w:p>
        </w:tc>
      </w:tr>
      <w:tr w:rsidR="00EE2189" w:rsidRPr="007519C6" w:rsidTr="00E33AD8">
        <w:trPr>
          <w:trHeight w:hRule="exact" w:val="283"/>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Gauteng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93%</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93%</w:t>
            </w:r>
          </w:p>
        </w:tc>
      </w:tr>
      <w:tr w:rsidR="00EE2189" w:rsidRPr="007519C6" w:rsidTr="00E33AD8">
        <w:trPr>
          <w:trHeight w:hRule="exact" w:val="275"/>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KwaZulu-</w:t>
            </w:r>
            <w:r w:rsidRPr="007519C6">
              <w:rPr>
                <w:rFonts w:ascii="Arial" w:eastAsia="Times New Roman" w:hAnsi="Arial" w:cs="Arial"/>
                <w:sz w:val="24"/>
                <w:szCs w:val="24"/>
                <w:lang w:val="en-US"/>
              </w:rPr>
              <w:t>Natal</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63%</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85%</w:t>
            </w:r>
          </w:p>
        </w:tc>
      </w:tr>
      <w:tr w:rsidR="00EE2189" w:rsidRPr="007519C6" w:rsidTr="00E33AD8">
        <w:trPr>
          <w:trHeight w:hRule="exact" w:val="417"/>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Limpopo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99%</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99%</w:t>
            </w:r>
          </w:p>
        </w:tc>
      </w:tr>
      <w:tr w:rsidR="00EE2189" w:rsidRPr="007519C6" w:rsidTr="00E33AD8">
        <w:trPr>
          <w:trHeight w:hRule="exact" w:val="300"/>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Mpumalanga </w:t>
            </w:r>
          </w:p>
        </w:tc>
        <w:tc>
          <w:tcPr>
            <w:tcW w:w="1984" w:type="dxa"/>
            <w:shd w:val="clear" w:color="auto" w:fill="auto"/>
          </w:tcPr>
          <w:p w:rsidR="00EE2189" w:rsidRPr="007519C6" w:rsidRDefault="00EE2189" w:rsidP="00E33AD8">
            <w:pPr>
              <w:jc w:val="center"/>
              <w:rPr>
                <w:rFonts w:ascii="Arial" w:hAnsi="Arial" w:cs="Arial"/>
                <w:b/>
                <w:sz w:val="24"/>
                <w:szCs w:val="24"/>
              </w:rPr>
            </w:pPr>
            <w:r w:rsidRPr="007519C6">
              <w:rPr>
                <w:rFonts w:ascii="Arial" w:hAnsi="Arial" w:cs="Arial"/>
                <w:sz w:val="24"/>
                <w:szCs w:val="24"/>
              </w:rPr>
              <w:t>100%</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100%</w:t>
            </w:r>
          </w:p>
        </w:tc>
      </w:tr>
      <w:tr w:rsidR="00EE2189" w:rsidRPr="007519C6" w:rsidTr="00E33AD8">
        <w:trPr>
          <w:trHeight w:hRule="exact" w:val="432"/>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Northern Cape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98%</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98%</w:t>
            </w:r>
          </w:p>
        </w:tc>
      </w:tr>
      <w:tr w:rsidR="00EE2189" w:rsidRPr="007519C6" w:rsidTr="00E33AD8">
        <w:trPr>
          <w:trHeight w:hRule="exact" w:val="336"/>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North West</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92%</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92%</w:t>
            </w:r>
          </w:p>
        </w:tc>
      </w:tr>
      <w:tr w:rsidR="00EE2189" w:rsidRPr="007519C6" w:rsidTr="00E33AD8">
        <w:trPr>
          <w:trHeight w:hRule="exact" w:val="440"/>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Western Cape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94%</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95%</w:t>
            </w:r>
          </w:p>
        </w:tc>
      </w:tr>
      <w:tr w:rsidR="00EE2189" w:rsidRPr="007519C6" w:rsidTr="00E33AD8">
        <w:trPr>
          <w:trHeight w:hRule="exact" w:val="559"/>
        </w:trPr>
        <w:tc>
          <w:tcPr>
            <w:tcW w:w="2410"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Average Universal access </w:t>
            </w:r>
          </w:p>
        </w:tc>
        <w:tc>
          <w:tcPr>
            <w:tcW w:w="1984"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93%</w:t>
            </w:r>
          </w:p>
        </w:tc>
        <w:tc>
          <w:tcPr>
            <w:tcW w:w="1701" w:type="dxa"/>
            <w:shd w:val="clear" w:color="auto" w:fill="auto"/>
          </w:tcPr>
          <w:p w:rsidR="00EE2189" w:rsidRPr="007519C6" w:rsidRDefault="00EE2189" w:rsidP="00E33AD8">
            <w:pPr>
              <w:jc w:val="center"/>
              <w:rPr>
                <w:rFonts w:ascii="Arial" w:hAnsi="Arial" w:cs="Arial"/>
                <w:sz w:val="24"/>
                <w:szCs w:val="24"/>
              </w:rPr>
            </w:pPr>
            <w:r w:rsidRPr="007519C6">
              <w:rPr>
                <w:rFonts w:ascii="Arial" w:hAnsi="Arial" w:cs="Arial"/>
                <w:sz w:val="24"/>
                <w:szCs w:val="24"/>
              </w:rPr>
              <w:t>95.8%</w:t>
            </w:r>
          </w:p>
        </w:tc>
      </w:tr>
    </w:tbl>
    <w:p w:rsidR="00EE2189" w:rsidRDefault="00EE2189" w:rsidP="00EE2189">
      <w:pPr>
        <w:rPr>
          <w:rFonts w:ascii="Times New Roman" w:hAnsi="Times New Roman"/>
        </w:rPr>
      </w:pPr>
    </w:p>
    <w:p w:rsidR="00EE2189" w:rsidRDefault="00EE2189" w:rsidP="00EE2189">
      <w:pPr>
        <w:numPr>
          <w:ilvl w:val="0"/>
          <w:numId w:val="2"/>
        </w:numPr>
        <w:spacing w:after="0"/>
        <w:rPr>
          <w:rFonts w:ascii="Arial" w:hAnsi="Arial" w:cs="Arial"/>
        </w:rPr>
      </w:pPr>
      <w:r w:rsidRPr="007519C6">
        <w:rPr>
          <w:rFonts w:ascii="Arial" w:hAnsi="Arial" w:cs="Arial"/>
        </w:rPr>
        <w:t>(</w:t>
      </w:r>
      <w:proofErr w:type="spellStart"/>
      <w:r w:rsidRPr="007519C6">
        <w:rPr>
          <w:rFonts w:ascii="Arial" w:hAnsi="Arial" w:cs="Arial"/>
        </w:rPr>
        <w:t>i</w:t>
      </w:r>
      <w:proofErr w:type="spellEnd"/>
      <w:r w:rsidRPr="007519C6">
        <w:rPr>
          <w:rFonts w:ascii="Arial" w:hAnsi="Arial" w:cs="Arial"/>
        </w:rPr>
        <w:t>-iv)</w:t>
      </w:r>
    </w:p>
    <w:p w:rsidR="00EE2189" w:rsidRPr="0070766A" w:rsidRDefault="00EE2189" w:rsidP="00EE2189">
      <w:pPr>
        <w:spacing w:after="0"/>
        <w:ind w:left="1080"/>
        <w:rPr>
          <w:rFonts w:ascii="Arial" w:hAnsi="Arial" w:cs="Arial"/>
          <w:sz w:val="18"/>
        </w:rPr>
      </w:pPr>
    </w:p>
    <w:p w:rsidR="00EE2189" w:rsidRPr="0070766A" w:rsidRDefault="00EE2189" w:rsidP="00EE2189">
      <w:pPr>
        <w:spacing w:after="0"/>
        <w:rPr>
          <w:rFonts w:ascii="Times New Roman" w:hAnsi="Times New Roman"/>
          <w:sz w:val="2"/>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418"/>
        <w:gridCol w:w="1417"/>
        <w:gridCol w:w="1418"/>
      </w:tblGrid>
      <w:tr w:rsidR="00EE2189" w:rsidRPr="007519C6" w:rsidTr="00E33AD8">
        <w:tc>
          <w:tcPr>
            <w:tcW w:w="1843" w:type="dxa"/>
            <w:vMerge w:val="restart"/>
            <w:shd w:val="clear" w:color="auto" w:fill="auto"/>
          </w:tcPr>
          <w:p w:rsidR="00EE2189" w:rsidRPr="007519C6" w:rsidRDefault="00EE2189" w:rsidP="00E33AD8">
            <w:pPr>
              <w:spacing w:after="0" w:line="240" w:lineRule="auto"/>
              <w:rPr>
                <w:rFonts w:ascii="Arial" w:eastAsia="Times New Roman" w:hAnsi="Arial" w:cs="Arial"/>
                <w:b/>
                <w:sz w:val="24"/>
                <w:szCs w:val="24"/>
                <w:lang w:val="en-US"/>
              </w:rPr>
            </w:pPr>
            <w:r w:rsidRPr="007519C6">
              <w:rPr>
                <w:rFonts w:ascii="Arial" w:eastAsia="Times New Roman" w:hAnsi="Arial" w:cs="Arial"/>
                <w:b/>
                <w:sz w:val="24"/>
                <w:szCs w:val="24"/>
                <w:lang w:val="en-US"/>
              </w:rPr>
              <w:t>Province</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2012</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2013</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2014</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2015</w:t>
            </w:r>
          </w:p>
        </w:tc>
      </w:tr>
      <w:tr w:rsidR="00EE2189" w:rsidRPr="007519C6" w:rsidTr="00E33AD8">
        <w:tc>
          <w:tcPr>
            <w:tcW w:w="1843" w:type="dxa"/>
            <w:vMerge/>
            <w:shd w:val="clear" w:color="auto" w:fill="auto"/>
          </w:tcPr>
          <w:p w:rsidR="00EE2189" w:rsidRPr="007519C6" w:rsidRDefault="00EE2189" w:rsidP="00E33AD8">
            <w:pPr>
              <w:spacing w:after="0" w:line="240" w:lineRule="auto"/>
              <w:rPr>
                <w:rFonts w:ascii="Arial" w:eastAsia="Times New Roman" w:hAnsi="Arial" w:cs="Arial"/>
                <w:b/>
                <w:sz w:val="24"/>
                <w:szCs w:val="24"/>
                <w:lang w:val="en-US"/>
              </w:rPr>
            </w:pPr>
          </w:p>
        </w:tc>
        <w:tc>
          <w:tcPr>
            <w:tcW w:w="1559" w:type="dxa"/>
            <w:shd w:val="clear" w:color="auto" w:fill="auto"/>
          </w:tcPr>
          <w:p w:rsidR="00EE2189" w:rsidRPr="007519C6" w:rsidRDefault="00EE2189" w:rsidP="00E33AD8">
            <w:pPr>
              <w:spacing w:after="0" w:line="240" w:lineRule="auto"/>
              <w:rPr>
                <w:rFonts w:ascii="Arial" w:eastAsia="Times New Roman" w:hAnsi="Arial" w:cs="Arial"/>
                <w:b/>
                <w:sz w:val="24"/>
                <w:szCs w:val="24"/>
                <w:lang w:val="en-US"/>
              </w:rPr>
            </w:pPr>
            <w:r w:rsidRPr="007519C6">
              <w:rPr>
                <w:rFonts w:ascii="Arial" w:eastAsia="Times New Roman" w:hAnsi="Arial" w:cs="Arial"/>
                <w:b/>
                <w:sz w:val="24"/>
                <w:szCs w:val="24"/>
                <w:lang w:val="en-US"/>
              </w:rPr>
              <w:t xml:space="preserve">Stationery </w:t>
            </w:r>
          </w:p>
        </w:tc>
        <w:tc>
          <w:tcPr>
            <w:tcW w:w="1418" w:type="dxa"/>
            <w:shd w:val="clear" w:color="auto" w:fill="auto"/>
          </w:tcPr>
          <w:p w:rsidR="00EE2189" w:rsidRPr="007519C6" w:rsidRDefault="00EE2189" w:rsidP="00E33AD8">
            <w:pPr>
              <w:spacing w:after="0" w:line="240" w:lineRule="auto"/>
              <w:rPr>
                <w:rFonts w:ascii="Arial" w:eastAsia="Times New Roman" w:hAnsi="Arial" w:cs="Arial"/>
                <w:b/>
                <w:sz w:val="24"/>
                <w:szCs w:val="24"/>
                <w:lang w:val="en-US"/>
              </w:rPr>
            </w:pPr>
            <w:r w:rsidRPr="007519C6">
              <w:rPr>
                <w:rFonts w:ascii="Arial" w:eastAsia="Times New Roman" w:hAnsi="Arial" w:cs="Arial"/>
                <w:b/>
                <w:sz w:val="24"/>
                <w:szCs w:val="24"/>
                <w:lang w:val="en-US"/>
              </w:rPr>
              <w:t xml:space="preserve">Stationery </w:t>
            </w:r>
          </w:p>
        </w:tc>
        <w:tc>
          <w:tcPr>
            <w:tcW w:w="1417" w:type="dxa"/>
            <w:shd w:val="clear" w:color="auto" w:fill="auto"/>
          </w:tcPr>
          <w:p w:rsidR="00EE2189" w:rsidRPr="007519C6" w:rsidRDefault="00EE2189" w:rsidP="00E33AD8">
            <w:pPr>
              <w:spacing w:after="0" w:line="240" w:lineRule="auto"/>
              <w:rPr>
                <w:rFonts w:ascii="Arial" w:eastAsia="Times New Roman" w:hAnsi="Arial" w:cs="Arial"/>
                <w:b/>
                <w:sz w:val="24"/>
                <w:szCs w:val="24"/>
                <w:lang w:val="en-US"/>
              </w:rPr>
            </w:pPr>
            <w:r w:rsidRPr="007519C6">
              <w:rPr>
                <w:rFonts w:ascii="Arial" w:eastAsia="Times New Roman" w:hAnsi="Arial" w:cs="Arial"/>
                <w:b/>
                <w:sz w:val="24"/>
                <w:szCs w:val="24"/>
                <w:lang w:val="en-US"/>
              </w:rPr>
              <w:t xml:space="preserve">Stationery </w:t>
            </w:r>
          </w:p>
        </w:tc>
        <w:tc>
          <w:tcPr>
            <w:tcW w:w="1418" w:type="dxa"/>
            <w:shd w:val="clear" w:color="auto" w:fill="auto"/>
          </w:tcPr>
          <w:p w:rsidR="00EE2189" w:rsidRPr="007519C6" w:rsidRDefault="00EE2189" w:rsidP="00E33AD8">
            <w:pPr>
              <w:spacing w:after="0" w:line="240" w:lineRule="auto"/>
              <w:rPr>
                <w:rFonts w:ascii="Arial" w:eastAsia="Times New Roman" w:hAnsi="Arial" w:cs="Arial"/>
                <w:b/>
                <w:sz w:val="24"/>
                <w:szCs w:val="24"/>
                <w:lang w:val="en-US"/>
              </w:rPr>
            </w:pPr>
            <w:r w:rsidRPr="007519C6">
              <w:rPr>
                <w:rFonts w:ascii="Arial" w:eastAsia="Times New Roman" w:hAnsi="Arial" w:cs="Arial"/>
                <w:b/>
                <w:sz w:val="24"/>
                <w:szCs w:val="24"/>
                <w:lang w:val="en-US"/>
              </w:rPr>
              <w:t xml:space="preserve">Stationery </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Eastern Cape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Free State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Gauteng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KwaZulu-</w:t>
            </w:r>
            <w:r w:rsidRPr="007519C6">
              <w:rPr>
                <w:rFonts w:ascii="Arial" w:eastAsia="Times New Roman" w:hAnsi="Arial" w:cs="Arial"/>
                <w:sz w:val="24"/>
                <w:szCs w:val="24"/>
                <w:lang w:val="en-US"/>
              </w:rPr>
              <w:t>Natal</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Limpopo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Mpumalanga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Northern Cape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North West</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r w:rsidR="00EE2189" w:rsidRPr="007519C6" w:rsidTr="00E33AD8">
        <w:tc>
          <w:tcPr>
            <w:tcW w:w="1843" w:type="dxa"/>
            <w:shd w:val="clear" w:color="auto" w:fill="auto"/>
          </w:tcPr>
          <w:p w:rsidR="00EE2189" w:rsidRPr="007519C6" w:rsidRDefault="00EE2189" w:rsidP="00E33AD8">
            <w:pPr>
              <w:spacing w:after="0" w:line="240" w:lineRule="auto"/>
              <w:rPr>
                <w:rFonts w:ascii="Arial" w:eastAsia="Times New Roman" w:hAnsi="Arial" w:cs="Arial"/>
                <w:sz w:val="24"/>
                <w:szCs w:val="24"/>
                <w:lang w:val="en-US"/>
              </w:rPr>
            </w:pPr>
            <w:r w:rsidRPr="007519C6">
              <w:rPr>
                <w:rFonts w:ascii="Arial" w:eastAsia="Times New Roman" w:hAnsi="Arial" w:cs="Arial"/>
                <w:sz w:val="24"/>
                <w:szCs w:val="24"/>
                <w:lang w:val="en-US"/>
              </w:rPr>
              <w:t xml:space="preserve">Western Cape </w:t>
            </w:r>
          </w:p>
        </w:tc>
        <w:tc>
          <w:tcPr>
            <w:tcW w:w="1559"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7"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c>
          <w:tcPr>
            <w:tcW w:w="1418" w:type="dxa"/>
            <w:shd w:val="clear" w:color="auto" w:fill="auto"/>
          </w:tcPr>
          <w:p w:rsidR="00EE2189" w:rsidRPr="007519C6" w:rsidRDefault="00EE2189" w:rsidP="00E33AD8">
            <w:pPr>
              <w:spacing w:after="0" w:line="240" w:lineRule="auto"/>
              <w:jc w:val="center"/>
              <w:rPr>
                <w:rFonts w:ascii="Arial" w:eastAsia="Times New Roman" w:hAnsi="Arial" w:cs="Arial"/>
                <w:sz w:val="24"/>
                <w:szCs w:val="24"/>
                <w:lang w:val="en-US"/>
              </w:rPr>
            </w:pPr>
            <w:r w:rsidRPr="007519C6">
              <w:rPr>
                <w:rFonts w:ascii="Arial" w:eastAsia="Times New Roman" w:hAnsi="Arial" w:cs="Arial"/>
                <w:sz w:val="24"/>
                <w:szCs w:val="24"/>
                <w:lang w:val="en-US"/>
              </w:rPr>
              <w:t>100%</w:t>
            </w:r>
          </w:p>
        </w:tc>
      </w:tr>
    </w:tbl>
    <w:p w:rsidR="00EE2189" w:rsidRPr="006D7B63" w:rsidRDefault="00EE2189" w:rsidP="00EE2189">
      <w:pPr>
        <w:rPr>
          <w:rFonts w:ascii="Times New Roman" w:hAnsi="Times New Roman"/>
        </w:rPr>
      </w:pPr>
    </w:p>
    <w:p w:rsidR="00EE2189" w:rsidRPr="00BD69A9" w:rsidRDefault="00EE2189" w:rsidP="00EE2189">
      <w:pPr>
        <w:spacing w:after="0" w:line="240" w:lineRule="auto"/>
        <w:jc w:val="both"/>
        <w:rPr>
          <w:rFonts w:ascii="Arial" w:eastAsia="Times New Roman" w:hAnsi="Arial" w:cs="Arial"/>
          <w:sz w:val="24"/>
          <w:szCs w:val="24"/>
        </w:rPr>
      </w:pPr>
    </w:p>
    <w:p w:rsidR="00EE2189" w:rsidRPr="00BD69A9" w:rsidRDefault="00EE2189" w:rsidP="00EE2189">
      <w:pPr>
        <w:spacing w:after="0" w:line="240" w:lineRule="auto"/>
        <w:ind w:left="709"/>
        <w:jc w:val="both"/>
        <w:rPr>
          <w:rFonts w:ascii="Arial" w:eastAsia="Times New Roman" w:hAnsi="Arial" w:cs="Arial"/>
          <w:sz w:val="24"/>
          <w:szCs w:val="24"/>
        </w:rPr>
      </w:pPr>
    </w:p>
    <w:p w:rsidR="00EE2189" w:rsidRPr="00BD69A9" w:rsidRDefault="00EE2189" w:rsidP="00EE2189">
      <w:pPr>
        <w:spacing w:after="0" w:line="240" w:lineRule="auto"/>
        <w:ind w:left="709"/>
        <w:jc w:val="both"/>
        <w:rPr>
          <w:rFonts w:ascii="Arial" w:eastAsia="Times New Roman" w:hAnsi="Arial" w:cs="Arial"/>
          <w:sz w:val="24"/>
          <w:szCs w:val="24"/>
        </w:rPr>
      </w:pPr>
    </w:p>
    <w:p w:rsidR="00EE2189" w:rsidRPr="00BD69A9" w:rsidRDefault="00EE2189" w:rsidP="00EE2189">
      <w:pPr>
        <w:spacing w:after="0" w:line="240" w:lineRule="auto"/>
        <w:ind w:left="709"/>
        <w:jc w:val="both"/>
        <w:rPr>
          <w:rFonts w:ascii="Arial" w:eastAsia="Times New Roman" w:hAnsi="Arial" w:cs="Arial"/>
          <w:sz w:val="24"/>
          <w:szCs w:val="24"/>
        </w:rPr>
      </w:pPr>
    </w:p>
    <w:p w:rsidR="00EE2189" w:rsidRPr="00BD69A9" w:rsidRDefault="00EE2189" w:rsidP="00EE2189">
      <w:pPr>
        <w:spacing w:after="0" w:line="240" w:lineRule="auto"/>
        <w:ind w:left="709"/>
        <w:jc w:val="both"/>
        <w:rPr>
          <w:rFonts w:ascii="Arial" w:eastAsia="Times New Roman" w:hAnsi="Arial" w:cs="Arial"/>
          <w:sz w:val="24"/>
          <w:szCs w:val="24"/>
        </w:rPr>
      </w:pPr>
    </w:p>
    <w:p w:rsidR="00EE2189" w:rsidRPr="00BD69A9" w:rsidRDefault="00EE2189" w:rsidP="00EE2189">
      <w:pPr>
        <w:spacing w:after="0" w:line="240" w:lineRule="auto"/>
        <w:jc w:val="both"/>
        <w:rPr>
          <w:rFonts w:ascii="Arial" w:eastAsia="Times New Roman" w:hAnsi="Arial" w:cs="Arial"/>
          <w:sz w:val="24"/>
          <w:szCs w:val="24"/>
        </w:rPr>
      </w:pPr>
    </w:p>
    <w:p w:rsidR="00EE2189" w:rsidRPr="00BD69A9" w:rsidRDefault="00EE2189" w:rsidP="00EE2189">
      <w:pPr>
        <w:spacing w:after="0" w:line="240" w:lineRule="auto"/>
        <w:jc w:val="both"/>
        <w:rPr>
          <w:rFonts w:ascii="Arial" w:eastAsia="Times New Roman" w:hAnsi="Arial" w:cs="Arial"/>
          <w:sz w:val="24"/>
          <w:szCs w:val="24"/>
        </w:rPr>
      </w:pPr>
    </w:p>
    <w:p w:rsidR="00EE2189" w:rsidRPr="00BD69A9" w:rsidRDefault="00EE2189" w:rsidP="00EE2189">
      <w:pPr>
        <w:spacing w:after="0" w:line="240" w:lineRule="auto"/>
        <w:jc w:val="both"/>
        <w:rPr>
          <w:rFonts w:ascii="Arial" w:eastAsia="Times New Roman" w:hAnsi="Arial" w:cs="Arial"/>
          <w:sz w:val="24"/>
          <w:szCs w:val="24"/>
        </w:rPr>
      </w:pPr>
    </w:p>
    <w:p w:rsidR="00EE2189" w:rsidRPr="00BD69A9" w:rsidRDefault="00EE2189" w:rsidP="00EE2189">
      <w:pPr>
        <w:spacing w:after="0" w:line="240" w:lineRule="auto"/>
        <w:jc w:val="both"/>
        <w:rPr>
          <w:rFonts w:ascii="Arial" w:eastAsia="Times New Roman" w:hAnsi="Arial" w:cs="Arial"/>
          <w:sz w:val="24"/>
          <w:szCs w:val="24"/>
        </w:rPr>
      </w:pPr>
    </w:p>
    <w:p w:rsidR="00EE2189" w:rsidRDefault="00EE2189" w:rsidP="00EE2189">
      <w:pPr>
        <w:spacing w:after="0" w:line="240" w:lineRule="auto"/>
        <w:jc w:val="both"/>
        <w:rPr>
          <w:rFonts w:ascii="Arial" w:eastAsia="Times New Roman" w:hAnsi="Arial" w:cs="Arial"/>
          <w:sz w:val="24"/>
          <w:szCs w:val="24"/>
        </w:rPr>
      </w:pPr>
    </w:p>
    <w:p w:rsidR="00EE2189" w:rsidRDefault="00EE2189" w:rsidP="00EE2189">
      <w:pPr>
        <w:spacing w:after="0" w:line="240" w:lineRule="auto"/>
        <w:jc w:val="both"/>
        <w:rPr>
          <w:rFonts w:ascii="Arial" w:eastAsia="Times New Roman" w:hAnsi="Arial" w:cs="Arial"/>
          <w:sz w:val="24"/>
          <w:szCs w:val="24"/>
        </w:rPr>
      </w:pPr>
    </w:p>
    <w:sectPr w:rsidR="00EE2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9E0"/>
    <w:multiLevelType w:val="hybridMultilevel"/>
    <w:tmpl w:val="EAF452BA"/>
    <w:lvl w:ilvl="0" w:tplc="89D64F2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16504A4"/>
    <w:multiLevelType w:val="hybridMultilevel"/>
    <w:tmpl w:val="7604D3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250"/>
    <w:rsid w:val="00015890"/>
    <w:rsid w:val="000203DE"/>
    <w:rsid w:val="0005396A"/>
    <w:rsid w:val="000A2AAC"/>
    <w:rsid w:val="000C6DB7"/>
    <w:rsid w:val="000D4D43"/>
    <w:rsid w:val="001415B1"/>
    <w:rsid w:val="00170990"/>
    <w:rsid w:val="00176F07"/>
    <w:rsid w:val="00183BCF"/>
    <w:rsid w:val="001A299B"/>
    <w:rsid w:val="0020126E"/>
    <w:rsid w:val="00226801"/>
    <w:rsid w:val="0027063B"/>
    <w:rsid w:val="002C32A6"/>
    <w:rsid w:val="002E22DF"/>
    <w:rsid w:val="00310F5F"/>
    <w:rsid w:val="00316866"/>
    <w:rsid w:val="00341226"/>
    <w:rsid w:val="00343876"/>
    <w:rsid w:val="0037043F"/>
    <w:rsid w:val="003B39A7"/>
    <w:rsid w:val="003B6034"/>
    <w:rsid w:val="003E5403"/>
    <w:rsid w:val="003F26D9"/>
    <w:rsid w:val="00405587"/>
    <w:rsid w:val="00431505"/>
    <w:rsid w:val="00445162"/>
    <w:rsid w:val="00452336"/>
    <w:rsid w:val="004532C0"/>
    <w:rsid w:val="004A2F02"/>
    <w:rsid w:val="004E39FB"/>
    <w:rsid w:val="005676F7"/>
    <w:rsid w:val="00570560"/>
    <w:rsid w:val="005827AF"/>
    <w:rsid w:val="0059663A"/>
    <w:rsid w:val="005C4AB6"/>
    <w:rsid w:val="005C57CA"/>
    <w:rsid w:val="005E06C9"/>
    <w:rsid w:val="00615A3B"/>
    <w:rsid w:val="00666324"/>
    <w:rsid w:val="0067661C"/>
    <w:rsid w:val="00692B11"/>
    <w:rsid w:val="006C1F10"/>
    <w:rsid w:val="006D7B63"/>
    <w:rsid w:val="006F297B"/>
    <w:rsid w:val="007033B6"/>
    <w:rsid w:val="00720CC4"/>
    <w:rsid w:val="007650E9"/>
    <w:rsid w:val="007A4190"/>
    <w:rsid w:val="007F25CB"/>
    <w:rsid w:val="00830D56"/>
    <w:rsid w:val="00830FC7"/>
    <w:rsid w:val="008402E6"/>
    <w:rsid w:val="00857A1D"/>
    <w:rsid w:val="008E742B"/>
    <w:rsid w:val="008F6CFC"/>
    <w:rsid w:val="009434F5"/>
    <w:rsid w:val="00975403"/>
    <w:rsid w:val="009B6115"/>
    <w:rsid w:val="009C2773"/>
    <w:rsid w:val="009D302C"/>
    <w:rsid w:val="00A20079"/>
    <w:rsid w:val="00A451EB"/>
    <w:rsid w:val="00A456A1"/>
    <w:rsid w:val="00A46B12"/>
    <w:rsid w:val="00A603D7"/>
    <w:rsid w:val="00A666AB"/>
    <w:rsid w:val="00AE1828"/>
    <w:rsid w:val="00B6783D"/>
    <w:rsid w:val="00C00DC4"/>
    <w:rsid w:val="00D34C31"/>
    <w:rsid w:val="00D713FC"/>
    <w:rsid w:val="00D94B1F"/>
    <w:rsid w:val="00D97E99"/>
    <w:rsid w:val="00E26DAF"/>
    <w:rsid w:val="00E34908"/>
    <w:rsid w:val="00E63F29"/>
    <w:rsid w:val="00E67F6F"/>
    <w:rsid w:val="00EA485B"/>
    <w:rsid w:val="00EE2189"/>
    <w:rsid w:val="00F11816"/>
    <w:rsid w:val="00F40CCF"/>
    <w:rsid w:val="00F5012D"/>
    <w:rsid w:val="00F574BB"/>
    <w:rsid w:val="00F746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2017-02-17T07:40:00Z</dcterms:created>
  <dcterms:modified xsi:type="dcterms:W3CDTF">2017-03-16T05:11:00Z</dcterms:modified>
</cp:coreProperties>
</file>