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4009F4"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2286</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4009F4">
        <w:rPr>
          <w:rFonts w:ascii="Arial Narrow" w:eastAsia="Arial Unicode MS" w:hAnsi="Arial Narrow" w:cs="Times New Roman"/>
          <w:b/>
          <w:bCs/>
          <w:sz w:val="24"/>
          <w:szCs w:val="24"/>
          <w:bdr w:val="nil"/>
          <w:lang w:val="en-US"/>
        </w:rPr>
        <w:t>9 October</w:t>
      </w:r>
      <w:r w:rsidR="00655403" w:rsidRPr="00655403">
        <w:rPr>
          <w:rFonts w:ascii="Arial Narrow" w:eastAsia="Arial Unicode MS" w:hAnsi="Arial Narrow" w:cs="Times New Roman"/>
          <w:b/>
          <w:bCs/>
          <w:sz w:val="24"/>
          <w:szCs w:val="24"/>
          <w:bdr w:val="nil"/>
          <w:lang w:val="en-US"/>
        </w:rPr>
        <w:t>2020</w:t>
      </w:r>
    </w:p>
    <w:p w:rsidR="006C22EF" w:rsidRPr="00655403" w:rsidRDefault="004009F4"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36</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9F5626">
        <w:rPr>
          <w:rFonts w:ascii="Arial Narrow" w:eastAsia="Arial Unicode MS" w:hAnsi="Arial Narrow" w:cs="Times New Roman"/>
          <w:b/>
          <w:bCs/>
          <w:sz w:val="24"/>
          <w:szCs w:val="24"/>
          <w:bdr w:val="nil"/>
          <w:lang w:val="en-US"/>
        </w:rPr>
        <w:t>30 October 2020</w:t>
      </w:r>
      <w:bookmarkStart w:id="0" w:name="_GoBack"/>
      <w:bookmarkEnd w:id="0"/>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w:t>
      </w:r>
      <w:r w:rsidR="003A42D5">
        <w:rPr>
          <w:rFonts w:ascii="Arial Narrow" w:eastAsia="Calibri" w:hAnsi="Arial Narrow" w:cs="Times New Roman"/>
          <w:b/>
          <w:sz w:val="24"/>
          <w:szCs w:val="24"/>
          <w:lang w:val="af-ZA"/>
        </w:rPr>
        <w:t>K P Sithole (IFP</w:t>
      </w:r>
      <w:r w:rsidRPr="009A0955">
        <w:rPr>
          <w:rFonts w:ascii="Arial Narrow" w:eastAsia="Calibri" w:hAnsi="Arial Narrow" w:cs="Times New Roman"/>
          <w:b/>
          <w:sz w:val="24"/>
          <w:szCs w:val="24"/>
          <w:lang w:val="af-ZA"/>
        </w:rPr>
        <w:t xml:space="preserve">) to ask the Minister of Tourism:  </w:t>
      </w:r>
    </w:p>
    <w:p w:rsidR="001D1F08" w:rsidRDefault="004009F4" w:rsidP="001D1F08">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4009F4">
        <w:rPr>
          <w:rFonts w:ascii="Arial Narrow" w:eastAsia="Calibri" w:hAnsi="Arial Narrow" w:cs="Times New Roman"/>
          <w:sz w:val="24"/>
          <w:szCs w:val="24"/>
          <w:lang w:val="af-ZA"/>
        </w:rPr>
        <w:t>Whether she will furnish Mr K P Sithole with an update regarding her statement dated 30 May 2020, entitled Covid-19 alert level 3 risk adjusted strategy tourism sector response measures and directions, and in particular advice on the progress of the R30 million financial relief package that was set aside for tour guides as there are many registered tour guides who are yet to receive financial relief; if not, what is the position in this regard; if so, what are the relevant details?</w:t>
      </w:r>
      <w:r w:rsidRPr="004009F4">
        <w:rPr>
          <w:rFonts w:ascii="Arial Narrow" w:eastAsia="Calibri" w:hAnsi="Arial Narrow" w:cs="Times New Roman"/>
          <w:sz w:val="24"/>
          <w:szCs w:val="24"/>
          <w:lang w:val="af-ZA"/>
        </w:rPr>
        <w:tab/>
      </w:r>
      <w:r w:rsidRPr="004009F4">
        <w:rPr>
          <w:rFonts w:ascii="Arial Narrow" w:eastAsia="Calibri" w:hAnsi="Arial Narrow" w:cs="Times New Roman"/>
          <w:sz w:val="24"/>
          <w:szCs w:val="24"/>
          <w:lang w:val="af-ZA"/>
        </w:rPr>
        <w:tab/>
      </w:r>
      <w:r w:rsidRPr="004009F4">
        <w:rPr>
          <w:rFonts w:ascii="Arial Narrow" w:eastAsia="Calibri" w:hAnsi="Arial Narrow" w:cs="Times New Roman"/>
          <w:sz w:val="24"/>
          <w:szCs w:val="24"/>
          <w:lang w:val="af-ZA"/>
        </w:rPr>
        <w:tab/>
      </w:r>
      <w:r w:rsidRPr="004009F4">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sidRPr="004009F4">
        <w:rPr>
          <w:rFonts w:ascii="Arial Narrow" w:eastAsia="Calibri" w:hAnsi="Arial Narrow" w:cs="Times New Roman"/>
          <w:sz w:val="24"/>
          <w:szCs w:val="24"/>
          <w:lang w:val="af-ZA"/>
        </w:rPr>
        <w:t>NW2862E</w:t>
      </w:r>
    </w:p>
    <w:p w:rsidR="004009F4" w:rsidRDefault="004009F4" w:rsidP="001D1F08">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45DC7" w:rsidRPr="00D94BAF" w:rsidRDefault="00E45DC7" w:rsidP="00D94BAF">
      <w:pPr>
        <w:pStyle w:val="ListParagraph"/>
        <w:numPr>
          <w:ilvl w:val="0"/>
          <w:numId w:val="30"/>
        </w:numPr>
        <w:pBdr>
          <w:top w:val="nil"/>
          <w:left w:val="nil"/>
          <w:bottom w:val="nil"/>
          <w:right w:val="nil"/>
          <w:between w:val="nil"/>
          <w:bar w:val="nil"/>
        </w:pBdr>
        <w:spacing w:after="0" w:line="360" w:lineRule="auto"/>
        <w:ind w:left="426" w:hanging="426"/>
        <w:jc w:val="both"/>
        <w:rPr>
          <w:rFonts w:ascii="Arial Narrow" w:eastAsia="Arial Unicode MS" w:hAnsi="Arial Narrow" w:cs="Times New Roman"/>
          <w:bCs/>
          <w:sz w:val="24"/>
          <w:szCs w:val="24"/>
          <w:bdr w:val="nil"/>
          <w:lang/>
        </w:rPr>
      </w:pPr>
      <w:r w:rsidRPr="00D94BAF">
        <w:rPr>
          <w:rFonts w:ascii="Arial Narrow" w:eastAsia="Arial Unicode MS" w:hAnsi="Arial Narrow" w:cs="Times New Roman"/>
          <w:bCs/>
          <w:sz w:val="24"/>
          <w:szCs w:val="24"/>
          <w:bdr w:val="nil"/>
          <w:lang/>
        </w:rPr>
        <w:t xml:space="preserve">Following the Minister’s address earlier this year, </w:t>
      </w:r>
      <w:r w:rsidR="00D94BAF" w:rsidRPr="00D94BAF">
        <w:rPr>
          <w:rFonts w:ascii="Arial Narrow" w:eastAsia="Arial Unicode MS" w:hAnsi="Arial Narrow" w:cs="Times New Roman"/>
          <w:bCs/>
          <w:sz w:val="24"/>
          <w:szCs w:val="24"/>
          <w:bdr w:val="nil"/>
          <w:lang/>
        </w:rPr>
        <w:t xml:space="preserve">a budget of </w:t>
      </w:r>
      <w:r w:rsidRPr="00D94BAF">
        <w:rPr>
          <w:rFonts w:ascii="Arial Narrow" w:eastAsia="Arial Unicode MS" w:hAnsi="Arial Narrow" w:cs="Times New Roman"/>
          <w:bCs/>
          <w:sz w:val="24"/>
          <w:szCs w:val="24"/>
          <w:bdr w:val="nil"/>
          <w:lang/>
        </w:rPr>
        <w:t>R30million was set aside to provide financial assistance to the tourist guiding sector, particularly</w:t>
      </w:r>
      <w:r w:rsidR="00D94BAF" w:rsidRPr="00D94BAF">
        <w:rPr>
          <w:rFonts w:ascii="Arial Narrow" w:eastAsia="Arial Unicode MS" w:hAnsi="Arial Narrow" w:cs="Times New Roman"/>
          <w:bCs/>
          <w:sz w:val="24"/>
          <w:szCs w:val="24"/>
          <w:bdr w:val="nil"/>
          <w:lang/>
        </w:rPr>
        <w:t xml:space="preserve"> to</w:t>
      </w:r>
      <w:r w:rsidRPr="00D94BAF">
        <w:rPr>
          <w:rFonts w:ascii="Arial Narrow" w:eastAsia="Arial Unicode MS" w:hAnsi="Arial Narrow" w:cs="Times New Roman"/>
          <w:bCs/>
          <w:sz w:val="24"/>
          <w:szCs w:val="24"/>
          <w:bdr w:val="nil"/>
          <w:lang/>
        </w:rPr>
        <w:t xml:space="preserve"> tourist guides that </w:t>
      </w:r>
      <w:r w:rsidR="00D94BAF" w:rsidRPr="00D94BAF">
        <w:rPr>
          <w:rFonts w:ascii="Arial Narrow" w:eastAsia="Arial Unicode MS" w:hAnsi="Arial Narrow" w:cs="Times New Roman"/>
          <w:bCs/>
          <w:sz w:val="24"/>
          <w:szCs w:val="24"/>
          <w:bdr w:val="nil"/>
          <w:lang/>
        </w:rPr>
        <w:t>operate as</w:t>
      </w:r>
      <w:r w:rsidRPr="00D94BAF">
        <w:rPr>
          <w:rFonts w:ascii="Arial Narrow" w:eastAsia="Arial Unicode MS" w:hAnsi="Arial Narrow" w:cs="Times New Roman"/>
          <w:bCs/>
          <w:sz w:val="24"/>
          <w:szCs w:val="24"/>
          <w:bdr w:val="nil"/>
          <w:lang/>
        </w:rPr>
        <w:t xml:space="preserve"> freelancers. To be eligible to access the fund, the following minimum requirements had to be met:</w:t>
      </w:r>
    </w:p>
    <w:p w:rsidR="00E45DC7" w:rsidRPr="00E45DC7" w:rsidRDefault="00E45DC7" w:rsidP="00D80F36">
      <w:pPr>
        <w:numPr>
          <w:ilvl w:val="0"/>
          <w:numId w:val="29"/>
        </w:numPr>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rPr>
      </w:pPr>
      <w:r w:rsidRPr="00E45DC7">
        <w:rPr>
          <w:rFonts w:ascii="Arial Narrow" w:eastAsia="Arial Unicode MS" w:hAnsi="Arial Narrow" w:cs="Times New Roman"/>
          <w:bCs/>
          <w:sz w:val="24"/>
          <w:szCs w:val="24"/>
          <w:bdr w:val="nil"/>
          <w:lang/>
        </w:rPr>
        <w:t>Be a registered tourist guide with th</w:t>
      </w:r>
      <w:r>
        <w:rPr>
          <w:rFonts w:ascii="Arial Narrow" w:eastAsia="Arial Unicode MS" w:hAnsi="Arial Narrow" w:cs="Times New Roman"/>
          <w:bCs/>
          <w:sz w:val="24"/>
          <w:szCs w:val="24"/>
          <w:bdr w:val="nil"/>
          <w:lang/>
        </w:rPr>
        <w:t>e relevant Provincial Registrar; and</w:t>
      </w:r>
    </w:p>
    <w:p w:rsidR="00E45DC7" w:rsidRPr="00E45DC7" w:rsidRDefault="00E45DC7" w:rsidP="00D80F36">
      <w:pPr>
        <w:numPr>
          <w:ilvl w:val="0"/>
          <w:numId w:val="29"/>
        </w:numPr>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rPr>
      </w:pPr>
      <w:r>
        <w:rPr>
          <w:rFonts w:ascii="Arial Narrow" w:eastAsia="Arial Unicode MS" w:hAnsi="Arial Narrow" w:cs="Times New Roman"/>
          <w:bCs/>
          <w:sz w:val="24"/>
          <w:szCs w:val="24"/>
          <w:bdr w:val="nil"/>
          <w:lang/>
        </w:rPr>
        <w:t xml:space="preserve">Be a freelance tourist guide (i.e. not registered with </w:t>
      </w:r>
      <w:r w:rsidR="005F308B">
        <w:rPr>
          <w:rFonts w:ascii="Arial Narrow" w:eastAsia="Arial Unicode MS" w:hAnsi="Arial Narrow" w:cs="Times New Roman"/>
          <w:bCs/>
          <w:sz w:val="24"/>
          <w:szCs w:val="24"/>
          <w:bdr w:val="nil"/>
          <w:lang/>
        </w:rPr>
        <w:t>the Unemployment Insurance Fund (</w:t>
      </w:r>
      <w:r>
        <w:rPr>
          <w:rFonts w:ascii="Arial Narrow" w:eastAsia="Arial Unicode MS" w:hAnsi="Arial Narrow" w:cs="Times New Roman"/>
          <w:bCs/>
          <w:sz w:val="24"/>
          <w:szCs w:val="24"/>
          <w:bdr w:val="nil"/>
          <w:lang/>
        </w:rPr>
        <w:t>UIF</w:t>
      </w:r>
      <w:r w:rsidR="005F308B">
        <w:rPr>
          <w:rFonts w:ascii="Arial Narrow" w:eastAsia="Arial Unicode MS" w:hAnsi="Arial Narrow" w:cs="Times New Roman"/>
          <w:bCs/>
          <w:sz w:val="24"/>
          <w:szCs w:val="24"/>
          <w:bdr w:val="nil"/>
          <w:lang/>
        </w:rPr>
        <w:t>)</w:t>
      </w:r>
      <w:r>
        <w:rPr>
          <w:rFonts w:ascii="Arial Narrow" w:eastAsia="Arial Unicode MS" w:hAnsi="Arial Narrow" w:cs="Times New Roman"/>
          <w:bCs/>
          <w:sz w:val="24"/>
          <w:szCs w:val="24"/>
          <w:bdr w:val="nil"/>
          <w:lang/>
        </w:rPr>
        <w:t xml:space="preserve"> as an employee)</w:t>
      </w:r>
    </w:p>
    <w:p w:rsidR="00D94BAF" w:rsidRDefault="00D94BAF" w:rsidP="00D80F36">
      <w:pPr>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rPr>
      </w:pPr>
    </w:p>
    <w:p w:rsidR="00E45DC7" w:rsidRPr="00D94BAF" w:rsidRDefault="00D80F36" w:rsidP="00D94BAF">
      <w:pPr>
        <w:pStyle w:val="ListParagraph"/>
        <w:numPr>
          <w:ilvl w:val="0"/>
          <w:numId w:val="30"/>
        </w:numPr>
        <w:pBdr>
          <w:top w:val="nil"/>
          <w:left w:val="nil"/>
          <w:bottom w:val="nil"/>
          <w:right w:val="nil"/>
          <w:between w:val="nil"/>
          <w:bar w:val="nil"/>
        </w:pBdr>
        <w:spacing w:after="0" w:line="360" w:lineRule="auto"/>
        <w:ind w:left="426" w:hanging="426"/>
        <w:jc w:val="both"/>
        <w:rPr>
          <w:rFonts w:ascii="Arial Narrow" w:eastAsia="Arial Unicode MS" w:hAnsi="Arial Narrow" w:cs="Times New Roman"/>
          <w:bCs/>
          <w:sz w:val="24"/>
          <w:szCs w:val="24"/>
          <w:bdr w:val="nil"/>
          <w:lang/>
        </w:rPr>
      </w:pPr>
      <w:r w:rsidRPr="00D94BAF">
        <w:rPr>
          <w:rFonts w:ascii="Arial Narrow" w:eastAsia="Arial Unicode MS" w:hAnsi="Arial Narrow" w:cs="Times New Roman"/>
          <w:bCs/>
          <w:sz w:val="24"/>
          <w:szCs w:val="24"/>
          <w:bdr w:val="nil"/>
          <w:lang/>
        </w:rPr>
        <w:t xml:space="preserve">The Department implemented a “no application’’ process. As </w:t>
      </w:r>
      <w:r w:rsidR="00E45DC7" w:rsidRPr="00D94BAF">
        <w:rPr>
          <w:rFonts w:ascii="Arial Narrow" w:eastAsia="Arial Unicode MS" w:hAnsi="Arial Narrow" w:cs="Times New Roman"/>
          <w:bCs/>
          <w:sz w:val="24"/>
          <w:szCs w:val="24"/>
          <w:bdr w:val="nil"/>
          <w:lang/>
        </w:rPr>
        <w:t xml:space="preserve">the custodians of the information pertaining to registered tourist guides, Provincial Registrars (from all nine (9) provinces) provided the Department </w:t>
      </w:r>
      <w:r w:rsidR="00E45DC7" w:rsidRPr="00D94BAF">
        <w:rPr>
          <w:rFonts w:ascii="Arial Narrow" w:eastAsia="Arial Unicode MS" w:hAnsi="Arial Narrow" w:cs="Times New Roman"/>
          <w:bCs/>
          <w:sz w:val="24"/>
          <w:szCs w:val="24"/>
          <w:bdr w:val="nil"/>
          <w:lang/>
        </w:rPr>
        <w:lastRenderedPageBreak/>
        <w:t>with their respective databases of registered tourist guides whose details (including cellphone numbers) had been verified and updated.</w:t>
      </w:r>
    </w:p>
    <w:p w:rsidR="008D464E" w:rsidRDefault="008D464E" w:rsidP="008D464E">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rPr>
      </w:pPr>
    </w:p>
    <w:p w:rsidR="008D464E" w:rsidRPr="00D94BAF" w:rsidRDefault="00D80F36" w:rsidP="00D94BAF">
      <w:pPr>
        <w:pStyle w:val="ListParagraph"/>
        <w:numPr>
          <w:ilvl w:val="0"/>
          <w:numId w:val="30"/>
        </w:numPr>
        <w:pBdr>
          <w:top w:val="nil"/>
          <w:left w:val="nil"/>
          <w:bottom w:val="nil"/>
          <w:right w:val="nil"/>
          <w:between w:val="nil"/>
          <w:bar w:val="nil"/>
        </w:pBdr>
        <w:spacing w:after="0" w:line="360" w:lineRule="auto"/>
        <w:ind w:left="426" w:hanging="426"/>
        <w:jc w:val="both"/>
        <w:rPr>
          <w:rFonts w:ascii="Arial Narrow" w:eastAsia="Arial Unicode MS" w:hAnsi="Arial Narrow" w:cs="Times New Roman"/>
          <w:bCs/>
          <w:sz w:val="24"/>
          <w:szCs w:val="24"/>
          <w:bdr w:val="nil"/>
          <w:lang/>
        </w:rPr>
      </w:pPr>
      <w:r w:rsidRPr="00D94BAF">
        <w:rPr>
          <w:rFonts w:ascii="Arial Narrow" w:eastAsia="Arial Unicode MS" w:hAnsi="Arial Narrow" w:cs="Times New Roman"/>
          <w:bCs/>
          <w:sz w:val="24"/>
          <w:szCs w:val="24"/>
          <w:bdr w:val="nil"/>
          <w:lang/>
        </w:rPr>
        <w:t>Based on the information that was received by the respective Provincial Registrars, f</w:t>
      </w:r>
      <w:r w:rsidR="008D464E" w:rsidRPr="00D94BAF">
        <w:rPr>
          <w:rFonts w:ascii="Arial Narrow" w:eastAsia="Arial Unicode MS" w:hAnsi="Arial Narrow" w:cs="Times New Roman"/>
          <w:bCs/>
          <w:sz w:val="24"/>
          <w:szCs w:val="24"/>
          <w:bdr w:val="nil"/>
          <w:lang/>
        </w:rPr>
        <w:t>urther verifications were conducted with UIF</w:t>
      </w:r>
      <w:r w:rsidR="00D94BAF">
        <w:rPr>
          <w:rFonts w:ascii="Arial Narrow" w:eastAsia="Arial Unicode MS" w:hAnsi="Arial Narrow" w:cs="Times New Roman"/>
          <w:bCs/>
          <w:sz w:val="24"/>
          <w:szCs w:val="24"/>
          <w:bdr w:val="nil"/>
          <w:lang/>
        </w:rPr>
        <w:t xml:space="preserve">. Based on the outcome of the UIF verification process, </w:t>
      </w:r>
      <w:r w:rsidR="008D464E" w:rsidRPr="00D94BAF">
        <w:rPr>
          <w:rFonts w:ascii="Arial Narrow" w:eastAsia="Arial Unicode MS" w:hAnsi="Arial Narrow" w:cs="Times New Roman"/>
          <w:bCs/>
          <w:sz w:val="24"/>
          <w:szCs w:val="24"/>
          <w:bdr w:val="nil"/>
          <w:lang/>
        </w:rPr>
        <w:t>payments to a total of 4415 tourist guides have been processed to date</w:t>
      </w:r>
      <w:r w:rsidR="008D464E" w:rsidRPr="00C9020C">
        <w:rPr>
          <w:rFonts w:ascii="Arial Narrow" w:eastAsia="Arial Unicode MS" w:hAnsi="Arial Narrow" w:cs="Times New Roman"/>
          <w:bCs/>
          <w:sz w:val="24"/>
          <w:szCs w:val="24"/>
          <w:bdr w:val="nil"/>
          <w:lang/>
        </w:rPr>
        <w:t>.</w:t>
      </w:r>
      <w:r w:rsidR="00745C0F" w:rsidRPr="00C9020C">
        <w:rPr>
          <w:rFonts w:ascii="Arial Narrow" w:eastAsia="Arial Unicode MS" w:hAnsi="Arial Narrow" w:cs="Times New Roman"/>
          <w:bCs/>
          <w:sz w:val="24"/>
          <w:szCs w:val="24"/>
          <w:bdr w:val="nil"/>
          <w:lang/>
        </w:rPr>
        <w:t xml:space="preserve"> The 4415 tourist guides that were processed for payment met the criteria that is outlined above.</w:t>
      </w:r>
      <w:r w:rsidR="00935E92" w:rsidRPr="00C9020C">
        <w:rPr>
          <w:rFonts w:ascii="Arial Narrow" w:eastAsia="Arial Unicode MS" w:hAnsi="Arial Narrow" w:cs="Times New Roman"/>
          <w:bCs/>
          <w:sz w:val="24"/>
          <w:szCs w:val="24"/>
          <w:bdr w:val="nil"/>
          <w:lang/>
        </w:rPr>
        <w:t xml:space="preserve"> As </w:t>
      </w:r>
      <w:r w:rsidRPr="00C9020C">
        <w:rPr>
          <w:rFonts w:ascii="Arial Narrow" w:eastAsia="Arial Unicode MS" w:hAnsi="Arial Narrow" w:cs="Times New Roman"/>
          <w:bCs/>
          <w:sz w:val="24"/>
          <w:szCs w:val="24"/>
          <w:bdr w:val="nil"/>
          <w:lang/>
        </w:rPr>
        <w:t xml:space="preserve">per the UIF data, </w:t>
      </w:r>
      <w:r w:rsidR="00C9020C" w:rsidRPr="00C9020C">
        <w:rPr>
          <w:rFonts w:ascii="Arial Narrow" w:eastAsia="Arial Unicode MS" w:hAnsi="Arial Narrow" w:cs="Times New Roman"/>
          <w:bCs/>
          <w:sz w:val="24"/>
          <w:szCs w:val="24"/>
          <w:bdr w:val="nil"/>
          <w:lang/>
        </w:rPr>
        <w:t>4778</w:t>
      </w:r>
      <w:r w:rsidR="00935E92" w:rsidRPr="00C9020C">
        <w:rPr>
          <w:rFonts w:ascii="Arial Narrow" w:eastAsia="Arial Unicode MS" w:hAnsi="Arial Narrow" w:cs="Times New Roman"/>
          <w:bCs/>
          <w:sz w:val="24"/>
          <w:szCs w:val="24"/>
          <w:bdr w:val="nil"/>
          <w:lang/>
        </w:rPr>
        <w:t xml:space="preserve"> tourist guides </w:t>
      </w:r>
      <w:r w:rsidRPr="00C9020C">
        <w:rPr>
          <w:rFonts w:ascii="Arial Narrow" w:eastAsia="Arial Unicode MS" w:hAnsi="Arial Narrow" w:cs="Times New Roman"/>
          <w:bCs/>
          <w:sz w:val="24"/>
          <w:szCs w:val="24"/>
          <w:bdr w:val="nil"/>
          <w:lang/>
        </w:rPr>
        <w:t>did not qualify for the funding.</w:t>
      </w:r>
      <w:r w:rsidR="00CD717B" w:rsidRPr="006D23A7">
        <w:rPr>
          <w:rFonts w:ascii="Arial Narrow" w:eastAsia="Arial Unicode MS" w:hAnsi="Arial Narrow" w:cs="Times New Roman"/>
          <w:bCs/>
          <w:sz w:val="24"/>
          <w:szCs w:val="24"/>
          <w:bdr w:val="nil"/>
          <w:lang/>
        </w:rPr>
        <w:t>During the verification process it was found that 260 were duplications or their information was incomplete or incorrect.</w:t>
      </w:r>
      <w:r w:rsidR="00D94BAF">
        <w:rPr>
          <w:rFonts w:ascii="Arial Narrow" w:eastAsia="Arial Unicode MS" w:hAnsi="Arial Narrow" w:cs="Times New Roman"/>
          <w:bCs/>
          <w:sz w:val="24"/>
          <w:szCs w:val="24"/>
          <w:bdr w:val="nil"/>
          <w:lang/>
        </w:rPr>
        <w:t>The breakdown of the number of guides submitted by the respective provinces and the payments that have been processed per province is outlined in the table below:</w:t>
      </w:r>
    </w:p>
    <w:p w:rsidR="00D80F36" w:rsidRDefault="00D80F36" w:rsidP="008D464E">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18"/>
        <w:gridCol w:w="2418"/>
        <w:gridCol w:w="2409"/>
        <w:gridCol w:w="2268"/>
      </w:tblGrid>
      <w:tr w:rsidR="00D94BAF" w:rsidRPr="00D80F36" w:rsidTr="00D94BAF">
        <w:trPr>
          <w:trHeight w:val="717"/>
        </w:trPr>
        <w:tc>
          <w:tcPr>
            <w:tcW w:w="2118" w:type="dxa"/>
            <w:shd w:val="clear" w:color="auto" w:fill="D0CECE" w:themeFill="background2" w:themeFillShade="E6"/>
            <w:tcMar>
              <w:top w:w="15" w:type="dxa"/>
              <w:left w:w="106" w:type="dxa"/>
              <w:bottom w:w="0" w:type="dxa"/>
              <w:right w:w="106" w:type="dxa"/>
            </w:tcMar>
            <w:vAlign w:val="center"/>
            <w:hideMark/>
          </w:tcPr>
          <w:p w:rsidR="00D80F36" w:rsidRPr="00D80F36" w:rsidRDefault="00D80F36" w:rsidP="00D80F36">
            <w:pPr>
              <w:spacing w:after="0" w:line="240" w:lineRule="auto"/>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Province</w:t>
            </w:r>
          </w:p>
        </w:tc>
        <w:tc>
          <w:tcPr>
            <w:tcW w:w="2418" w:type="dxa"/>
            <w:shd w:val="clear" w:color="auto" w:fill="D0CECE" w:themeFill="background2" w:themeFillShade="E6"/>
            <w:tcMar>
              <w:top w:w="15" w:type="dxa"/>
              <w:left w:w="106" w:type="dxa"/>
              <w:bottom w:w="0" w:type="dxa"/>
              <w:right w:w="106" w:type="dxa"/>
            </w:tcMar>
            <w:vAlign w:val="center"/>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Number of guides submitted by province</w:t>
            </w:r>
          </w:p>
        </w:tc>
        <w:tc>
          <w:tcPr>
            <w:tcW w:w="2409" w:type="dxa"/>
            <w:shd w:val="clear" w:color="auto" w:fill="D0CECE" w:themeFill="background2" w:themeFillShade="E6"/>
            <w:tcMar>
              <w:top w:w="15" w:type="dxa"/>
              <w:left w:w="106" w:type="dxa"/>
              <w:bottom w:w="0" w:type="dxa"/>
              <w:right w:w="106" w:type="dxa"/>
            </w:tcMar>
            <w:vAlign w:val="center"/>
            <w:hideMark/>
          </w:tcPr>
          <w:p w:rsidR="00D80F36" w:rsidRPr="00D80F36" w:rsidRDefault="00D80F36" w:rsidP="00AD3A75">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 xml:space="preserve">Number of guides </w:t>
            </w:r>
            <w:r w:rsidR="00AD3A75">
              <w:rPr>
                <w:rFonts w:ascii="Arial Narrow" w:eastAsia="Times New Roman" w:hAnsi="Arial Narrow" w:cs="Arial"/>
                <w:b/>
                <w:bCs/>
                <w:kern w:val="24"/>
                <w:sz w:val="24"/>
                <w:szCs w:val="24"/>
                <w:lang w:val="en-US" w:eastAsia="en-ZA"/>
              </w:rPr>
              <w:t>that met the criteria</w:t>
            </w:r>
            <w:r w:rsidRPr="00D80F36">
              <w:rPr>
                <w:rFonts w:ascii="Arial Narrow" w:eastAsia="Times New Roman" w:hAnsi="Arial Narrow" w:cs="Arial"/>
                <w:b/>
                <w:bCs/>
                <w:kern w:val="24"/>
                <w:sz w:val="24"/>
                <w:szCs w:val="24"/>
                <w:lang w:val="en-US" w:eastAsia="en-ZA"/>
              </w:rPr>
              <w:t xml:space="preserve"> for payment</w:t>
            </w:r>
          </w:p>
        </w:tc>
        <w:tc>
          <w:tcPr>
            <w:tcW w:w="2268" w:type="dxa"/>
            <w:shd w:val="clear" w:color="auto" w:fill="D0CECE" w:themeFill="background2" w:themeFillShade="E6"/>
            <w:tcMar>
              <w:top w:w="15" w:type="dxa"/>
              <w:left w:w="106" w:type="dxa"/>
              <w:bottom w:w="0" w:type="dxa"/>
              <w:right w:w="106" w:type="dxa"/>
            </w:tcMar>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 of guides received funding</w:t>
            </w:r>
          </w:p>
        </w:tc>
      </w:tr>
      <w:tr w:rsidR="00D94BAF" w:rsidRPr="00D80F36" w:rsidTr="00D94BAF">
        <w:trPr>
          <w:trHeight w:val="288"/>
        </w:trPr>
        <w:tc>
          <w:tcPr>
            <w:tcW w:w="21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1. Eastern Cape</w:t>
            </w:r>
          </w:p>
        </w:tc>
        <w:tc>
          <w:tcPr>
            <w:tcW w:w="24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505</w:t>
            </w:r>
          </w:p>
        </w:tc>
        <w:tc>
          <w:tcPr>
            <w:tcW w:w="2409"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 </w:t>
            </w:r>
          </w:p>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179</w:t>
            </w:r>
          </w:p>
        </w:tc>
        <w:tc>
          <w:tcPr>
            <w:tcW w:w="226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35%</w:t>
            </w:r>
          </w:p>
        </w:tc>
      </w:tr>
      <w:tr w:rsidR="00D94BAF" w:rsidRPr="00D80F36" w:rsidTr="00D94BAF">
        <w:trPr>
          <w:trHeight w:val="266"/>
        </w:trPr>
        <w:tc>
          <w:tcPr>
            <w:tcW w:w="21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2. Free State</w:t>
            </w:r>
          </w:p>
        </w:tc>
        <w:tc>
          <w:tcPr>
            <w:tcW w:w="24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38</w:t>
            </w:r>
          </w:p>
        </w:tc>
        <w:tc>
          <w:tcPr>
            <w:tcW w:w="2409"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 </w:t>
            </w:r>
          </w:p>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24</w:t>
            </w:r>
          </w:p>
        </w:tc>
        <w:tc>
          <w:tcPr>
            <w:tcW w:w="226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63%</w:t>
            </w:r>
          </w:p>
        </w:tc>
      </w:tr>
      <w:tr w:rsidR="00D94BAF" w:rsidRPr="00D80F36" w:rsidTr="00D94BAF">
        <w:trPr>
          <w:trHeight w:val="260"/>
        </w:trPr>
        <w:tc>
          <w:tcPr>
            <w:tcW w:w="21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3. Gauteng</w:t>
            </w:r>
          </w:p>
        </w:tc>
        <w:tc>
          <w:tcPr>
            <w:tcW w:w="24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1167</w:t>
            </w:r>
          </w:p>
        </w:tc>
        <w:tc>
          <w:tcPr>
            <w:tcW w:w="2409"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 </w:t>
            </w:r>
          </w:p>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963</w:t>
            </w:r>
          </w:p>
        </w:tc>
        <w:tc>
          <w:tcPr>
            <w:tcW w:w="226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83%</w:t>
            </w:r>
          </w:p>
        </w:tc>
      </w:tr>
      <w:tr w:rsidR="00D94BAF" w:rsidRPr="00D80F36" w:rsidTr="00D94BAF">
        <w:trPr>
          <w:trHeight w:val="240"/>
        </w:trPr>
        <w:tc>
          <w:tcPr>
            <w:tcW w:w="21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4. KwaZulu-Natal</w:t>
            </w:r>
          </w:p>
        </w:tc>
        <w:tc>
          <w:tcPr>
            <w:tcW w:w="24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745</w:t>
            </w:r>
          </w:p>
        </w:tc>
        <w:tc>
          <w:tcPr>
            <w:tcW w:w="2409"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 </w:t>
            </w:r>
          </w:p>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410</w:t>
            </w:r>
          </w:p>
        </w:tc>
        <w:tc>
          <w:tcPr>
            <w:tcW w:w="226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55%</w:t>
            </w:r>
          </w:p>
        </w:tc>
      </w:tr>
      <w:tr w:rsidR="00D94BAF" w:rsidRPr="00D80F36" w:rsidTr="00D94BAF">
        <w:trPr>
          <w:trHeight w:val="220"/>
        </w:trPr>
        <w:tc>
          <w:tcPr>
            <w:tcW w:w="21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5. Limpopo</w:t>
            </w:r>
          </w:p>
        </w:tc>
        <w:tc>
          <w:tcPr>
            <w:tcW w:w="24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418</w:t>
            </w:r>
          </w:p>
        </w:tc>
        <w:tc>
          <w:tcPr>
            <w:tcW w:w="2409"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 </w:t>
            </w:r>
          </w:p>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145</w:t>
            </w:r>
          </w:p>
        </w:tc>
        <w:tc>
          <w:tcPr>
            <w:tcW w:w="226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35%</w:t>
            </w:r>
          </w:p>
        </w:tc>
      </w:tr>
      <w:tr w:rsidR="00D94BAF" w:rsidRPr="00D80F36" w:rsidTr="00D94BAF">
        <w:trPr>
          <w:trHeight w:val="200"/>
        </w:trPr>
        <w:tc>
          <w:tcPr>
            <w:tcW w:w="21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6. Mpumalanga</w:t>
            </w:r>
          </w:p>
        </w:tc>
        <w:tc>
          <w:tcPr>
            <w:tcW w:w="24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1197</w:t>
            </w:r>
          </w:p>
        </w:tc>
        <w:tc>
          <w:tcPr>
            <w:tcW w:w="2409"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 </w:t>
            </w:r>
          </w:p>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434</w:t>
            </w:r>
          </w:p>
        </w:tc>
        <w:tc>
          <w:tcPr>
            <w:tcW w:w="226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36%</w:t>
            </w:r>
          </w:p>
        </w:tc>
      </w:tr>
      <w:tr w:rsidR="00D94BAF" w:rsidRPr="00D80F36" w:rsidTr="00D94BAF">
        <w:trPr>
          <w:trHeight w:val="322"/>
        </w:trPr>
        <w:tc>
          <w:tcPr>
            <w:tcW w:w="21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7. Northern Cape</w:t>
            </w:r>
          </w:p>
        </w:tc>
        <w:tc>
          <w:tcPr>
            <w:tcW w:w="24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109</w:t>
            </w:r>
          </w:p>
        </w:tc>
        <w:tc>
          <w:tcPr>
            <w:tcW w:w="2409"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 </w:t>
            </w:r>
          </w:p>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105</w:t>
            </w:r>
          </w:p>
        </w:tc>
        <w:tc>
          <w:tcPr>
            <w:tcW w:w="226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96%</w:t>
            </w:r>
          </w:p>
        </w:tc>
      </w:tr>
      <w:tr w:rsidR="00D94BAF" w:rsidRPr="00D80F36" w:rsidTr="00D94BAF">
        <w:trPr>
          <w:trHeight w:val="302"/>
        </w:trPr>
        <w:tc>
          <w:tcPr>
            <w:tcW w:w="21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8. North West</w:t>
            </w:r>
          </w:p>
        </w:tc>
        <w:tc>
          <w:tcPr>
            <w:tcW w:w="24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242</w:t>
            </w:r>
          </w:p>
        </w:tc>
        <w:tc>
          <w:tcPr>
            <w:tcW w:w="2409"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 </w:t>
            </w:r>
          </w:p>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116</w:t>
            </w:r>
          </w:p>
        </w:tc>
        <w:tc>
          <w:tcPr>
            <w:tcW w:w="226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48%</w:t>
            </w:r>
          </w:p>
        </w:tc>
      </w:tr>
      <w:tr w:rsidR="00D94BAF" w:rsidRPr="00D80F36" w:rsidTr="00D94BAF">
        <w:trPr>
          <w:trHeight w:val="282"/>
        </w:trPr>
        <w:tc>
          <w:tcPr>
            <w:tcW w:w="21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rPr>
                <w:rFonts w:ascii="Arial" w:eastAsia="Times New Roman" w:hAnsi="Arial" w:cs="Arial"/>
                <w:sz w:val="24"/>
                <w:szCs w:val="24"/>
                <w:lang w:eastAsia="en-ZA"/>
              </w:rPr>
            </w:pPr>
            <w:r w:rsidRPr="00D80F36">
              <w:rPr>
                <w:rFonts w:ascii="Arial Narrow" w:eastAsia="Times New Roman" w:hAnsi="Arial Narrow" w:cs="Arial"/>
                <w:b/>
                <w:bCs/>
                <w:kern w:val="24"/>
                <w:sz w:val="24"/>
                <w:szCs w:val="24"/>
                <w:lang w:val="en-US" w:eastAsia="en-ZA"/>
              </w:rPr>
              <w:t>9. Western Cape</w:t>
            </w:r>
          </w:p>
        </w:tc>
        <w:tc>
          <w:tcPr>
            <w:tcW w:w="241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5032</w:t>
            </w:r>
          </w:p>
        </w:tc>
        <w:tc>
          <w:tcPr>
            <w:tcW w:w="2409"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 </w:t>
            </w:r>
          </w:p>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2039</w:t>
            </w:r>
          </w:p>
        </w:tc>
        <w:tc>
          <w:tcPr>
            <w:tcW w:w="2268" w:type="dxa"/>
            <w:shd w:val="clear" w:color="auto" w:fill="auto"/>
            <w:tcMar>
              <w:top w:w="15" w:type="dxa"/>
              <w:left w:w="106" w:type="dxa"/>
              <w:bottom w:w="0" w:type="dxa"/>
              <w:right w:w="106" w:type="dxa"/>
            </w:tcMar>
            <w:vAlign w:val="bottom"/>
            <w:hideMark/>
          </w:tcPr>
          <w:p w:rsidR="00D80F36" w:rsidRPr="00D80F36" w:rsidRDefault="00D80F36" w:rsidP="00D80F36">
            <w:pPr>
              <w:spacing w:after="0" w:line="240" w:lineRule="auto"/>
              <w:jc w:val="center"/>
              <w:rPr>
                <w:rFonts w:ascii="Arial" w:eastAsia="Times New Roman" w:hAnsi="Arial" w:cs="Arial"/>
                <w:sz w:val="24"/>
                <w:szCs w:val="24"/>
                <w:lang w:eastAsia="en-ZA"/>
              </w:rPr>
            </w:pPr>
            <w:r w:rsidRPr="00D80F36">
              <w:rPr>
                <w:rFonts w:ascii="Arial Narrow" w:eastAsia="Times New Roman" w:hAnsi="Arial Narrow" w:cs="Arial"/>
                <w:kern w:val="24"/>
                <w:sz w:val="24"/>
                <w:szCs w:val="24"/>
                <w:lang w:val="en-US" w:eastAsia="en-ZA"/>
              </w:rPr>
              <w:t>41%</w:t>
            </w:r>
          </w:p>
        </w:tc>
      </w:tr>
      <w:tr w:rsidR="00D94BAF" w:rsidRPr="00D80F36" w:rsidTr="00D94BAF">
        <w:trPr>
          <w:trHeight w:val="673"/>
        </w:trPr>
        <w:tc>
          <w:tcPr>
            <w:tcW w:w="2118" w:type="dxa"/>
            <w:shd w:val="clear" w:color="auto" w:fill="auto"/>
            <w:tcMar>
              <w:top w:w="15" w:type="dxa"/>
              <w:left w:w="106" w:type="dxa"/>
              <w:bottom w:w="0" w:type="dxa"/>
              <w:right w:w="106" w:type="dxa"/>
            </w:tcMar>
            <w:vAlign w:val="bottom"/>
            <w:hideMark/>
          </w:tcPr>
          <w:p w:rsidR="00D80F36" w:rsidRPr="00D80F36" w:rsidRDefault="00D80F36" w:rsidP="00D80F36">
            <w:pPr>
              <w:spacing w:after="0" w:line="360" w:lineRule="auto"/>
              <w:jc w:val="both"/>
              <w:rPr>
                <w:rFonts w:ascii="Arial" w:eastAsia="Times New Roman" w:hAnsi="Arial" w:cs="Arial"/>
                <w:b/>
                <w:sz w:val="24"/>
                <w:szCs w:val="24"/>
                <w:lang w:eastAsia="en-ZA"/>
              </w:rPr>
            </w:pPr>
            <w:r w:rsidRPr="00D80F36">
              <w:rPr>
                <w:rFonts w:ascii="Arial Narrow" w:eastAsia="Times New Roman" w:hAnsi="Arial Narrow" w:cs="Arial"/>
                <w:b/>
                <w:bCs/>
                <w:kern w:val="24"/>
                <w:sz w:val="24"/>
                <w:szCs w:val="24"/>
                <w:lang w:val="en-US" w:eastAsia="en-ZA"/>
              </w:rPr>
              <w:t>Totals</w:t>
            </w:r>
          </w:p>
        </w:tc>
        <w:tc>
          <w:tcPr>
            <w:tcW w:w="2418" w:type="dxa"/>
            <w:shd w:val="clear" w:color="auto" w:fill="auto"/>
            <w:tcMar>
              <w:top w:w="15" w:type="dxa"/>
              <w:left w:w="106" w:type="dxa"/>
              <w:bottom w:w="0" w:type="dxa"/>
              <w:right w:w="106" w:type="dxa"/>
            </w:tcMar>
            <w:vAlign w:val="bottom"/>
            <w:hideMark/>
          </w:tcPr>
          <w:p w:rsidR="00D80F36" w:rsidRPr="00D80F36" w:rsidRDefault="00D80F36" w:rsidP="00D80F36">
            <w:pPr>
              <w:spacing w:after="0" w:line="360" w:lineRule="auto"/>
              <w:jc w:val="center"/>
              <w:rPr>
                <w:rFonts w:ascii="Arial" w:eastAsia="Times New Roman" w:hAnsi="Arial" w:cs="Arial"/>
                <w:b/>
                <w:sz w:val="24"/>
                <w:szCs w:val="24"/>
                <w:lang w:eastAsia="en-ZA"/>
              </w:rPr>
            </w:pPr>
            <w:r w:rsidRPr="00D80F36">
              <w:rPr>
                <w:rFonts w:ascii="Arial Narrow" w:eastAsia="Times New Roman" w:hAnsi="Arial Narrow" w:cs="Arial"/>
                <w:b/>
                <w:kern w:val="24"/>
                <w:sz w:val="24"/>
                <w:szCs w:val="24"/>
                <w:lang w:val="en-US" w:eastAsia="en-ZA"/>
              </w:rPr>
              <w:t>9453</w:t>
            </w:r>
          </w:p>
        </w:tc>
        <w:tc>
          <w:tcPr>
            <w:tcW w:w="2409" w:type="dxa"/>
            <w:shd w:val="clear" w:color="auto" w:fill="auto"/>
            <w:tcMar>
              <w:top w:w="15" w:type="dxa"/>
              <w:left w:w="106" w:type="dxa"/>
              <w:bottom w:w="0" w:type="dxa"/>
              <w:right w:w="106" w:type="dxa"/>
            </w:tcMar>
            <w:vAlign w:val="bottom"/>
            <w:hideMark/>
          </w:tcPr>
          <w:p w:rsidR="00D80F36" w:rsidRPr="00D80F36" w:rsidRDefault="00D80F36" w:rsidP="00D80F36">
            <w:pPr>
              <w:spacing w:after="0" w:line="360" w:lineRule="auto"/>
              <w:jc w:val="center"/>
              <w:rPr>
                <w:rFonts w:ascii="Arial" w:eastAsia="Times New Roman" w:hAnsi="Arial" w:cs="Arial"/>
                <w:b/>
                <w:sz w:val="24"/>
                <w:szCs w:val="24"/>
                <w:lang w:eastAsia="en-ZA"/>
              </w:rPr>
            </w:pPr>
            <w:r w:rsidRPr="00D80F36">
              <w:rPr>
                <w:rFonts w:ascii="Arial Narrow" w:eastAsia="Times New Roman" w:hAnsi="Arial Narrow" w:cs="Arial"/>
                <w:b/>
                <w:kern w:val="24"/>
                <w:sz w:val="24"/>
                <w:szCs w:val="24"/>
                <w:lang w:val="en-US" w:eastAsia="en-ZA"/>
              </w:rPr>
              <w:t>4415</w:t>
            </w:r>
          </w:p>
        </w:tc>
        <w:tc>
          <w:tcPr>
            <w:tcW w:w="2268" w:type="dxa"/>
            <w:shd w:val="clear" w:color="auto" w:fill="auto"/>
            <w:tcMar>
              <w:top w:w="15" w:type="dxa"/>
              <w:left w:w="106" w:type="dxa"/>
              <w:bottom w:w="0" w:type="dxa"/>
              <w:right w:w="106" w:type="dxa"/>
            </w:tcMar>
            <w:vAlign w:val="bottom"/>
            <w:hideMark/>
          </w:tcPr>
          <w:p w:rsidR="00D80F36" w:rsidRPr="00D80F36" w:rsidRDefault="00D80F36" w:rsidP="00D80F36">
            <w:pPr>
              <w:spacing w:after="0" w:line="360" w:lineRule="auto"/>
              <w:jc w:val="center"/>
              <w:rPr>
                <w:rFonts w:ascii="Arial" w:eastAsia="Times New Roman" w:hAnsi="Arial" w:cs="Arial"/>
                <w:b/>
                <w:sz w:val="24"/>
                <w:szCs w:val="24"/>
                <w:lang w:eastAsia="en-ZA"/>
              </w:rPr>
            </w:pPr>
            <w:r w:rsidRPr="00D80F36">
              <w:rPr>
                <w:rFonts w:ascii="Arial Narrow" w:eastAsia="Times New Roman" w:hAnsi="Arial Narrow" w:cs="Arial"/>
                <w:b/>
                <w:kern w:val="24"/>
                <w:sz w:val="24"/>
                <w:szCs w:val="24"/>
                <w:lang w:val="en-US" w:eastAsia="en-ZA"/>
              </w:rPr>
              <w:t>47%</w:t>
            </w:r>
          </w:p>
        </w:tc>
      </w:tr>
    </w:tbl>
    <w:p w:rsidR="00D80F36" w:rsidRPr="00E45DC7" w:rsidRDefault="00D80F36" w:rsidP="008D464E">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rPr>
      </w:pPr>
    </w:p>
    <w:p w:rsidR="00504917" w:rsidRPr="005F4A48" w:rsidRDefault="00D94BAF" w:rsidP="0081653B">
      <w:pPr>
        <w:pStyle w:val="ListParagraph"/>
        <w:numPr>
          <w:ilvl w:val="0"/>
          <w:numId w:val="30"/>
        </w:numPr>
        <w:pBdr>
          <w:top w:val="nil"/>
          <w:left w:val="nil"/>
          <w:bottom w:val="nil"/>
          <w:right w:val="nil"/>
          <w:between w:val="nil"/>
          <w:bar w:val="nil"/>
        </w:pBdr>
        <w:tabs>
          <w:tab w:val="left" w:pos="567"/>
        </w:tabs>
        <w:spacing w:after="0" w:line="360" w:lineRule="auto"/>
        <w:ind w:left="567" w:hanging="567"/>
        <w:jc w:val="both"/>
        <w:rPr>
          <w:rFonts w:ascii="Arial Narrow" w:eastAsia="Calibri" w:hAnsi="Arial Narrow" w:cs="Times New Roman"/>
          <w:sz w:val="24"/>
          <w:szCs w:val="24"/>
        </w:rPr>
      </w:pPr>
      <w:r w:rsidRPr="005F4A48">
        <w:rPr>
          <w:rFonts w:ascii="Arial Narrow" w:eastAsia="Arial Unicode MS" w:hAnsi="Arial Narrow" w:cs="Times New Roman"/>
          <w:bCs/>
          <w:sz w:val="24"/>
          <w:szCs w:val="24"/>
          <w:bdr w:val="nil"/>
          <w:lang w:val="en-US"/>
        </w:rPr>
        <w:t xml:space="preserve">A total of R19 867 500.00 has been committed for the payment to 4415 tourist guides. By end of October 2020, all 4415 tourist guides will have received a total payment of R4500 (R1500per guide X 3 months). </w:t>
      </w: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sectPr w:rsidR="00504917"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DDD" w:rsidRDefault="00DB2DDD">
      <w:pPr>
        <w:spacing w:after="0" w:line="240" w:lineRule="auto"/>
      </w:pPr>
      <w:r>
        <w:separator/>
      </w:r>
    </w:p>
  </w:endnote>
  <w:endnote w:type="continuationSeparator" w:id="1">
    <w:p w:rsidR="00DB2DDD" w:rsidRDefault="00DB2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4009F4" w:rsidP="002F279D">
        <w:pPr>
          <w:pStyle w:val="Footer"/>
          <w:tabs>
            <w:tab w:val="clear" w:pos="4513"/>
            <w:tab w:val="center" w:pos="5103"/>
          </w:tabs>
          <w:jc w:val="right"/>
          <w:rPr>
            <w:rFonts w:ascii="Arial Narrow" w:hAnsi="Arial Narrow"/>
          </w:rPr>
        </w:pPr>
        <w:r>
          <w:rPr>
            <w:rFonts w:ascii="Arial Narrow" w:hAnsi="Arial Narrow"/>
            <w:sz w:val="18"/>
            <w:szCs w:val="18"/>
          </w:rPr>
          <w:t>2286</w:t>
        </w:r>
        <w:r w:rsidR="00504917" w:rsidRPr="00504917">
          <w:rPr>
            <w:rFonts w:ascii="Arial Narrow" w:hAnsi="Arial Narrow"/>
            <w:sz w:val="18"/>
            <w:szCs w:val="18"/>
          </w:rPr>
          <w:t xml:space="preserve"> (NW</w:t>
        </w:r>
        <w:r>
          <w:rPr>
            <w:rFonts w:ascii="Arial Narrow" w:hAnsi="Arial Narrow"/>
            <w:sz w:val="18"/>
            <w:szCs w:val="18"/>
          </w:rPr>
          <w:t>2862</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32629E" w:rsidRPr="00013AC6">
          <w:rPr>
            <w:rFonts w:ascii="Arial Narrow" w:hAnsi="Arial Narrow"/>
          </w:rPr>
          <w:fldChar w:fldCharType="begin"/>
        </w:r>
        <w:r w:rsidR="00013AC6" w:rsidRPr="00013AC6">
          <w:rPr>
            <w:rFonts w:ascii="Arial Narrow" w:hAnsi="Arial Narrow"/>
          </w:rPr>
          <w:instrText xml:space="preserve"> PAGE   \* MERGEFORMAT </w:instrText>
        </w:r>
        <w:r w:rsidR="0032629E" w:rsidRPr="00013AC6">
          <w:rPr>
            <w:rFonts w:ascii="Arial Narrow" w:hAnsi="Arial Narrow"/>
          </w:rPr>
          <w:fldChar w:fldCharType="separate"/>
        </w:r>
        <w:r w:rsidR="00D029C8">
          <w:rPr>
            <w:rFonts w:ascii="Arial Narrow" w:hAnsi="Arial Narrow"/>
            <w:noProof/>
          </w:rPr>
          <w:t>2</w:t>
        </w:r>
        <w:r w:rsidR="0032629E" w:rsidRPr="00013AC6">
          <w:rPr>
            <w:rFonts w:ascii="Arial Narrow" w:hAnsi="Arial Narrow"/>
            <w:noProof/>
          </w:rPr>
          <w:fldChar w:fldCharType="end"/>
        </w:r>
      </w:p>
    </w:sdtContent>
  </w:sdt>
  <w:p w:rsidR="00C0184E" w:rsidRPr="00013AC6" w:rsidRDefault="00DB2DDD"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B2DDD">
    <w:pPr>
      <w:pStyle w:val="Footer"/>
      <w:jc w:val="right"/>
    </w:pPr>
  </w:p>
  <w:p w:rsidR="001656DE" w:rsidRPr="006016C0" w:rsidRDefault="004009F4" w:rsidP="006016C0">
    <w:pPr>
      <w:pStyle w:val="HeaderFooter"/>
      <w:jc w:val="center"/>
      <w:rPr>
        <w:rFonts w:ascii="Arial Narrow" w:hAnsi="Arial Narrow"/>
        <w:sz w:val="18"/>
        <w:szCs w:val="18"/>
      </w:rPr>
    </w:pPr>
    <w:r>
      <w:rPr>
        <w:rFonts w:ascii="Arial Narrow" w:hAnsi="Arial Narrow"/>
        <w:sz w:val="18"/>
        <w:szCs w:val="18"/>
      </w:rPr>
      <w:t>2286</w:t>
    </w:r>
    <w:r w:rsidR="00D100A6">
      <w:rPr>
        <w:rFonts w:ascii="Arial Narrow" w:hAnsi="Arial Narrow"/>
        <w:sz w:val="18"/>
        <w:szCs w:val="18"/>
      </w:rPr>
      <w:t xml:space="preserve"> (NW</w:t>
    </w:r>
    <w:r w:rsidR="009A0955">
      <w:rPr>
        <w:rFonts w:ascii="Arial Narrow" w:hAnsi="Arial Narrow"/>
        <w:sz w:val="18"/>
        <w:szCs w:val="18"/>
      </w:rPr>
      <w:t>2</w:t>
    </w:r>
    <w:r>
      <w:rPr>
        <w:rFonts w:ascii="Arial Narrow" w:hAnsi="Arial Narrow"/>
        <w:sz w:val="18"/>
        <w:szCs w:val="18"/>
      </w:rPr>
      <w:t>862</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DDD" w:rsidRDefault="00DB2DDD">
      <w:pPr>
        <w:spacing w:after="0" w:line="240" w:lineRule="auto"/>
      </w:pPr>
      <w:r>
        <w:separator/>
      </w:r>
    </w:p>
  </w:footnote>
  <w:footnote w:type="continuationSeparator" w:id="1">
    <w:p w:rsidR="00DB2DDD" w:rsidRDefault="00DB2D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87E"/>
    <w:multiLevelType w:val="multilevel"/>
    <w:tmpl w:val="69902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0">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1E0C07"/>
    <w:multiLevelType w:val="hybridMultilevel"/>
    <w:tmpl w:val="203CF4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0A61655"/>
    <w:multiLevelType w:val="hybridMultilevel"/>
    <w:tmpl w:val="6E844E6A"/>
    <w:lvl w:ilvl="0" w:tplc="AE22D6B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7">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1410B1B"/>
    <w:multiLevelType w:val="hybridMultilevel"/>
    <w:tmpl w:val="678CBE46"/>
    <w:lvl w:ilvl="0" w:tplc="1C090001">
      <w:start w:val="1"/>
      <w:numFmt w:val="bullet"/>
      <w:lvlText w:val=""/>
      <w:lvlJc w:val="left"/>
      <w:pPr>
        <w:ind w:left="1332" w:hanging="360"/>
      </w:pPr>
      <w:rPr>
        <w:rFonts w:ascii="Symbol" w:hAnsi="Symbol" w:hint="default"/>
      </w:rPr>
    </w:lvl>
    <w:lvl w:ilvl="1" w:tplc="1C090003" w:tentative="1">
      <w:start w:val="1"/>
      <w:numFmt w:val="bullet"/>
      <w:lvlText w:val="o"/>
      <w:lvlJc w:val="left"/>
      <w:pPr>
        <w:ind w:left="2052" w:hanging="360"/>
      </w:pPr>
      <w:rPr>
        <w:rFonts w:ascii="Courier New" w:hAnsi="Courier New" w:cs="Courier New" w:hint="default"/>
      </w:rPr>
    </w:lvl>
    <w:lvl w:ilvl="2" w:tplc="1C090005" w:tentative="1">
      <w:start w:val="1"/>
      <w:numFmt w:val="bullet"/>
      <w:lvlText w:val=""/>
      <w:lvlJc w:val="left"/>
      <w:pPr>
        <w:ind w:left="2772" w:hanging="360"/>
      </w:pPr>
      <w:rPr>
        <w:rFonts w:ascii="Wingdings" w:hAnsi="Wingdings" w:hint="default"/>
      </w:rPr>
    </w:lvl>
    <w:lvl w:ilvl="3" w:tplc="1C090001" w:tentative="1">
      <w:start w:val="1"/>
      <w:numFmt w:val="bullet"/>
      <w:lvlText w:val=""/>
      <w:lvlJc w:val="left"/>
      <w:pPr>
        <w:ind w:left="3492" w:hanging="360"/>
      </w:pPr>
      <w:rPr>
        <w:rFonts w:ascii="Symbol" w:hAnsi="Symbol" w:hint="default"/>
      </w:rPr>
    </w:lvl>
    <w:lvl w:ilvl="4" w:tplc="1C090003" w:tentative="1">
      <w:start w:val="1"/>
      <w:numFmt w:val="bullet"/>
      <w:lvlText w:val="o"/>
      <w:lvlJc w:val="left"/>
      <w:pPr>
        <w:ind w:left="4212" w:hanging="360"/>
      </w:pPr>
      <w:rPr>
        <w:rFonts w:ascii="Courier New" w:hAnsi="Courier New" w:cs="Courier New" w:hint="default"/>
      </w:rPr>
    </w:lvl>
    <w:lvl w:ilvl="5" w:tplc="1C090005" w:tentative="1">
      <w:start w:val="1"/>
      <w:numFmt w:val="bullet"/>
      <w:lvlText w:val=""/>
      <w:lvlJc w:val="left"/>
      <w:pPr>
        <w:ind w:left="4932" w:hanging="360"/>
      </w:pPr>
      <w:rPr>
        <w:rFonts w:ascii="Wingdings" w:hAnsi="Wingdings" w:hint="default"/>
      </w:rPr>
    </w:lvl>
    <w:lvl w:ilvl="6" w:tplc="1C090001" w:tentative="1">
      <w:start w:val="1"/>
      <w:numFmt w:val="bullet"/>
      <w:lvlText w:val=""/>
      <w:lvlJc w:val="left"/>
      <w:pPr>
        <w:ind w:left="5652" w:hanging="360"/>
      </w:pPr>
      <w:rPr>
        <w:rFonts w:ascii="Symbol" w:hAnsi="Symbol" w:hint="default"/>
      </w:rPr>
    </w:lvl>
    <w:lvl w:ilvl="7" w:tplc="1C090003" w:tentative="1">
      <w:start w:val="1"/>
      <w:numFmt w:val="bullet"/>
      <w:lvlText w:val="o"/>
      <w:lvlJc w:val="left"/>
      <w:pPr>
        <w:ind w:left="6372" w:hanging="360"/>
      </w:pPr>
      <w:rPr>
        <w:rFonts w:ascii="Courier New" w:hAnsi="Courier New" w:cs="Courier New" w:hint="default"/>
      </w:rPr>
    </w:lvl>
    <w:lvl w:ilvl="8" w:tplc="1C090005" w:tentative="1">
      <w:start w:val="1"/>
      <w:numFmt w:val="bullet"/>
      <w:lvlText w:val=""/>
      <w:lvlJc w:val="left"/>
      <w:pPr>
        <w:ind w:left="7092" w:hanging="360"/>
      </w:pPr>
      <w:rPr>
        <w:rFonts w:ascii="Wingdings" w:hAnsi="Wingdings" w:hint="default"/>
      </w:rPr>
    </w:lvl>
  </w:abstractNum>
  <w:abstractNum w:abstractNumId="29">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7"/>
  </w:num>
  <w:num w:numId="3">
    <w:abstractNumId w:val="7"/>
  </w:num>
  <w:num w:numId="4">
    <w:abstractNumId w:val="8"/>
  </w:num>
  <w:num w:numId="5">
    <w:abstractNumId w:val="2"/>
  </w:num>
  <w:num w:numId="6">
    <w:abstractNumId w:val="19"/>
  </w:num>
  <w:num w:numId="7">
    <w:abstractNumId w:val="6"/>
  </w:num>
  <w:num w:numId="8">
    <w:abstractNumId w:val="3"/>
  </w:num>
  <w:num w:numId="9">
    <w:abstractNumId w:val="23"/>
  </w:num>
  <w:num w:numId="10">
    <w:abstractNumId w:val="16"/>
  </w:num>
  <w:num w:numId="11">
    <w:abstractNumId w:val="22"/>
  </w:num>
  <w:num w:numId="12">
    <w:abstractNumId w:val="26"/>
  </w:num>
  <w:num w:numId="13">
    <w:abstractNumId w:val="17"/>
  </w:num>
  <w:num w:numId="14">
    <w:abstractNumId w:val="5"/>
  </w:num>
  <w:num w:numId="15">
    <w:abstractNumId w:val="10"/>
  </w:num>
  <w:num w:numId="16">
    <w:abstractNumId w:val="15"/>
  </w:num>
  <w:num w:numId="17">
    <w:abstractNumId w:val="9"/>
  </w:num>
  <w:num w:numId="18">
    <w:abstractNumId w:val="12"/>
  </w:num>
  <w:num w:numId="19">
    <w:abstractNumId w:val="13"/>
  </w:num>
  <w:num w:numId="20">
    <w:abstractNumId w:val="21"/>
  </w:num>
  <w:num w:numId="21">
    <w:abstractNumId w:val="11"/>
  </w:num>
  <w:num w:numId="22">
    <w:abstractNumId w:val="20"/>
  </w:num>
  <w:num w:numId="23">
    <w:abstractNumId w:val="18"/>
  </w:num>
  <w:num w:numId="24">
    <w:abstractNumId w:val="29"/>
  </w:num>
  <w:num w:numId="25">
    <w:abstractNumId w:val="4"/>
  </w:num>
  <w:num w:numId="26">
    <w:abstractNumId w:val="25"/>
  </w:num>
  <w:num w:numId="27">
    <w:abstractNumId w:val="14"/>
  </w:num>
  <w:num w:numId="28">
    <w:abstractNumId w:val="0"/>
  </w:num>
  <w:num w:numId="29">
    <w:abstractNumId w:val="2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70783"/>
    <w:rsid w:val="000C3341"/>
    <w:rsid w:val="000C44F3"/>
    <w:rsid w:val="000C51A5"/>
    <w:rsid w:val="001839A9"/>
    <w:rsid w:val="001A23A6"/>
    <w:rsid w:val="001C5D48"/>
    <w:rsid w:val="001D1F08"/>
    <w:rsid w:val="001E58B5"/>
    <w:rsid w:val="002E24A9"/>
    <w:rsid w:val="002F279D"/>
    <w:rsid w:val="002F397B"/>
    <w:rsid w:val="003111B9"/>
    <w:rsid w:val="0032627A"/>
    <w:rsid w:val="0032629E"/>
    <w:rsid w:val="003334EC"/>
    <w:rsid w:val="003766B1"/>
    <w:rsid w:val="0038039F"/>
    <w:rsid w:val="00387417"/>
    <w:rsid w:val="0039104F"/>
    <w:rsid w:val="003A42D5"/>
    <w:rsid w:val="003C5683"/>
    <w:rsid w:val="003D4737"/>
    <w:rsid w:val="004009F4"/>
    <w:rsid w:val="00471ABE"/>
    <w:rsid w:val="0047408B"/>
    <w:rsid w:val="0048626B"/>
    <w:rsid w:val="004B2C2E"/>
    <w:rsid w:val="004D02F7"/>
    <w:rsid w:val="00504917"/>
    <w:rsid w:val="00521766"/>
    <w:rsid w:val="00545830"/>
    <w:rsid w:val="00564DCC"/>
    <w:rsid w:val="005A6A87"/>
    <w:rsid w:val="005C13B9"/>
    <w:rsid w:val="005C36B5"/>
    <w:rsid w:val="005F308B"/>
    <w:rsid w:val="005F4A48"/>
    <w:rsid w:val="005F56A5"/>
    <w:rsid w:val="006016C0"/>
    <w:rsid w:val="00627B0B"/>
    <w:rsid w:val="00632E4F"/>
    <w:rsid w:val="006333D4"/>
    <w:rsid w:val="00655403"/>
    <w:rsid w:val="00674374"/>
    <w:rsid w:val="006B0355"/>
    <w:rsid w:val="006C22EF"/>
    <w:rsid w:val="006D23A7"/>
    <w:rsid w:val="00745C0F"/>
    <w:rsid w:val="007A55E7"/>
    <w:rsid w:val="007B489C"/>
    <w:rsid w:val="007F5766"/>
    <w:rsid w:val="008121CD"/>
    <w:rsid w:val="0087661E"/>
    <w:rsid w:val="008A7A9A"/>
    <w:rsid w:val="008B0B46"/>
    <w:rsid w:val="008B55A3"/>
    <w:rsid w:val="008D464E"/>
    <w:rsid w:val="008E73A3"/>
    <w:rsid w:val="0091328D"/>
    <w:rsid w:val="00935E92"/>
    <w:rsid w:val="00940CDA"/>
    <w:rsid w:val="0094185D"/>
    <w:rsid w:val="00972BD7"/>
    <w:rsid w:val="00975E93"/>
    <w:rsid w:val="009A0955"/>
    <w:rsid w:val="009A58D0"/>
    <w:rsid w:val="009F5626"/>
    <w:rsid w:val="00A76D97"/>
    <w:rsid w:val="00AA32E7"/>
    <w:rsid w:val="00AD2AEF"/>
    <w:rsid w:val="00AD3A75"/>
    <w:rsid w:val="00B115A7"/>
    <w:rsid w:val="00B12CA0"/>
    <w:rsid w:val="00B359B5"/>
    <w:rsid w:val="00B641DA"/>
    <w:rsid w:val="00B71DB5"/>
    <w:rsid w:val="00BC6927"/>
    <w:rsid w:val="00BF4B67"/>
    <w:rsid w:val="00C14944"/>
    <w:rsid w:val="00C24A26"/>
    <w:rsid w:val="00C339C8"/>
    <w:rsid w:val="00C53330"/>
    <w:rsid w:val="00C9020C"/>
    <w:rsid w:val="00CA07FC"/>
    <w:rsid w:val="00CA5B5B"/>
    <w:rsid w:val="00CD4D2F"/>
    <w:rsid w:val="00CD717B"/>
    <w:rsid w:val="00CF5F1F"/>
    <w:rsid w:val="00D021EC"/>
    <w:rsid w:val="00D029C8"/>
    <w:rsid w:val="00D100A6"/>
    <w:rsid w:val="00D27D2D"/>
    <w:rsid w:val="00D47F8D"/>
    <w:rsid w:val="00D80F36"/>
    <w:rsid w:val="00D94BAF"/>
    <w:rsid w:val="00DB2DDD"/>
    <w:rsid w:val="00DC2F7B"/>
    <w:rsid w:val="00DC7D45"/>
    <w:rsid w:val="00E22D99"/>
    <w:rsid w:val="00E4192C"/>
    <w:rsid w:val="00E45DC7"/>
    <w:rsid w:val="00E47924"/>
    <w:rsid w:val="00E54B68"/>
    <w:rsid w:val="00E872F4"/>
    <w:rsid w:val="00E94463"/>
    <w:rsid w:val="00EE5E4C"/>
    <w:rsid w:val="00EF0544"/>
    <w:rsid w:val="00F1693A"/>
    <w:rsid w:val="00F4258D"/>
    <w:rsid w:val="00F73FD0"/>
    <w:rsid w:val="00FC4B41"/>
    <w:rsid w:val="00FC5E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7D4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50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B2D3-A8F0-4F52-91DF-4F1A4329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K P Sithole (IFP) to ask the Minister of Tourism:  </vt:lpstr>
    </vt:vector>
  </TitlesOfParts>
  <Company>Microsoft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2020-10-20T15:06:00Z</cp:lastPrinted>
  <dcterms:created xsi:type="dcterms:W3CDTF">2020-10-31T11:24:00Z</dcterms:created>
  <dcterms:modified xsi:type="dcterms:W3CDTF">2020-10-31T11:24:00Z</dcterms:modified>
</cp:coreProperties>
</file>