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Pr="00057F1C" w:rsidRDefault="007E334E" w:rsidP="007E334E">
      <w:pPr>
        <w:spacing w:line="276" w:lineRule="auto"/>
        <w:ind w:left="-142" w:right="328"/>
        <w:jc w:val="center"/>
      </w:pPr>
      <w:r w:rsidRPr="00057F1C">
        <w:rPr>
          <w:noProof/>
          <w:lang w:val="en-ZA" w:eastAsia="en-ZA"/>
        </w:rPr>
        <w:drawing>
          <wp:inline distT="0" distB="0" distL="0" distR="0">
            <wp:extent cx="1438275" cy="12019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50" cy="120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4E" w:rsidRDefault="007E334E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:rsidR="00A77FE8" w:rsidRPr="00E80892" w:rsidRDefault="00A77FE8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:rsidR="00A77FE8" w:rsidRDefault="00A77FE8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DEPARTMENT: PUBLIC ENTERPRISES</w:t>
      </w:r>
    </w:p>
    <w:p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REPUBLIC OF SOUTH AFRICA</w:t>
      </w:r>
    </w:p>
    <w:p w:rsidR="006E42C7" w:rsidRDefault="006E42C7" w:rsidP="006E42C7">
      <w:pPr>
        <w:spacing w:line="276" w:lineRule="auto"/>
        <w:ind w:right="328"/>
        <w:rPr>
          <w:rFonts w:cs="Arial"/>
          <w:b/>
          <w:sz w:val="22"/>
          <w:szCs w:val="24"/>
        </w:rPr>
      </w:pPr>
    </w:p>
    <w:p w:rsidR="007E334E" w:rsidRDefault="007E334E" w:rsidP="00955D53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NATIONAL ASSEMBLY</w:t>
      </w:r>
    </w:p>
    <w:p w:rsidR="00955D53" w:rsidRDefault="00955D53" w:rsidP="00955D53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QUESTION FOR WRITTEN REPLY</w:t>
      </w:r>
    </w:p>
    <w:p w:rsidR="00955D53" w:rsidRDefault="00955D53" w:rsidP="00955D53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QUESTION 2284</w:t>
      </w:r>
    </w:p>
    <w:p w:rsidR="006E42C7" w:rsidRDefault="006E42C7" w:rsidP="006E42C7">
      <w:pPr>
        <w:spacing w:line="276" w:lineRule="auto"/>
        <w:ind w:right="328"/>
        <w:rPr>
          <w:rFonts w:cs="Arial"/>
          <w:b/>
          <w:sz w:val="22"/>
          <w:szCs w:val="24"/>
        </w:rPr>
      </w:pPr>
    </w:p>
    <w:p w:rsidR="00B37B99" w:rsidRPr="00B37B99" w:rsidRDefault="002A0800" w:rsidP="00B37B99">
      <w:pPr>
        <w:spacing w:before="100" w:beforeAutospacing="1" w:after="100" w:afterAutospacing="1"/>
        <w:ind w:left="720" w:hanging="720"/>
        <w:jc w:val="both"/>
        <w:outlineLvl w:val="0"/>
        <w:rPr>
          <w:rFonts w:eastAsia="Calibri" w:cs="Arial"/>
          <w:b/>
          <w:bCs/>
          <w:color w:val="auto"/>
          <w:szCs w:val="24"/>
          <w:lang w:val="en-ZA" w:eastAsia="en-US"/>
        </w:rPr>
      </w:pPr>
      <w:r>
        <w:rPr>
          <w:rFonts w:eastAsia="Calibri" w:cs="Arial"/>
          <w:b/>
          <w:bCs/>
          <w:color w:val="auto"/>
          <w:szCs w:val="24"/>
          <w:lang w:val="en-ZA" w:eastAsia="en-US"/>
        </w:rPr>
        <w:t>2284</w:t>
      </w:r>
      <w:r w:rsidR="00B37B99" w:rsidRPr="00B37B99">
        <w:rPr>
          <w:rFonts w:eastAsia="Calibri" w:cs="Arial"/>
          <w:b/>
          <w:bCs/>
          <w:color w:val="auto"/>
          <w:szCs w:val="24"/>
          <w:lang w:val="en-ZA" w:eastAsia="en-US"/>
        </w:rPr>
        <w:t>.</w:t>
      </w:r>
      <w:r w:rsidR="00B37B99" w:rsidRPr="00B37B99">
        <w:rPr>
          <w:rFonts w:eastAsia="Calibri" w:cs="Arial"/>
          <w:b/>
          <w:bCs/>
          <w:color w:val="auto"/>
          <w:szCs w:val="24"/>
          <w:lang w:val="en-ZA" w:eastAsia="en-US"/>
        </w:rPr>
        <w:tab/>
        <w:t>M</w:t>
      </w:r>
      <w:r>
        <w:rPr>
          <w:rFonts w:eastAsia="Calibri" w:cs="Arial"/>
          <w:b/>
          <w:bCs/>
          <w:color w:val="auto"/>
          <w:szCs w:val="24"/>
          <w:lang w:val="en-ZA" w:eastAsia="en-US"/>
        </w:rPr>
        <w:t>s O M C Maotwe</w:t>
      </w:r>
      <w:r w:rsidR="00B37B99" w:rsidRPr="00B37B99">
        <w:rPr>
          <w:rFonts w:eastAsia="Calibri" w:cs="Arial"/>
          <w:b/>
          <w:bCs/>
          <w:color w:val="auto"/>
          <w:szCs w:val="24"/>
          <w:lang w:val="en-ZA" w:eastAsia="en-US"/>
        </w:rPr>
        <w:t xml:space="preserve"> (</w:t>
      </w:r>
      <w:r>
        <w:rPr>
          <w:rFonts w:eastAsia="Calibri" w:cs="Arial"/>
          <w:b/>
          <w:bCs/>
          <w:color w:val="auto"/>
          <w:szCs w:val="24"/>
          <w:lang w:val="en-ZA" w:eastAsia="en-US"/>
        </w:rPr>
        <w:t>EFF</w:t>
      </w:r>
      <w:r w:rsidR="00B37B99" w:rsidRPr="00B37B99">
        <w:rPr>
          <w:rFonts w:eastAsia="Calibri" w:cs="Arial"/>
          <w:b/>
          <w:bCs/>
          <w:color w:val="auto"/>
          <w:szCs w:val="24"/>
          <w:lang w:val="en-ZA" w:eastAsia="en-US"/>
        </w:rPr>
        <w:t>) to ask the Minister of Public Enterprises</w:t>
      </w:r>
      <w:r w:rsidR="009461F5" w:rsidRPr="00B37B99">
        <w:rPr>
          <w:rFonts w:eastAsia="Calibri" w:cs="Arial"/>
          <w:b/>
          <w:bCs/>
          <w:color w:val="auto"/>
          <w:szCs w:val="24"/>
          <w:lang w:val="en-ZA" w:eastAsia="en-US"/>
        </w:rPr>
        <w:fldChar w:fldCharType="begin"/>
      </w:r>
      <w:r w:rsidR="00B37B99" w:rsidRPr="00B37B99">
        <w:rPr>
          <w:rFonts w:eastAsia="Calibri" w:cs="Arial"/>
          <w:color w:val="auto"/>
          <w:szCs w:val="24"/>
          <w:lang w:val="en-ZA" w:eastAsia="en-US"/>
        </w:rPr>
        <w:instrText xml:space="preserve"> XE "</w:instrText>
      </w:r>
      <w:r w:rsidR="00B37B99" w:rsidRPr="00B37B99">
        <w:rPr>
          <w:rFonts w:eastAsia="Calibri" w:cs="Arial"/>
          <w:b/>
          <w:color w:val="auto"/>
          <w:szCs w:val="24"/>
          <w:lang w:val="en-ZA" w:eastAsia="en-US"/>
        </w:rPr>
        <w:instrText>Public Enterprises</w:instrText>
      </w:r>
      <w:r w:rsidR="00B37B99" w:rsidRPr="00B37B99">
        <w:rPr>
          <w:rFonts w:eastAsia="Calibri" w:cs="Arial"/>
          <w:color w:val="auto"/>
          <w:szCs w:val="24"/>
          <w:lang w:val="en-ZA" w:eastAsia="en-US"/>
        </w:rPr>
        <w:instrText xml:space="preserve">" </w:instrText>
      </w:r>
      <w:r w:rsidR="009461F5" w:rsidRPr="00B37B99">
        <w:rPr>
          <w:rFonts w:eastAsia="Calibri" w:cs="Arial"/>
          <w:b/>
          <w:bCs/>
          <w:color w:val="auto"/>
          <w:szCs w:val="24"/>
          <w:lang w:val="en-ZA" w:eastAsia="en-US"/>
        </w:rPr>
        <w:fldChar w:fldCharType="end"/>
      </w:r>
      <w:r w:rsidR="00B37B99" w:rsidRPr="00B37B99">
        <w:rPr>
          <w:rFonts w:eastAsia="Calibri" w:cs="Arial"/>
          <w:b/>
          <w:bCs/>
          <w:color w:val="auto"/>
          <w:szCs w:val="24"/>
          <w:lang w:val="en-ZA" w:eastAsia="en-US"/>
        </w:rPr>
        <w:t>:</w:t>
      </w:r>
    </w:p>
    <w:p w:rsidR="001A5B86" w:rsidRDefault="002A0800" w:rsidP="001A5B86">
      <w:pPr>
        <w:spacing w:before="100" w:beforeAutospacing="1" w:after="100" w:afterAutospacing="1"/>
        <w:ind w:left="1440"/>
        <w:jc w:val="both"/>
      </w:pPr>
      <w:r>
        <w:t>What informed the use of Treasury Regulation 16A6.6 to appoint Rand Merchant Bank as transaction advisor to oversee the Strategic Equity Partner transaction of Air Chef by SAA?</w:t>
      </w:r>
      <w:r w:rsidR="001A5B86">
        <w:t>NW2858</w:t>
      </w:r>
    </w:p>
    <w:p w:rsidR="00B37B99" w:rsidRPr="001A5B86" w:rsidRDefault="002A0800" w:rsidP="001A5B86">
      <w:pPr>
        <w:spacing w:before="100" w:beforeAutospacing="1" w:after="100" w:afterAutospacing="1"/>
        <w:ind w:left="1440"/>
        <w:jc w:val="both"/>
        <w:rPr>
          <w:rFonts w:ascii="Calibri" w:hAnsi="Calibri"/>
          <w:color w:val="auto"/>
          <w:lang w:eastAsia="en-US"/>
        </w:rPr>
      </w:pPr>
      <w:r>
        <w:t>                                                                       </w:t>
      </w:r>
    </w:p>
    <w:p w:rsidR="00B37B99" w:rsidRPr="00955D53" w:rsidRDefault="00B37B99" w:rsidP="00B37B99">
      <w:pPr>
        <w:tabs>
          <w:tab w:val="center" w:pos="4847"/>
        </w:tabs>
        <w:spacing w:before="100" w:beforeAutospacing="1" w:after="100" w:afterAutospacing="1"/>
        <w:ind w:left="1440" w:hanging="720"/>
        <w:jc w:val="both"/>
        <w:rPr>
          <w:rFonts w:eastAsia="Calibri" w:cs="Arial"/>
          <w:b/>
          <w:bCs/>
          <w:color w:val="auto"/>
          <w:szCs w:val="24"/>
          <w:u w:val="single"/>
          <w:lang w:val="en-GB" w:eastAsia="en-US"/>
        </w:rPr>
      </w:pPr>
      <w:r w:rsidRPr="00955D53">
        <w:rPr>
          <w:rFonts w:eastAsia="Calibri" w:cs="Arial"/>
          <w:b/>
          <w:bCs/>
          <w:color w:val="auto"/>
          <w:szCs w:val="24"/>
          <w:u w:val="single"/>
          <w:lang w:val="en-GB" w:eastAsia="en-US"/>
        </w:rPr>
        <w:t xml:space="preserve">Reply: </w:t>
      </w:r>
    </w:p>
    <w:p w:rsidR="002A0800" w:rsidRDefault="00B37B99" w:rsidP="00B37B99">
      <w:pPr>
        <w:spacing w:before="100" w:beforeAutospacing="1" w:after="100" w:afterAutospacing="1"/>
        <w:ind w:left="1440" w:hanging="720"/>
        <w:jc w:val="both"/>
        <w:rPr>
          <w:rFonts w:eastAsia="Calibri" w:cs="Arial"/>
          <w:color w:val="auto"/>
          <w:szCs w:val="24"/>
          <w:lang w:val="en-GB" w:eastAsia="en-US"/>
        </w:rPr>
      </w:pPr>
      <w:r w:rsidRPr="00B37B99">
        <w:rPr>
          <w:rFonts w:eastAsia="Calibri" w:cs="Arial"/>
          <w:b/>
          <w:bCs/>
          <w:color w:val="auto"/>
          <w:szCs w:val="24"/>
          <w:lang w:val="en-GB" w:eastAsia="en-US"/>
        </w:rPr>
        <w:tab/>
      </w:r>
      <w:r w:rsidR="002A0800" w:rsidRPr="002A0800">
        <w:rPr>
          <w:rFonts w:eastAsia="Calibri" w:cs="Arial"/>
          <w:color w:val="auto"/>
          <w:szCs w:val="24"/>
          <w:lang w:val="en-GB" w:eastAsia="en-US"/>
        </w:rPr>
        <w:t>SAA</w:t>
      </w:r>
      <w:r w:rsidR="002A0800">
        <w:rPr>
          <w:rFonts w:eastAsia="Calibri" w:cs="Arial"/>
          <w:color w:val="auto"/>
          <w:szCs w:val="24"/>
          <w:lang w:val="en-GB" w:eastAsia="en-US"/>
        </w:rPr>
        <w:t xml:space="preserve"> did not use Treasury Regulation 16A6.6 to appoint Rand Merchant Bank (RMB) as a transaction advisor to oversee the Strategic Equity Partner transaction of A</w:t>
      </w:r>
      <w:r w:rsidRPr="00B37B99">
        <w:rPr>
          <w:rFonts w:eastAsia="Calibri" w:cs="Arial"/>
          <w:color w:val="auto"/>
          <w:szCs w:val="24"/>
          <w:lang w:val="en-GB" w:eastAsia="en-US"/>
        </w:rPr>
        <w:t>ir</w:t>
      </w:r>
      <w:r w:rsidR="002A0800">
        <w:rPr>
          <w:rFonts w:eastAsia="Calibri" w:cs="Arial"/>
          <w:color w:val="auto"/>
          <w:szCs w:val="24"/>
          <w:lang w:val="en-GB" w:eastAsia="en-US"/>
        </w:rPr>
        <w:t>chef</w:t>
      </w:r>
      <w:r w:rsidR="006F0AA4">
        <w:rPr>
          <w:rFonts w:eastAsia="Calibri" w:cs="Arial"/>
          <w:color w:val="auto"/>
          <w:szCs w:val="24"/>
          <w:lang w:val="en-GB" w:eastAsia="en-US"/>
        </w:rPr>
        <w:t>s</w:t>
      </w:r>
      <w:r w:rsidR="002A0800">
        <w:rPr>
          <w:rFonts w:eastAsia="Calibri" w:cs="Arial"/>
          <w:color w:val="auto"/>
          <w:szCs w:val="24"/>
          <w:lang w:val="en-GB" w:eastAsia="en-US"/>
        </w:rPr>
        <w:t xml:space="preserve">. SAA used normal </w:t>
      </w:r>
      <w:r w:rsidR="001E547E">
        <w:rPr>
          <w:rFonts w:eastAsia="Calibri" w:cs="Arial"/>
          <w:color w:val="auto"/>
          <w:szCs w:val="24"/>
          <w:lang w:val="en-GB" w:eastAsia="en-US"/>
        </w:rPr>
        <w:t xml:space="preserve">open competitive </w:t>
      </w:r>
      <w:r w:rsidR="002A0800">
        <w:rPr>
          <w:rFonts w:eastAsia="Calibri" w:cs="Arial"/>
          <w:color w:val="auto"/>
          <w:szCs w:val="24"/>
          <w:lang w:val="en-GB" w:eastAsia="en-US"/>
        </w:rPr>
        <w:t>procurement processes to appoint RMB as transaction advisor for Airchef</w:t>
      </w:r>
      <w:r w:rsidR="006F0AA4">
        <w:rPr>
          <w:rFonts w:eastAsia="Calibri" w:cs="Arial"/>
          <w:color w:val="auto"/>
          <w:szCs w:val="24"/>
          <w:lang w:val="en-GB" w:eastAsia="en-US"/>
        </w:rPr>
        <w:t>s</w:t>
      </w:r>
      <w:r w:rsidR="002A0800">
        <w:rPr>
          <w:rFonts w:eastAsia="Calibri" w:cs="Arial"/>
          <w:color w:val="auto"/>
          <w:szCs w:val="24"/>
          <w:lang w:val="en-GB" w:eastAsia="en-US"/>
        </w:rPr>
        <w:t xml:space="preserve">. </w:t>
      </w:r>
    </w:p>
    <w:p w:rsidR="001A5B86" w:rsidRPr="001A5B86" w:rsidRDefault="002A0800" w:rsidP="00485FA8">
      <w:pPr>
        <w:spacing w:before="100" w:beforeAutospacing="1" w:after="100" w:afterAutospacing="1"/>
        <w:ind w:left="1440" w:hanging="720"/>
        <w:jc w:val="both"/>
        <w:rPr>
          <w:rFonts w:cs="Arial"/>
          <w:b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Cs w:val="24"/>
          <w:lang w:val="en-GB" w:eastAsia="en-US"/>
        </w:rPr>
        <w:tab/>
        <w:t>The Department however, used Treasury Regulation 16A6.6 to appoint RMB as a transaction advisor to oversee the Strategic Equity Partner</w:t>
      </w:r>
      <w:r w:rsidR="006F0AA4">
        <w:rPr>
          <w:rFonts w:eastAsia="Calibri" w:cs="Arial"/>
          <w:color w:val="auto"/>
          <w:szCs w:val="24"/>
          <w:lang w:val="en-GB" w:eastAsia="en-US"/>
        </w:rPr>
        <w:t xml:space="preserve"> (SEP)</w:t>
      </w:r>
      <w:r>
        <w:rPr>
          <w:rFonts w:eastAsia="Calibri" w:cs="Arial"/>
          <w:color w:val="auto"/>
          <w:szCs w:val="24"/>
          <w:lang w:val="en-GB" w:eastAsia="en-US"/>
        </w:rPr>
        <w:t xml:space="preserve"> transaction for SAA. This was carried out in order to speed up the process of assessing the best SEP for SAA </w:t>
      </w:r>
      <w:r w:rsidR="00097439">
        <w:rPr>
          <w:rFonts w:eastAsia="Calibri" w:cs="Arial"/>
          <w:color w:val="auto"/>
          <w:szCs w:val="24"/>
          <w:lang w:val="en-GB" w:eastAsia="en-US"/>
        </w:rPr>
        <w:t xml:space="preserve">as part of the </w:t>
      </w:r>
      <w:r w:rsidR="006F0AA4">
        <w:rPr>
          <w:rFonts w:eastAsia="Calibri" w:cs="Arial"/>
          <w:color w:val="auto"/>
          <w:szCs w:val="24"/>
          <w:lang w:val="en-GB" w:eastAsia="en-US"/>
        </w:rPr>
        <w:t>work</w:t>
      </w:r>
      <w:r w:rsidR="00097439">
        <w:rPr>
          <w:rFonts w:eastAsia="Calibri" w:cs="Arial"/>
          <w:color w:val="auto"/>
          <w:szCs w:val="24"/>
          <w:lang w:val="en-GB" w:eastAsia="en-US"/>
        </w:rPr>
        <w:t xml:space="preserve"> of </w:t>
      </w:r>
      <w:r>
        <w:rPr>
          <w:rFonts w:eastAsia="Calibri" w:cs="Arial"/>
          <w:color w:val="auto"/>
          <w:szCs w:val="24"/>
          <w:lang w:val="en-GB" w:eastAsia="en-US"/>
        </w:rPr>
        <w:t>conclud</w:t>
      </w:r>
      <w:r w:rsidR="00097439">
        <w:rPr>
          <w:rFonts w:eastAsia="Calibri" w:cs="Arial"/>
          <w:color w:val="auto"/>
          <w:szCs w:val="24"/>
          <w:lang w:val="en-GB" w:eastAsia="en-US"/>
        </w:rPr>
        <w:t>ing</w:t>
      </w:r>
      <w:r>
        <w:rPr>
          <w:rFonts w:eastAsia="Calibri" w:cs="Arial"/>
          <w:color w:val="auto"/>
          <w:szCs w:val="24"/>
          <w:lang w:val="en-GB" w:eastAsia="en-US"/>
        </w:rPr>
        <w:t xml:space="preserve"> the business rescue process</w:t>
      </w:r>
      <w:r w:rsidR="001E547E">
        <w:rPr>
          <w:rFonts w:eastAsia="Calibri" w:cs="Arial"/>
          <w:color w:val="auto"/>
          <w:szCs w:val="24"/>
          <w:lang w:val="en-GB" w:eastAsia="en-US"/>
        </w:rPr>
        <w:t xml:space="preserve"> given the fact that RMB was already underseeing this </w:t>
      </w:r>
      <w:r w:rsidR="006F0AA4">
        <w:rPr>
          <w:rFonts w:eastAsia="Calibri" w:cs="Arial"/>
          <w:color w:val="auto"/>
          <w:szCs w:val="24"/>
          <w:lang w:val="en-GB" w:eastAsia="en-US"/>
        </w:rPr>
        <w:t xml:space="preserve">SEP transaction </w:t>
      </w:r>
      <w:r w:rsidR="001E547E">
        <w:rPr>
          <w:rFonts w:eastAsia="Calibri" w:cs="Arial"/>
          <w:color w:val="auto"/>
          <w:szCs w:val="24"/>
          <w:lang w:val="en-GB" w:eastAsia="en-US"/>
        </w:rPr>
        <w:t>with Airchef</w:t>
      </w:r>
      <w:r w:rsidR="006F0AA4">
        <w:rPr>
          <w:rFonts w:eastAsia="Calibri" w:cs="Arial"/>
          <w:color w:val="auto"/>
          <w:szCs w:val="24"/>
          <w:lang w:val="en-GB" w:eastAsia="en-US"/>
        </w:rPr>
        <w:t>s</w:t>
      </w:r>
      <w:r w:rsidR="00097439">
        <w:rPr>
          <w:rFonts w:eastAsia="Calibri" w:cs="Arial"/>
          <w:color w:val="auto"/>
          <w:szCs w:val="24"/>
          <w:lang w:val="en-GB" w:eastAsia="en-US"/>
        </w:rPr>
        <w:t xml:space="preserve">. </w:t>
      </w:r>
      <w:bookmarkStart w:id="0" w:name="_GoBack"/>
      <w:bookmarkEnd w:id="0"/>
    </w:p>
    <w:sectPr w:rsidR="001A5B86" w:rsidRPr="001A5B86" w:rsidSect="00D02F0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993" w:right="1134" w:bottom="851" w:left="1797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76" w:rsidRDefault="00530C76">
      <w:r>
        <w:separator/>
      </w:r>
    </w:p>
  </w:endnote>
  <w:endnote w:type="continuationSeparator" w:id="1">
    <w:p w:rsidR="00530C76" w:rsidRDefault="0053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23569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1726716996"/>
          <w:docPartObj>
            <w:docPartGallery w:val="Page Numbers (Top of Page)"/>
            <w:docPartUnique/>
          </w:docPartObj>
        </w:sdtPr>
        <w:sdtContent>
          <w:p w:rsidR="003E058D" w:rsidRPr="003E058D" w:rsidRDefault="009461F5" w:rsidP="00691FC0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  <w:p w:rsidR="006D7F6D" w:rsidRPr="00A27D60" w:rsidRDefault="00530C76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03974"/>
      <w:docPartObj>
        <w:docPartGallery w:val="Page Numbers (Bottom of Page)"/>
        <w:docPartUnique/>
      </w:docPartObj>
    </w:sdtPr>
    <w:sdtContent>
      <w:sdt>
        <w:sdtPr>
          <w:id w:val="467399741"/>
          <w:docPartObj>
            <w:docPartGallery w:val="Page Numbers (Top of Page)"/>
            <w:docPartUnique/>
          </w:docPartObj>
        </w:sdtPr>
        <w:sdtContent>
          <w:p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="009461F5"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="009461F5"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="009461F5"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="009461F5"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="009461F5" w:rsidRPr="008F59C5">
              <w:rPr>
                <w:bCs/>
                <w:sz w:val="16"/>
                <w:szCs w:val="16"/>
              </w:rPr>
              <w:fldChar w:fldCharType="separate"/>
            </w:r>
            <w:r w:rsidR="006D0884">
              <w:rPr>
                <w:bCs/>
                <w:noProof/>
                <w:sz w:val="16"/>
                <w:szCs w:val="16"/>
              </w:rPr>
              <w:t>2</w:t>
            </w:r>
            <w:r w:rsidR="009461F5"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76" w:rsidRDefault="00530C76">
      <w:r>
        <w:separator/>
      </w:r>
    </w:p>
  </w:footnote>
  <w:footnote w:type="continuationSeparator" w:id="1">
    <w:p w:rsidR="00530C76" w:rsidRDefault="0053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22" w:rsidRDefault="00530C76">
    <w:pPr>
      <w:rPr>
        <w:rFonts w:ascii="Courier" w:hAnsi="Courie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E" w:rsidRDefault="002A54AE" w:rsidP="00166145">
    <w:pPr>
      <w:rPr>
        <w:sz w:val="16"/>
      </w:rPr>
    </w:pPr>
  </w:p>
  <w:p w:rsidR="00B24E8D" w:rsidRDefault="00B24E8D">
    <w:pPr>
      <w:jc w:val="center"/>
      <w:rPr>
        <w:sz w:val="16"/>
      </w:rPr>
    </w:pPr>
  </w:p>
  <w:p w:rsidR="00166145" w:rsidRDefault="00A77FE8" w:rsidP="00A77FE8">
    <w:pPr>
      <w:tabs>
        <w:tab w:val="left" w:pos="2424"/>
      </w:tabs>
      <w:rPr>
        <w:sz w:val="16"/>
      </w:rPr>
    </w:pPr>
    <w:r>
      <w:rPr>
        <w:sz w:val="16"/>
      </w:rPr>
      <w:tab/>
    </w:r>
  </w:p>
  <w:p w:rsidR="00B24E8D" w:rsidRDefault="00B24E8D" w:rsidP="00166145">
    <w:pPr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278C4FB0"/>
    <w:multiLevelType w:val="hybridMultilevel"/>
    <w:tmpl w:val="7EA4FD36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7705E"/>
    <w:multiLevelType w:val="hybridMultilevel"/>
    <w:tmpl w:val="788E5062"/>
    <w:lvl w:ilvl="0" w:tplc="7F1613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17186"/>
    <w:multiLevelType w:val="hybridMultilevel"/>
    <w:tmpl w:val="FD4A84D0"/>
    <w:lvl w:ilvl="0" w:tplc="1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7318A"/>
    <w:multiLevelType w:val="hybridMultilevel"/>
    <w:tmpl w:val="72861BB6"/>
    <w:lvl w:ilvl="0" w:tplc="1A3A8C1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49D707E4"/>
    <w:multiLevelType w:val="hybridMultilevel"/>
    <w:tmpl w:val="D602B450"/>
    <w:lvl w:ilvl="0" w:tplc="78BAF0C8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CE54275"/>
    <w:multiLevelType w:val="hybridMultilevel"/>
    <w:tmpl w:val="E1728642"/>
    <w:lvl w:ilvl="0" w:tplc="B11E645E">
      <w:start w:val="1"/>
      <w:numFmt w:val="lowerLetter"/>
      <w:lvlText w:val="(%1)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2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>
    <w:nsid w:val="63C13F7F"/>
    <w:multiLevelType w:val="hybridMultilevel"/>
    <w:tmpl w:val="91E2F4C4"/>
    <w:lvl w:ilvl="0" w:tplc="1B6C483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3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24"/>
  </w:num>
  <w:num w:numId="11">
    <w:abstractNumId w:val="28"/>
  </w:num>
  <w:num w:numId="12">
    <w:abstractNumId w:val="10"/>
  </w:num>
  <w:num w:numId="13">
    <w:abstractNumId w:val="21"/>
  </w:num>
  <w:num w:numId="14">
    <w:abstractNumId w:val="20"/>
  </w:num>
  <w:num w:numId="15">
    <w:abstractNumId w:val="29"/>
  </w:num>
  <w:num w:numId="16">
    <w:abstractNumId w:val="22"/>
  </w:num>
  <w:num w:numId="17">
    <w:abstractNumId w:val="14"/>
  </w:num>
  <w:num w:numId="18">
    <w:abstractNumId w:val="27"/>
  </w:num>
  <w:num w:numId="19">
    <w:abstractNumId w:val="4"/>
  </w:num>
  <w:num w:numId="20">
    <w:abstractNumId w:val="7"/>
  </w:num>
  <w:num w:numId="21">
    <w:abstractNumId w:val="23"/>
  </w:num>
  <w:num w:numId="22">
    <w:abstractNumId w:val="26"/>
  </w:num>
  <w:num w:numId="23">
    <w:abstractNumId w:val="16"/>
  </w:num>
  <w:num w:numId="24">
    <w:abstractNumId w:val="25"/>
  </w:num>
  <w:num w:numId="25">
    <w:abstractNumId w:val="19"/>
  </w:num>
  <w:num w:numId="26">
    <w:abstractNumId w:val="17"/>
  </w:num>
  <w:num w:numId="27">
    <w:abstractNumId w:val="18"/>
  </w:num>
  <w:num w:numId="28">
    <w:abstractNumId w:val="9"/>
  </w:num>
  <w:num w:numId="29">
    <w:abstractNumId w:val="1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2C7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5B7"/>
    <w:rsid w:val="0009388C"/>
    <w:rsid w:val="00093A38"/>
    <w:rsid w:val="00093E33"/>
    <w:rsid w:val="00094628"/>
    <w:rsid w:val="00094A84"/>
    <w:rsid w:val="00094C99"/>
    <w:rsid w:val="00095321"/>
    <w:rsid w:val="00095896"/>
    <w:rsid w:val="00096503"/>
    <w:rsid w:val="00096ED9"/>
    <w:rsid w:val="0009743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1CBF"/>
    <w:rsid w:val="000B2262"/>
    <w:rsid w:val="000B4739"/>
    <w:rsid w:val="000B5A4E"/>
    <w:rsid w:val="000B609A"/>
    <w:rsid w:val="000B7DF9"/>
    <w:rsid w:val="000B7E3A"/>
    <w:rsid w:val="000B7EA9"/>
    <w:rsid w:val="000C0A0A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310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4B49"/>
    <w:rsid w:val="001451EE"/>
    <w:rsid w:val="00145AFD"/>
    <w:rsid w:val="00145E27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145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1E1A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56A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5B86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254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77D"/>
    <w:rsid w:val="001D5970"/>
    <w:rsid w:val="001D5C8A"/>
    <w:rsid w:val="001D7034"/>
    <w:rsid w:val="001D7E17"/>
    <w:rsid w:val="001E0F0D"/>
    <w:rsid w:val="001E4A5D"/>
    <w:rsid w:val="001E5477"/>
    <w:rsid w:val="001E547E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881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30D6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0800"/>
    <w:rsid w:val="002A14A7"/>
    <w:rsid w:val="002A18E6"/>
    <w:rsid w:val="002A272C"/>
    <w:rsid w:val="002A32E2"/>
    <w:rsid w:val="002A4118"/>
    <w:rsid w:val="002A4719"/>
    <w:rsid w:val="002A4A56"/>
    <w:rsid w:val="002A54AE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81F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928"/>
    <w:rsid w:val="002E7FF0"/>
    <w:rsid w:val="002F147E"/>
    <w:rsid w:val="002F3511"/>
    <w:rsid w:val="002F3BB8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3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4BF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C38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A60"/>
    <w:rsid w:val="003A4DA6"/>
    <w:rsid w:val="003A50AF"/>
    <w:rsid w:val="003A5D6F"/>
    <w:rsid w:val="003A62B0"/>
    <w:rsid w:val="003A7C63"/>
    <w:rsid w:val="003B12BD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86E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5FA8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457"/>
    <w:rsid w:val="004A1527"/>
    <w:rsid w:val="004A178E"/>
    <w:rsid w:val="004A1F8A"/>
    <w:rsid w:val="004A2792"/>
    <w:rsid w:val="004A2814"/>
    <w:rsid w:val="004A3068"/>
    <w:rsid w:val="004A3812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088B"/>
    <w:rsid w:val="00530C76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7C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3E11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8E8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97D16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4D58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1F9"/>
    <w:rsid w:val="005C623A"/>
    <w:rsid w:val="005C6AAE"/>
    <w:rsid w:val="005D0C4E"/>
    <w:rsid w:val="005D0CD9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1FC0"/>
    <w:rsid w:val="006926DB"/>
    <w:rsid w:val="00692827"/>
    <w:rsid w:val="00692943"/>
    <w:rsid w:val="00692AB8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0884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42C7"/>
    <w:rsid w:val="006E5F95"/>
    <w:rsid w:val="006E65E6"/>
    <w:rsid w:val="006E6835"/>
    <w:rsid w:val="006E6A94"/>
    <w:rsid w:val="006E755C"/>
    <w:rsid w:val="006F026D"/>
    <w:rsid w:val="006F0AA4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5C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5772"/>
    <w:rsid w:val="007860B0"/>
    <w:rsid w:val="0078617A"/>
    <w:rsid w:val="00786416"/>
    <w:rsid w:val="00786AA7"/>
    <w:rsid w:val="00790009"/>
    <w:rsid w:val="007907D6"/>
    <w:rsid w:val="00790A87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517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234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62"/>
    <w:rsid w:val="007F7DAD"/>
    <w:rsid w:val="008003E8"/>
    <w:rsid w:val="00801419"/>
    <w:rsid w:val="00801975"/>
    <w:rsid w:val="008025AD"/>
    <w:rsid w:val="008029A8"/>
    <w:rsid w:val="0080337F"/>
    <w:rsid w:val="00804854"/>
    <w:rsid w:val="00804855"/>
    <w:rsid w:val="00804FA2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6D4A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6DB4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0ABC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20C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1F5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55D53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DCC"/>
    <w:rsid w:val="009C5149"/>
    <w:rsid w:val="009C5E13"/>
    <w:rsid w:val="009C66E3"/>
    <w:rsid w:val="009C6FA1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74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564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77FE8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ACC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A4E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190E"/>
    <w:rsid w:val="00AF467E"/>
    <w:rsid w:val="00AF494F"/>
    <w:rsid w:val="00AF4FCF"/>
    <w:rsid w:val="00AF55BC"/>
    <w:rsid w:val="00AF7248"/>
    <w:rsid w:val="00AF7304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4E8D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37B99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57073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491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A78CD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37F6C"/>
    <w:rsid w:val="00C404FE"/>
    <w:rsid w:val="00C41F43"/>
    <w:rsid w:val="00C42397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5A76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739B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663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33D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2F02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05E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82F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3F5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45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3EE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674EE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069F7"/>
    <w:rsid w:val="00F100A2"/>
    <w:rsid w:val="00F100C3"/>
    <w:rsid w:val="00F10A11"/>
    <w:rsid w:val="00F10C14"/>
    <w:rsid w:val="00F10D71"/>
    <w:rsid w:val="00F115A8"/>
    <w:rsid w:val="00F1169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19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7FE8"/>
    <w:pPr>
      <w:keepNext/>
      <w:spacing w:line="312" w:lineRule="auto"/>
      <w:ind w:left="540"/>
      <w:outlineLvl w:val="0"/>
    </w:pPr>
    <w:rPr>
      <w:rFonts w:cs="Arial"/>
      <w:b/>
      <w:bCs/>
      <w:color w:val="auto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7FE8"/>
    <w:pPr>
      <w:keepNext/>
      <w:spacing w:line="312" w:lineRule="auto"/>
      <w:ind w:left="851"/>
      <w:outlineLvl w:val="1"/>
    </w:pPr>
    <w:rPr>
      <w:rFonts w:eastAsia="SimSun" w:cs="Arial"/>
      <w:b/>
      <w:bCs/>
      <w:color w:val="auto"/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A77FE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77FE8"/>
    <w:rPr>
      <w:rFonts w:ascii="Arial" w:eastAsia="SimSun" w:hAnsi="Arial" w:cs="Arial"/>
      <w:b/>
      <w:bCs/>
      <w:sz w:val="32"/>
      <w:szCs w:val="20"/>
      <w:lang w:val="en-GB"/>
    </w:rPr>
  </w:style>
  <w:style w:type="table" w:customStyle="1" w:styleId="TableGrid1">
    <w:name w:val="Table Grid1"/>
    <w:basedOn w:val="TableNormal"/>
    <w:next w:val="TableGrid"/>
    <w:rsid w:val="0080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ep\Documents\Custom%20Office%20Templates\Parli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Parliment template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Hendrickse</dc:creator>
  <cp:lastModifiedBy>USER</cp:lastModifiedBy>
  <cp:revision>2</cp:revision>
  <cp:lastPrinted>2020-10-14T08:33:00Z</cp:lastPrinted>
  <dcterms:created xsi:type="dcterms:W3CDTF">2020-11-20T15:23:00Z</dcterms:created>
  <dcterms:modified xsi:type="dcterms:W3CDTF">2020-11-20T15:23:00Z</dcterms:modified>
</cp:coreProperties>
</file>