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B15" w:rsidRDefault="00E77B32">
      <w:pPr>
        <w:pStyle w:val="Body1"/>
        <w:jc w:val="center"/>
        <w:rPr>
          <w:rFonts w:ascii="Arial" w:hAnsi="Arial"/>
          <w:b/>
        </w:rPr>
      </w:pPr>
      <w:r>
        <w:rPr>
          <w:rFonts w:ascii="Arial" w:hAnsi="Arial"/>
          <w:b/>
          <w:noProof/>
          <w:color w:val="FF0000"/>
          <w:lang w:val="en-ZA" w:eastAsia="en-ZA"/>
        </w:rPr>
        <w:drawing>
          <wp:anchor distT="50800" distB="50800" distL="50800" distR="50800" simplePos="0" relativeHeight="251657728" behindDoc="0" locked="0" layoutInCell="1" allowOverlap="1">
            <wp:simplePos x="0" y="0"/>
            <wp:positionH relativeFrom="page">
              <wp:posOffset>1857375</wp:posOffset>
            </wp:positionH>
            <wp:positionV relativeFrom="page">
              <wp:posOffset>247650</wp:posOffset>
            </wp:positionV>
            <wp:extent cx="4112895" cy="1864360"/>
            <wp:effectExtent l="19050" t="0" r="1905" b="0"/>
            <wp:wrapTight wrapText="bothSides">
              <wp:wrapPolygon edited="0">
                <wp:start x="-100" y="0"/>
                <wp:lineTo x="-100" y="21409"/>
                <wp:lineTo x="21610" y="21409"/>
                <wp:lineTo x="21610" y="0"/>
                <wp:lineTo x="-100" y="0"/>
              </wp:wrapPolygon>
            </wp:wrapTight>
            <wp:docPr id="1" name="Picture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1"/>
                    <pic:cNvPicPr>
                      <a:picLocks noChangeAspect="1"/>
                    </pic:cNvPicPr>
                  </pic:nvPicPr>
                  <pic:blipFill>
                    <a:blip r:embed="rId7" cstate="print"/>
                    <a:srcRect l="13605" t="5807" r="13361" b="70718"/>
                    <a:stretch>
                      <a:fillRect/>
                    </a:stretch>
                  </pic:blipFill>
                  <pic:spPr bwMode="auto">
                    <a:xfrm>
                      <a:off x="0" y="0"/>
                      <a:ext cx="4112895" cy="1864360"/>
                    </a:xfrm>
                    <a:prstGeom prst="rect">
                      <a:avLst/>
                    </a:prstGeom>
                    <a:noFill/>
                    <a:ln w="12700">
                      <a:noFill/>
                      <a:miter lim="0"/>
                      <a:headEnd/>
                      <a:tailEnd/>
                    </a:ln>
                    <a:effectLst/>
                  </pic:spPr>
                </pic:pic>
              </a:graphicData>
            </a:graphic>
          </wp:anchor>
        </w:drawing>
      </w:r>
    </w:p>
    <w:p w:rsidR="00150B15" w:rsidRDefault="00150B15">
      <w:pPr>
        <w:pStyle w:val="Body1"/>
        <w:jc w:val="center"/>
        <w:rPr>
          <w:rFonts w:ascii="Arial" w:hAnsi="Arial"/>
          <w:b/>
        </w:rPr>
      </w:pPr>
    </w:p>
    <w:p w:rsidR="00150B15" w:rsidRDefault="00150B15" w:rsidP="00E30E99">
      <w:pPr>
        <w:pStyle w:val="Body1"/>
        <w:rPr>
          <w:rFonts w:ascii="Arial" w:hAnsi="Arial"/>
          <w:b/>
        </w:rPr>
      </w:pPr>
    </w:p>
    <w:p w:rsidR="00150B15" w:rsidRDefault="00150B15">
      <w:pPr>
        <w:pStyle w:val="Body1"/>
        <w:jc w:val="right"/>
        <w:rPr>
          <w:rFonts w:ascii="Arial" w:hAnsi="Arial"/>
          <w:b/>
          <w:color w:val="FF0000"/>
        </w:rPr>
      </w:pPr>
    </w:p>
    <w:p w:rsidR="00306351" w:rsidRDefault="00306351">
      <w:pPr>
        <w:pStyle w:val="Body1"/>
        <w:jc w:val="center"/>
        <w:rPr>
          <w:rFonts w:ascii="Arial" w:hAnsi="Arial Unicode MS"/>
          <w:b/>
        </w:rPr>
      </w:pPr>
    </w:p>
    <w:p w:rsidR="00150B15" w:rsidRDefault="00150B15">
      <w:pPr>
        <w:pStyle w:val="Body1"/>
        <w:jc w:val="center"/>
        <w:rPr>
          <w:rFonts w:ascii="Arial" w:hAnsi="Arial"/>
          <w:b/>
        </w:rPr>
      </w:pPr>
      <w:r>
        <w:rPr>
          <w:rFonts w:ascii="Arial" w:hAnsi="Arial Unicode MS"/>
          <w:b/>
        </w:rPr>
        <w:t xml:space="preserve">NATIONAL </w:t>
      </w:r>
      <w:r w:rsidR="00ED53EE">
        <w:rPr>
          <w:rFonts w:ascii="Arial" w:hAnsi="Arial Unicode MS"/>
          <w:b/>
        </w:rPr>
        <w:t>ASSEMBLY</w:t>
      </w:r>
    </w:p>
    <w:p w:rsidR="00150B15" w:rsidRDefault="00150B15">
      <w:pPr>
        <w:pStyle w:val="Body1"/>
        <w:jc w:val="right"/>
        <w:rPr>
          <w:rFonts w:ascii="Arial" w:hAnsi="Arial"/>
          <w:b/>
          <w:color w:val="FF0000"/>
        </w:rPr>
      </w:pPr>
    </w:p>
    <w:p w:rsidR="00150B15" w:rsidRDefault="008A5330" w:rsidP="008A5330">
      <w:pPr>
        <w:tabs>
          <w:tab w:val="left" w:pos="7560"/>
        </w:tabs>
        <w:outlineLvl w:val="0"/>
        <w:rPr>
          <w:rFonts w:ascii="Arial" w:eastAsia="Arial Unicode MS" w:hAnsi="Arial"/>
          <w:b/>
          <w:color w:val="000000"/>
          <w:u w:color="000000"/>
        </w:rPr>
      </w:pPr>
      <w:r>
        <w:rPr>
          <w:rFonts w:ascii="Arial" w:eastAsia="Arial Unicode MS" w:hAnsi="Arial"/>
          <w:b/>
          <w:color w:val="000000"/>
          <w:u w:color="000000"/>
        </w:rPr>
        <w:tab/>
      </w:r>
    </w:p>
    <w:p w:rsidR="00150B15" w:rsidRDefault="00150B15">
      <w:pPr>
        <w:outlineLvl w:val="0"/>
        <w:rPr>
          <w:rFonts w:ascii="Arial" w:eastAsia="Arial Unicode MS" w:hAnsi="Arial"/>
          <w:b/>
          <w:color w:val="000000"/>
          <w:u w:color="000000"/>
        </w:rPr>
      </w:pPr>
      <w:r>
        <w:rPr>
          <w:rFonts w:ascii="Arial" w:eastAsia="Arial Unicode MS" w:hAnsi="Arial Unicode MS"/>
          <w:b/>
          <w:color w:val="000000"/>
          <w:u w:color="000000"/>
        </w:rPr>
        <w:t>WRITTEN REPLY</w:t>
      </w:r>
    </w:p>
    <w:p w:rsidR="00150B15" w:rsidRDefault="00150B15">
      <w:pPr>
        <w:jc w:val="both"/>
        <w:outlineLvl w:val="0"/>
        <w:rPr>
          <w:rFonts w:ascii="Arial" w:eastAsia="Arial Unicode MS" w:hAnsi="Arial"/>
          <w:b/>
          <w:color w:val="000000"/>
          <w:u w:color="000000"/>
        </w:rPr>
      </w:pPr>
    </w:p>
    <w:p w:rsidR="00150B15" w:rsidRDefault="000E0227">
      <w:pPr>
        <w:jc w:val="both"/>
        <w:outlineLvl w:val="0"/>
        <w:rPr>
          <w:rFonts w:ascii="Arial" w:eastAsia="Arial Unicode MS" w:hAnsi="Arial"/>
          <w:b/>
          <w:color w:val="000000"/>
          <w:u w:color="000000"/>
        </w:rPr>
      </w:pPr>
      <w:r>
        <w:rPr>
          <w:rFonts w:ascii="Arial" w:eastAsia="Arial Unicode MS" w:hAnsi="Arial Unicode MS"/>
          <w:b/>
          <w:color w:val="000000"/>
          <w:u w:color="000000"/>
        </w:rPr>
        <w:t>PARLIAMENTARY QUESTION:</w:t>
      </w:r>
      <w:r w:rsidR="00150B15">
        <w:rPr>
          <w:rFonts w:ascii="Arial" w:eastAsia="Arial Unicode MS" w:hAnsi="Arial Unicode MS"/>
          <w:b/>
          <w:color w:val="000000"/>
          <w:u w:color="000000"/>
        </w:rPr>
        <w:t xml:space="preserve"> </w:t>
      </w:r>
      <w:r w:rsidR="00AF023B">
        <w:rPr>
          <w:rFonts w:ascii="Arial" w:eastAsia="Arial Unicode MS" w:hAnsi="Arial Unicode MS"/>
          <w:b/>
          <w:color w:val="000000"/>
          <w:u w:color="000000"/>
        </w:rPr>
        <w:t>2284</w:t>
      </w:r>
    </w:p>
    <w:p w:rsidR="00150B15" w:rsidRDefault="00150B15">
      <w:pPr>
        <w:jc w:val="both"/>
        <w:outlineLvl w:val="0"/>
        <w:rPr>
          <w:rFonts w:ascii="Arial" w:eastAsia="Arial Unicode MS" w:hAnsi="Arial"/>
          <w:b/>
          <w:color w:val="000000"/>
          <w:u w:color="000000"/>
        </w:rPr>
      </w:pPr>
    </w:p>
    <w:p w:rsidR="00150B15" w:rsidRDefault="009E2258">
      <w:pPr>
        <w:jc w:val="both"/>
        <w:outlineLvl w:val="0"/>
        <w:rPr>
          <w:rFonts w:ascii="Arial" w:eastAsia="Arial Unicode MS" w:hAnsi="Arial"/>
          <w:color w:val="000000"/>
          <w:u w:color="000000"/>
        </w:rPr>
      </w:pPr>
      <w:r>
        <w:rPr>
          <w:rFonts w:ascii="Arial" w:eastAsia="Arial Unicode MS" w:hAnsi="Arial Unicode MS"/>
          <w:b/>
          <w:color w:val="000000"/>
          <w:u w:color="000000"/>
        </w:rPr>
        <w:t xml:space="preserve">DATE OF PUBLICATION: </w:t>
      </w:r>
      <w:r w:rsidR="00AF023B">
        <w:rPr>
          <w:rFonts w:ascii="Arial" w:eastAsia="Arial Unicode MS" w:hAnsi="Arial Unicode MS"/>
          <w:b/>
          <w:color w:val="000000"/>
          <w:u w:color="000000"/>
        </w:rPr>
        <w:t>11 August</w:t>
      </w:r>
      <w:r>
        <w:rPr>
          <w:rFonts w:ascii="Arial" w:eastAsia="Arial Unicode MS" w:hAnsi="Arial Unicode MS"/>
          <w:b/>
          <w:color w:val="000000"/>
          <w:u w:color="000000"/>
        </w:rPr>
        <w:t xml:space="preserve"> 2017 </w:t>
      </w:r>
    </w:p>
    <w:p w:rsidR="00150B15" w:rsidRDefault="00150B15">
      <w:pPr>
        <w:jc w:val="both"/>
        <w:outlineLvl w:val="0"/>
        <w:rPr>
          <w:rFonts w:ascii="Arial" w:eastAsia="Arial Unicode MS" w:hAnsi="Arial"/>
          <w:color w:val="000000"/>
          <w:u w:color="000000"/>
        </w:rPr>
      </w:pPr>
    </w:p>
    <w:p w:rsidR="00150B15" w:rsidRDefault="009E2258">
      <w:pPr>
        <w:outlineLvl w:val="0"/>
        <w:rPr>
          <w:rFonts w:ascii="Arial" w:eastAsia="Arial Unicode MS" w:hAnsi="Arial"/>
          <w:b/>
          <w:color w:val="000000"/>
          <w:u w:color="000000"/>
        </w:rPr>
      </w:pPr>
      <w:r>
        <w:rPr>
          <w:rFonts w:ascii="Arial" w:eastAsia="Arial Unicode MS" w:hAnsi="Arial Unicode MS"/>
          <w:b/>
          <w:color w:val="000000"/>
          <w:u w:color="000000"/>
        </w:rPr>
        <w:t>Mr M S Mbatha (EFF)</w:t>
      </w:r>
      <w:r w:rsidR="00C56405">
        <w:rPr>
          <w:rFonts w:ascii="Arial" w:eastAsia="Arial Unicode MS" w:hAnsi="Arial Unicode MS"/>
          <w:b/>
          <w:color w:val="000000"/>
          <w:u w:color="000000"/>
        </w:rPr>
        <w:t xml:space="preserve"> to ask the Minister of Economic Development:</w:t>
      </w:r>
    </w:p>
    <w:p w:rsidR="00AF023B" w:rsidRPr="00AF023B" w:rsidRDefault="00AF023B" w:rsidP="00AF023B">
      <w:pPr>
        <w:spacing w:line="276" w:lineRule="auto"/>
        <w:jc w:val="both"/>
        <w:rPr>
          <w:rFonts w:ascii="Arial" w:hAnsi="Arial" w:cs="Arial"/>
        </w:rPr>
      </w:pPr>
    </w:p>
    <w:p w:rsidR="00AF023B" w:rsidRPr="00AF023B" w:rsidRDefault="00AF023B" w:rsidP="00AF023B">
      <w:pPr>
        <w:spacing w:line="276" w:lineRule="auto"/>
        <w:jc w:val="both"/>
        <w:rPr>
          <w:rFonts w:ascii="Arial" w:hAnsi="Arial" w:cs="Arial"/>
        </w:rPr>
      </w:pPr>
      <w:r w:rsidRPr="00AF023B">
        <w:rPr>
          <w:rFonts w:ascii="Arial" w:hAnsi="Arial" w:cs="Arial"/>
        </w:rPr>
        <w:t xml:space="preserve">With reference to his reply to question 1874 on 31 July 2017, what was the monetary value of the tenders for which transaction advisers were used by (a) the Industrial Development Corporation’s appointment of Price Waterhouse Cooper Ltd for the Masorini Steel Project, (b) the Industrial </w:t>
      </w:r>
      <w:r w:rsidRPr="00AF023B">
        <w:rPr>
          <w:rFonts w:ascii="Arial" w:hAnsi="Arial" w:cs="Arial"/>
          <w:lang w:val="af-ZA"/>
        </w:rPr>
        <w:t>Development</w:t>
      </w:r>
      <w:r w:rsidRPr="00AF023B">
        <w:rPr>
          <w:rFonts w:ascii="Arial" w:hAnsi="Arial" w:cs="Arial"/>
        </w:rPr>
        <w:t xml:space="preserve"> Corporation’s appointment of PSG Capital for the UCW Transaction, and (c) the Industrial Development Corporation’s appointment of Ernst and Young and Rothschild (South Africa) for SCAW? NW2522E</w:t>
      </w:r>
    </w:p>
    <w:p w:rsidR="00FB63F7" w:rsidRPr="00AF023B" w:rsidRDefault="00FB63F7" w:rsidP="00AF023B">
      <w:pPr>
        <w:spacing w:line="276" w:lineRule="auto"/>
        <w:jc w:val="both"/>
        <w:outlineLvl w:val="0"/>
        <w:rPr>
          <w:rFonts w:ascii="Arial" w:hAnsi="Arial" w:cs="Arial"/>
        </w:rPr>
      </w:pPr>
    </w:p>
    <w:p w:rsidR="00150B15" w:rsidRDefault="00150B15" w:rsidP="0015574C">
      <w:pPr>
        <w:spacing w:line="360" w:lineRule="auto"/>
        <w:jc w:val="both"/>
        <w:outlineLvl w:val="0"/>
        <w:rPr>
          <w:rFonts w:ascii="Arial" w:eastAsia="Arial Unicode MS" w:hAnsi="Arial Unicode MS"/>
          <w:b/>
          <w:color w:val="000000"/>
          <w:u w:color="000000"/>
        </w:rPr>
      </w:pPr>
      <w:r w:rsidRPr="0015574C">
        <w:rPr>
          <w:rFonts w:ascii="Arial" w:eastAsia="Arial Unicode MS" w:hAnsi="Arial Unicode MS"/>
          <w:b/>
          <w:color w:val="000000"/>
          <w:u w:color="000000"/>
        </w:rPr>
        <w:t>REPLY</w:t>
      </w:r>
    </w:p>
    <w:p w:rsidR="00467289" w:rsidRDefault="00467289" w:rsidP="0015574C">
      <w:pPr>
        <w:spacing w:line="360" w:lineRule="auto"/>
        <w:jc w:val="both"/>
        <w:outlineLvl w:val="0"/>
        <w:rPr>
          <w:rFonts w:ascii="Arial" w:eastAsia="Arial Unicode MS" w:hAnsi="Arial Unicode MS"/>
          <w:b/>
          <w:color w:val="000000"/>
          <w:u w:color="000000"/>
        </w:rPr>
      </w:pPr>
    </w:p>
    <w:p w:rsidR="00467289" w:rsidRDefault="00467289" w:rsidP="00467289">
      <w:pPr>
        <w:jc w:val="both"/>
        <w:rPr>
          <w:rFonts w:ascii="Arial" w:hAnsi="Arial" w:cs="Arial"/>
        </w:rPr>
      </w:pPr>
      <w:r>
        <w:rPr>
          <w:rFonts w:ascii="Arial" w:hAnsi="Arial" w:cs="Arial"/>
        </w:rPr>
        <w:t>The IDC from time to time undertake large transactions for which it requires advisory or technical support, often involving global consultancy firms with expertise in the areas concerned.</w:t>
      </w:r>
    </w:p>
    <w:p w:rsidR="00467289" w:rsidRDefault="00467289" w:rsidP="00467289">
      <w:pPr>
        <w:jc w:val="both"/>
        <w:rPr>
          <w:rFonts w:ascii="Arial" w:hAnsi="Arial" w:cs="Arial"/>
        </w:rPr>
      </w:pPr>
    </w:p>
    <w:p w:rsidR="00467289" w:rsidRDefault="00467289" w:rsidP="00467289">
      <w:pPr>
        <w:jc w:val="both"/>
        <w:rPr>
          <w:rFonts w:ascii="Arial" w:hAnsi="Arial" w:cs="Arial"/>
        </w:rPr>
      </w:pPr>
      <w:r>
        <w:rPr>
          <w:rFonts w:ascii="Arial" w:hAnsi="Arial" w:cs="Arial"/>
        </w:rPr>
        <w:t>In the three transactions referred to, the IDC utilized specialist advisory skills for transactions with initial transaction value estimates set out in the table below:</w:t>
      </w:r>
    </w:p>
    <w:p w:rsidR="004255F7" w:rsidRDefault="004255F7" w:rsidP="00467289">
      <w:pPr>
        <w:jc w:val="both"/>
        <w:rPr>
          <w:rFonts w:ascii="Arial" w:hAnsi="Arial" w:cs="Arial"/>
        </w:rPr>
      </w:pPr>
    </w:p>
    <w:p w:rsidR="00467289" w:rsidRDefault="00467289" w:rsidP="00E30E99">
      <w:pPr>
        <w:spacing w:line="360" w:lineRule="auto"/>
        <w:jc w:val="both"/>
        <w:rPr>
          <w:rFonts w:ascii="Arial" w:hAnsi="Arial" w:cs="Arial"/>
        </w:rPr>
      </w:pPr>
    </w:p>
    <w:p w:rsidR="00467289" w:rsidRDefault="00467289" w:rsidP="00E30E99">
      <w:pPr>
        <w:spacing w:line="360" w:lineRule="auto"/>
        <w:jc w:val="both"/>
        <w:rPr>
          <w:rFonts w:ascii="Arial" w:hAnsi="Arial" w:cs="Arial"/>
        </w:rPr>
      </w:pPr>
    </w:p>
    <w:p w:rsidR="00467289" w:rsidRDefault="00467289" w:rsidP="00E30E99">
      <w:pPr>
        <w:spacing w:line="360" w:lineRule="auto"/>
        <w:jc w:val="both"/>
        <w:rPr>
          <w:rFonts w:ascii="Arial" w:hAnsi="Arial" w:cs="Arial"/>
        </w:rPr>
      </w:pPr>
    </w:p>
    <w:p w:rsidR="00467289" w:rsidRDefault="00467289" w:rsidP="00E30E99">
      <w:pPr>
        <w:spacing w:line="360" w:lineRule="auto"/>
        <w:jc w:val="both"/>
        <w:rPr>
          <w:rFonts w:ascii="Arial" w:hAnsi="Arial" w:cs="Arial"/>
        </w:rPr>
      </w:pPr>
    </w:p>
    <w:p w:rsidR="00467289" w:rsidRDefault="00467289" w:rsidP="00E30E99">
      <w:pPr>
        <w:spacing w:line="360" w:lineRule="auto"/>
        <w:jc w:val="both"/>
        <w:rPr>
          <w:rFonts w:ascii="Arial" w:hAnsi="Arial" w:cs="Arial"/>
        </w:rPr>
      </w:pPr>
    </w:p>
    <w:p w:rsidR="00467289" w:rsidRPr="00E30E99" w:rsidRDefault="00467289" w:rsidP="00E30E99">
      <w:pPr>
        <w:spacing w:line="360" w:lineRule="auto"/>
        <w:jc w:val="both"/>
        <w:rPr>
          <w:rFonts w:ascii="Arial" w:hAnsi="Arial" w:cs="Arial"/>
        </w:rPr>
      </w:pPr>
    </w:p>
    <w:tbl>
      <w:tblPr>
        <w:tblW w:w="11502"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12"/>
        <w:gridCol w:w="3305"/>
        <w:gridCol w:w="2202"/>
        <w:gridCol w:w="1835"/>
        <w:gridCol w:w="1835"/>
        <w:gridCol w:w="1713"/>
      </w:tblGrid>
      <w:tr w:rsidR="007B5EBF" w:rsidRPr="00713F04" w:rsidTr="007B5EBF">
        <w:trPr>
          <w:trHeight w:val="555"/>
        </w:trPr>
        <w:tc>
          <w:tcPr>
            <w:tcW w:w="612" w:type="dxa"/>
            <w:shd w:val="clear" w:color="auto" w:fill="D5DCE4"/>
          </w:tcPr>
          <w:p w:rsidR="007B5EBF" w:rsidRPr="007E792E" w:rsidRDefault="007B5EBF" w:rsidP="007E792E">
            <w:pPr>
              <w:rPr>
                <w:rFonts w:ascii="Arial" w:eastAsia="Calibri" w:hAnsi="Arial" w:cs="Arial"/>
                <w:b/>
              </w:rPr>
            </w:pPr>
            <w:r w:rsidRPr="007E792E">
              <w:rPr>
                <w:rFonts w:ascii="Arial" w:eastAsia="Calibri" w:hAnsi="Arial" w:cs="Arial"/>
                <w:b/>
              </w:rPr>
              <w:lastRenderedPageBreak/>
              <w:t>No.</w:t>
            </w:r>
          </w:p>
        </w:tc>
        <w:tc>
          <w:tcPr>
            <w:tcW w:w="3305" w:type="dxa"/>
            <w:shd w:val="clear" w:color="auto" w:fill="D5DCE4"/>
          </w:tcPr>
          <w:p w:rsidR="007B5EBF" w:rsidRPr="007E792E" w:rsidRDefault="007B5EBF" w:rsidP="001E753A">
            <w:pPr>
              <w:pStyle w:val="ListParagraph"/>
              <w:spacing w:after="0" w:line="240" w:lineRule="auto"/>
              <w:ind w:left="0"/>
              <w:jc w:val="both"/>
              <w:rPr>
                <w:rFonts w:ascii="Arial" w:eastAsia="Calibri" w:hAnsi="Arial" w:cs="Arial"/>
                <w:b/>
                <w:sz w:val="24"/>
                <w:szCs w:val="24"/>
              </w:rPr>
            </w:pPr>
            <w:r w:rsidRPr="007E792E">
              <w:rPr>
                <w:rFonts w:ascii="Arial" w:eastAsia="Calibri" w:hAnsi="Arial" w:cs="Arial"/>
                <w:b/>
                <w:sz w:val="24"/>
                <w:szCs w:val="24"/>
              </w:rPr>
              <w:t>Name of Transaction Advisor</w:t>
            </w:r>
          </w:p>
        </w:tc>
        <w:tc>
          <w:tcPr>
            <w:tcW w:w="2202" w:type="dxa"/>
            <w:shd w:val="clear" w:color="auto" w:fill="D5DCE4"/>
          </w:tcPr>
          <w:p w:rsidR="007B5EBF" w:rsidRPr="007E792E" w:rsidRDefault="007B5EBF" w:rsidP="001E753A">
            <w:pPr>
              <w:pStyle w:val="ListParagraph"/>
              <w:spacing w:after="0" w:line="240" w:lineRule="auto"/>
              <w:ind w:left="176"/>
              <w:jc w:val="both"/>
              <w:rPr>
                <w:rFonts w:ascii="Arial" w:eastAsia="Calibri" w:hAnsi="Arial" w:cs="Arial"/>
                <w:b/>
                <w:sz w:val="24"/>
                <w:szCs w:val="24"/>
              </w:rPr>
            </w:pPr>
            <w:r w:rsidRPr="007E792E">
              <w:rPr>
                <w:rFonts w:ascii="Arial" w:eastAsia="Calibri" w:hAnsi="Arial" w:cs="Arial"/>
                <w:b/>
                <w:sz w:val="24"/>
                <w:szCs w:val="24"/>
              </w:rPr>
              <w:t>Tender description</w:t>
            </w:r>
          </w:p>
        </w:tc>
        <w:tc>
          <w:tcPr>
            <w:tcW w:w="1835" w:type="dxa"/>
            <w:shd w:val="clear" w:color="auto" w:fill="D5DCE4"/>
          </w:tcPr>
          <w:p w:rsidR="007B5EBF" w:rsidRPr="007E792E" w:rsidRDefault="007B5EBF" w:rsidP="007B5EBF">
            <w:pPr>
              <w:pStyle w:val="ListParagraph"/>
              <w:tabs>
                <w:tab w:val="left" w:pos="317"/>
              </w:tabs>
              <w:spacing w:after="0" w:line="240" w:lineRule="auto"/>
              <w:ind w:left="0"/>
              <w:jc w:val="both"/>
              <w:rPr>
                <w:rFonts w:ascii="Arial" w:eastAsia="Calibri" w:hAnsi="Arial" w:cs="Arial"/>
                <w:b/>
                <w:sz w:val="24"/>
                <w:szCs w:val="24"/>
              </w:rPr>
            </w:pPr>
            <w:r>
              <w:rPr>
                <w:rFonts w:ascii="Arial" w:eastAsia="Calibri" w:hAnsi="Arial" w:cs="Arial"/>
                <w:b/>
                <w:sz w:val="24"/>
                <w:szCs w:val="24"/>
              </w:rPr>
              <w:t>Initial Monetary / Transcation Value</w:t>
            </w:r>
          </w:p>
        </w:tc>
        <w:tc>
          <w:tcPr>
            <w:tcW w:w="1835" w:type="dxa"/>
            <w:shd w:val="clear" w:color="auto" w:fill="D5DCE4"/>
          </w:tcPr>
          <w:p w:rsidR="007B5EBF" w:rsidRPr="007E792E" w:rsidRDefault="007B5EBF" w:rsidP="001E753A">
            <w:pPr>
              <w:pStyle w:val="ListParagraph"/>
              <w:tabs>
                <w:tab w:val="left" w:pos="317"/>
              </w:tabs>
              <w:spacing w:after="0" w:line="240" w:lineRule="auto"/>
              <w:ind w:left="175"/>
              <w:jc w:val="both"/>
              <w:rPr>
                <w:rFonts w:ascii="Arial" w:eastAsia="Calibri" w:hAnsi="Arial" w:cs="Arial"/>
                <w:b/>
                <w:sz w:val="24"/>
                <w:szCs w:val="24"/>
              </w:rPr>
            </w:pPr>
            <w:r w:rsidRPr="007E792E">
              <w:rPr>
                <w:rFonts w:ascii="Arial" w:eastAsia="Calibri" w:hAnsi="Arial" w:cs="Arial"/>
                <w:b/>
                <w:sz w:val="24"/>
                <w:szCs w:val="24"/>
              </w:rPr>
              <w:t>Tender pricing</w:t>
            </w:r>
          </w:p>
        </w:tc>
        <w:tc>
          <w:tcPr>
            <w:tcW w:w="1713" w:type="dxa"/>
            <w:shd w:val="clear" w:color="auto" w:fill="D5DCE4"/>
          </w:tcPr>
          <w:p w:rsidR="007B5EBF" w:rsidRPr="007E792E" w:rsidRDefault="007B5EBF" w:rsidP="001E753A">
            <w:pPr>
              <w:pStyle w:val="ListParagraph"/>
              <w:spacing w:after="0" w:line="240" w:lineRule="auto"/>
              <w:ind w:left="360"/>
              <w:jc w:val="both"/>
              <w:rPr>
                <w:rFonts w:ascii="Arial" w:eastAsia="Calibri" w:hAnsi="Arial" w:cs="Arial"/>
                <w:b/>
                <w:sz w:val="24"/>
                <w:szCs w:val="24"/>
              </w:rPr>
            </w:pPr>
            <w:r w:rsidRPr="007E792E">
              <w:rPr>
                <w:rFonts w:ascii="Arial" w:eastAsia="Calibri" w:hAnsi="Arial" w:cs="Arial"/>
                <w:b/>
                <w:sz w:val="24"/>
                <w:szCs w:val="24"/>
              </w:rPr>
              <w:t>Amount paid to date</w:t>
            </w:r>
          </w:p>
        </w:tc>
      </w:tr>
      <w:tr w:rsidR="007B5EBF" w:rsidRPr="00713F04" w:rsidTr="007B5EBF">
        <w:trPr>
          <w:trHeight w:val="1073"/>
        </w:trPr>
        <w:tc>
          <w:tcPr>
            <w:tcW w:w="612" w:type="dxa"/>
            <w:shd w:val="clear" w:color="auto" w:fill="auto"/>
          </w:tcPr>
          <w:p w:rsidR="007B5EBF" w:rsidRPr="007E792E" w:rsidRDefault="007B5EBF" w:rsidP="007E792E">
            <w:pPr>
              <w:rPr>
                <w:rFonts w:ascii="Arial" w:eastAsia="Calibri" w:hAnsi="Arial" w:cs="Arial"/>
              </w:rPr>
            </w:pPr>
            <w:r>
              <w:rPr>
                <w:rFonts w:ascii="Arial" w:eastAsia="Calibri" w:hAnsi="Arial" w:cs="Arial"/>
              </w:rPr>
              <w:t>1</w:t>
            </w:r>
          </w:p>
        </w:tc>
        <w:tc>
          <w:tcPr>
            <w:tcW w:w="3305" w:type="dxa"/>
            <w:shd w:val="clear" w:color="auto" w:fill="auto"/>
          </w:tcPr>
          <w:p w:rsidR="007B5EBF" w:rsidRPr="007E792E" w:rsidRDefault="007B5EBF" w:rsidP="007E792E">
            <w:pPr>
              <w:rPr>
                <w:rFonts w:ascii="Arial" w:eastAsia="Calibri" w:hAnsi="Arial" w:cs="Arial"/>
              </w:rPr>
            </w:pPr>
            <w:r w:rsidRPr="007E792E">
              <w:rPr>
                <w:rFonts w:ascii="Arial" w:eastAsia="Calibri" w:hAnsi="Arial" w:cs="Arial"/>
              </w:rPr>
              <w:t>PriceWaterhouseCoopers Incorporated</w:t>
            </w:r>
          </w:p>
        </w:tc>
        <w:tc>
          <w:tcPr>
            <w:tcW w:w="2202" w:type="dxa"/>
            <w:shd w:val="clear" w:color="auto" w:fill="auto"/>
          </w:tcPr>
          <w:p w:rsidR="007B5EBF" w:rsidRPr="007E792E" w:rsidRDefault="007B5EBF" w:rsidP="007E792E">
            <w:pPr>
              <w:rPr>
                <w:rFonts w:ascii="Arial" w:eastAsia="Calibri" w:hAnsi="Arial" w:cs="Arial"/>
              </w:rPr>
            </w:pPr>
            <w:r w:rsidRPr="007E792E">
              <w:rPr>
                <w:rFonts w:ascii="Arial" w:eastAsia="Calibri" w:hAnsi="Arial" w:cs="Arial"/>
              </w:rPr>
              <w:t>Transaction Advisory Services for the Masorini Steel Project</w:t>
            </w:r>
          </w:p>
          <w:p w:rsidR="007B5EBF" w:rsidRPr="007E792E" w:rsidRDefault="007B5EBF" w:rsidP="007E792E">
            <w:pPr>
              <w:rPr>
                <w:rFonts w:ascii="Arial" w:eastAsia="Calibri" w:hAnsi="Arial" w:cs="Arial"/>
              </w:rPr>
            </w:pPr>
          </w:p>
        </w:tc>
        <w:tc>
          <w:tcPr>
            <w:tcW w:w="1835" w:type="dxa"/>
          </w:tcPr>
          <w:p w:rsidR="007B5EBF" w:rsidRPr="007E792E" w:rsidRDefault="007B5EBF" w:rsidP="001E753A">
            <w:pPr>
              <w:rPr>
                <w:rFonts w:ascii="Arial" w:eastAsia="Calibri" w:hAnsi="Arial" w:cs="Arial"/>
                <w:lang w:eastAsia="en-ZA"/>
              </w:rPr>
            </w:pPr>
            <w:r>
              <w:rPr>
                <w:rFonts w:ascii="Arial" w:eastAsia="Calibri" w:hAnsi="Arial" w:cs="Arial"/>
                <w:lang w:eastAsia="en-ZA"/>
              </w:rPr>
              <w:t xml:space="preserve">US$ 5 </w:t>
            </w:r>
            <w:r w:rsidR="001E753A">
              <w:rPr>
                <w:rFonts w:ascii="Arial" w:eastAsia="Calibri" w:hAnsi="Arial" w:cs="Arial"/>
                <w:lang w:eastAsia="en-ZA"/>
              </w:rPr>
              <w:t>b</w:t>
            </w:r>
            <w:r>
              <w:rPr>
                <w:rFonts w:ascii="Arial" w:eastAsia="Calibri" w:hAnsi="Arial" w:cs="Arial"/>
                <w:lang w:eastAsia="en-ZA"/>
              </w:rPr>
              <w:t>illion</w:t>
            </w:r>
          </w:p>
        </w:tc>
        <w:tc>
          <w:tcPr>
            <w:tcW w:w="1835" w:type="dxa"/>
            <w:shd w:val="clear" w:color="auto" w:fill="auto"/>
          </w:tcPr>
          <w:p w:rsidR="007B5EBF" w:rsidRPr="007E792E" w:rsidRDefault="007B5EBF" w:rsidP="007E792E">
            <w:pPr>
              <w:rPr>
                <w:rFonts w:ascii="Arial" w:eastAsia="Calibri" w:hAnsi="Arial" w:cs="Arial"/>
                <w:lang w:eastAsia="en-ZA"/>
              </w:rPr>
            </w:pPr>
            <w:r w:rsidRPr="007E792E">
              <w:rPr>
                <w:rFonts w:ascii="Arial" w:eastAsia="Calibri" w:hAnsi="Arial" w:cs="Arial"/>
                <w:lang w:eastAsia="en-ZA"/>
              </w:rPr>
              <w:t>R 3,506,800</w:t>
            </w:r>
          </w:p>
        </w:tc>
        <w:tc>
          <w:tcPr>
            <w:tcW w:w="1713" w:type="dxa"/>
            <w:shd w:val="clear" w:color="auto" w:fill="auto"/>
          </w:tcPr>
          <w:p w:rsidR="007B5EBF" w:rsidRPr="007E792E" w:rsidRDefault="007B5EBF" w:rsidP="007E792E">
            <w:pPr>
              <w:rPr>
                <w:rFonts w:ascii="Arial" w:eastAsia="Calibri" w:hAnsi="Arial" w:cs="Arial"/>
              </w:rPr>
            </w:pPr>
            <w:r w:rsidRPr="007E792E">
              <w:rPr>
                <w:rFonts w:ascii="Arial" w:eastAsia="Calibri" w:hAnsi="Arial" w:cs="Arial"/>
              </w:rPr>
              <w:t>R 3,049,919</w:t>
            </w:r>
          </w:p>
        </w:tc>
      </w:tr>
      <w:tr w:rsidR="007B5EBF" w:rsidRPr="00713F04" w:rsidTr="007B5EBF">
        <w:trPr>
          <w:trHeight w:val="1095"/>
        </w:trPr>
        <w:tc>
          <w:tcPr>
            <w:tcW w:w="612" w:type="dxa"/>
            <w:shd w:val="clear" w:color="auto" w:fill="auto"/>
          </w:tcPr>
          <w:p w:rsidR="007B5EBF" w:rsidRPr="007E792E" w:rsidRDefault="007B5EBF" w:rsidP="007E792E">
            <w:pPr>
              <w:rPr>
                <w:rFonts w:ascii="Arial" w:eastAsia="Calibri" w:hAnsi="Arial" w:cs="Arial"/>
              </w:rPr>
            </w:pPr>
            <w:r>
              <w:rPr>
                <w:rFonts w:ascii="Arial" w:eastAsia="Calibri" w:hAnsi="Arial" w:cs="Arial"/>
              </w:rPr>
              <w:t>2</w:t>
            </w:r>
          </w:p>
        </w:tc>
        <w:tc>
          <w:tcPr>
            <w:tcW w:w="3305" w:type="dxa"/>
            <w:shd w:val="clear" w:color="auto" w:fill="auto"/>
          </w:tcPr>
          <w:p w:rsidR="007B5EBF" w:rsidRPr="007E792E" w:rsidRDefault="007B5EBF" w:rsidP="007E792E">
            <w:pPr>
              <w:rPr>
                <w:rFonts w:ascii="Arial" w:eastAsia="Calibri" w:hAnsi="Arial" w:cs="Arial"/>
              </w:rPr>
            </w:pPr>
            <w:r w:rsidRPr="007E792E">
              <w:rPr>
                <w:rFonts w:ascii="Arial" w:eastAsia="Calibri" w:hAnsi="Arial" w:cs="Arial"/>
              </w:rPr>
              <w:t>PSG Capital (Pty) Ltd</w:t>
            </w:r>
          </w:p>
        </w:tc>
        <w:tc>
          <w:tcPr>
            <w:tcW w:w="2202" w:type="dxa"/>
            <w:shd w:val="clear" w:color="auto" w:fill="auto"/>
          </w:tcPr>
          <w:p w:rsidR="007B5EBF" w:rsidRPr="007E792E" w:rsidRDefault="007B5EBF" w:rsidP="007E792E">
            <w:pPr>
              <w:rPr>
                <w:rFonts w:ascii="Arial" w:eastAsia="Calibri" w:hAnsi="Arial" w:cs="Arial"/>
              </w:rPr>
            </w:pPr>
            <w:r w:rsidRPr="007E792E">
              <w:rPr>
                <w:rFonts w:ascii="Arial" w:eastAsia="Calibri" w:hAnsi="Arial" w:cs="Arial"/>
              </w:rPr>
              <w:t>Transaction Advisor for the UCW Transaction</w:t>
            </w:r>
          </w:p>
          <w:p w:rsidR="007B5EBF" w:rsidRPr="007E792E" w:rsidRDefault="007B5EBF" w:rsidP="007E792E">
            <w:pPr>
              <w:rPr>
                <w:rFonts w:ascii="Arial" w:eastAsia="Calibri" w:hAnsi="Arial" w:cs="Arial"/>
              </w:rPr>
            </w:pPr>
          </w:p>
        </w:tc>
        <w:tc>
          <w:tcPr>
            <w:tcW w:w="1835" w:type="dxa"/>
          </w:tcPr>
          <w:p w:rsidR="007B5EBF" w:rsidRPr="007E792E" w:rsidRDefault="001E753A" w:rsidP="007E792E">
            <w:pPr>
              <w:rPr>
                <w:rFonts w:ascii="Arial" w:eastAsia="Calibri" w:hAnsi="Arial" w:cs="Arial"/>
                <w:color w:val="000000"/>
              </w:rPr>
            </w:pPr>
            <w:r>
              <w:rPr>
                <w:rFonts w:ascii="Arial" w:eastAsia="Calibri" w:hAnsi="Arial" w:cs="Arial"/>
                <w:color w:val="000000"/>
              </w:rPr>
              <w:t>R 550 million</w:t>
            </w:r>
          </w:p>
        </w:tc>
        <w:tc>
          <w:tcPr>
            <w:tcW w:w="1835" w:type="dxa"/>
            <w:shd w:val="clear" w:color="auto" w:fill="auto"/>
          </w:tcPr>
          <w:p w:rsidR="007B5EBF" w:rsidRPr="007E792E" w:rsidRDefault="007B5EBF" w:rsidP="007E792E">
            <w:pPr>
              <w:rPr>
                <w:rFonts w:ascii="Arial" w:eastAsia="Calibri" w:hAnsi="Arial" w:cs="Arial"/>
                <w:b/>
              </w:rPr>
            </w:pPr>
            <w:r w:rsidRPr="007E792E">
              <w:rPr>
                <w:rFonts w:ascii="Arial" w:eastAsia="Calibri" w:hAnsi="Arial" w:cs="Arial"/>
                <w:color w:val="000000"/>
              </w:rPr>
              <w:t>R 2,351,114</w:t>
            </w:r>
          </w:p>
        </w:tc>
        <w:tc>
          <w:tcPr>
            <w:tcW w:w="1713" w:type="dxa"/>
            <w:shd w:val="clear" w:color="auto" w:fill="auto"/>
          </w:tcPr>
          <w:p w:rsidR="007B5EBF" w:rsidRPr="007E792E" w:rsidRDefault="007B5EBF" w:rsidP="007E792E">
            <w:pPr>
              <w:rPr>
                <w:rFonts w:ascii="Arial" w:eastAsia="Calibri" w:hAnsi="Arial" w:cs="Arial"/>
                <w:color w:val="000000"/>
              </w:rPr>
            </w:pPr>
            <w:r w:rsidRPr="007E792E">
              <w:rPr>
                <w:rFonts w:ascii="Arial" w:eastAsia="Calibri" w:hAnsi="Arial" w:cs="Arial"/>
                <w:color w:val="000000"/>
              </w:rPr>
              <w:t>R 2,351,114</w:t>
            </w:r>
          </w:p>
        </w:tc>
      </w:tr>
      <w:tr w:rsidR="007B5EBF" w:rsidRPr="00713F04" w:rsidTr="007B5EBF">
        <w:trPr>
          <w:trHeight w:val="1395"/>
        </w:trPr>
        <w:tc>
          <w:tcPr>
            <w:tcW w:w="612" w:type="dxa"/>
            <w:shd w:val="clear" w:color="auto" w:fill="auto"/>
          </w:tcPr>
          <w:p w:rsidR="007B5EBF" w:rsidRPr="007E792E" w:rsidRDefault="007B5EBF" w:rsidP="007E792E">
            <w:pPr>
              <w:rPr>
                <w:rFonts w:ascii="Arial" w:eastAsia="Calibri" w:hAnsi="Arial" w:cs="Arial"/>
              </w:rPr>
            </w:pPr>
            <w:r>
              <w:rPr>
                <w:rFonts w:ascii="Arial" w:eastAsia="Calibri" w:hAnsi="Arial" w:cs="Arial"/>
              </w:rPr>
              <w:t>3</w:t>
            </w:r>
          </w:p>
        </w:tc>
        <w:tc>
          <w:tcPr>
            <w:tcW w:w="3305" w:type="dxa"/>
            <w:shd w:val="clear" w:color="auto" w:fill="auto"/>
          </w:tcPr>
          <w:p w:rsidR="007B5EBF" w:rsidRPr="007E792E" w:rsidRDefault="007B5EBF" w:rsidP="007E792E">
            <w:pPr>
              <w:rPr>
                <w:rFonts w:ascii="Arial" w:eastAsia="Calibri" w:hAnsi="Arial" w:cs="Arial"/>
              </w:rPr>
            </w:pPr>
            <w:r w:rsidRPr="007E792E">
              <w:rPr>
                <w:rFonts w:ascii="Arial" w:eastAsia="Calibri" w:hAnsi="Arial" w:cs="Arial"/>
              </w:rPr>
              <w:t xml:space="preserve">Ernst &amp; Young Advisory Services (Pty) </w:t>
            </w:r>
          </w:p>
        </w:tc>
        <w:tc>
          <w:tcPr>
            <w:tcW w:w="2202" w:type="dxa"/>
            <w:shd w:val="clear" w:color="auto" w:fill="auto"/>
          </w:tcPr>
          <w:p w:rsidR="007B5EBF" w:rsidRPr="007E792E" w:rsidRDefault="007B5EBF" w:rsidP="007E792E">
            <w:pPr>
              <w:rPr>
                <w:rFonts w:ascii="Arial" w:eastAsia="Calibri" w:hAnsi="Arial" w:cs="Arial"/>
                <w:color w:val="000000"/>
              </w:rPr>
            </w:pPr>
            <w:r w:rsidRPr="007E792E">
              <w:rPr>
                <w:rFonts w:ascii="Arial" w:eastAsia="Calibri" w:hAnsi="Arial" w:cs="Arial"/>
                <w:color w:val="000000"/>
              </w:rPr>
              <w:t>Transaction advisor on the Corporatisation of Scaw</w:t>
            </w:r>
          </w:p>
          <w:p w:rsidR="007B5EBF" w:rsidRPr="007E792E" w:rsidRDefault="007B5EBF" w:rsidP="007E792E">
            <w:pPr>
              <w:rPr>
                <w:rFonts w:ascii="Arial" w:eastAsia="Calibri" w:hAnsi="Arial" w:cs="Arial"/>
                <w:color w:val="000000"/>
              </w:rPr>
            </w:pPr>
          </w:p>
        </w:tc>
        <w:tc>
          <w:tcPr>
            <w:tcW w:w="1835" w:type="dxa"/>
          </w:tcPr>
          <w:p w:rsidR="007B5EBF" w:rsidRPr="007E792E" w:rsidRDefault="001E753A" w:rsidP="007E792E">
            <w:pPr>
              <w:rPr>
                <w:rFonts w:ascii="Arial" w:eastAsia="Calibri" w:hAnsi="Arial" w:cs="Arial"/>
              </w:rPr>
            </w:pPr>
            <w:r>
              <w:rPr>
                <w:rFonts w:ascii="Arial" w:eastAsia="Calibri" w:hAnsi="Arial" w:cs="Arial"/>
              </w:rPr>
              <w:t>R 6 billion</w:t>
            </w:r>
          </w:p>
        </w:tc>
        <w:tc>
          <w:tcPr>
            <w:tcW w:w="1835" w:type="dxa"/>
            <w:shd w:val="clear" w:color="auto" w:fill="auto"/>
          </w:tcPr>
          <w:p w:rsidR="007B5EBF" w:rsidRPr="007E792E" w:rsidRDefault="007B5EBF" w:rsidP="007E792E">
            <w:pPr>
              <w:rPr>
                <w:rFonts w:ascii="Arial" w:eastAsia="Calibri" w:hAnsi="Arial" w:cs="Arial"/>
              </w:rPr>
            </w:pPr>
            <w:r w:rsidRPr="007E792E">
              <w:rPr>
                <w:rFonts w:ascii="Arial" w:eastAsia="Calibri" w:hAnsi="Arial" w:cs="Arial"/>
              </w:rPr>
              <w:t>R 17,256,155</w:t>
            </w:r>
          </w:p>
        </w:tc>
        <w:tc>
          <w:tcPr>
            <w:tcW w:w="1713" w:type="dxa"/>
            <w:shd w:val="clear" w:color="auto" w:fill="auto"/>
          </w:tcPr>
          <w:p w:rsidR="007B5EBF" w:rsidRPr="007E792E" w:rsidRDefault="007B5EBF" w:rsidP="007E792E">
            <w:pPr>
              <w:rPr>
                <w:rFonts w:ascii="Arial" w:eastAsia="Calibri" w:hAnsi="Arial" w:cs="Arial"/>
              </w:rPr>
            </w:pPr>
            <w:r w:rsidRPr="007E792E">
              <w:rPr>
                <w:rFonts w:ascii="Arial" w:eastAsia="Calibri" w:hAnsi="Arial" w:cs="Arial"/>
              </w:rPr>
              <w:t>R 13,520,721</w:t>
            </w:r>
          </w:p>
        </w:tc>
      </w:tr>
      <w:tr w:rsidR="007B5EBF" w:rsidRPr="00713F04" w:rsidTr="007B5EBF">
        <w:trPr>
          <w:trHeight w:val="1401"/>
        </w:trPr>
        <w:tc>
          <w:tcPr>
            <w:tcW w:w="612" w:type="dxa"/>
            <w:shd w:val="clear" w:color="auto" w:fill="auto"/>
          </w:tcPr>
          <w:p w:rsidR="007B5EBF" w:rsidRPr="007E792E" w:rsidRDefault="007B5EBF" w:rsidP="007E792E">
            <w:pPr>
              <w:rPr>
                <w:rFonts w:ascii="Arial" w:eastAsia="Calibri" w:hAnsi="Arial" w:cs="Arial"/>
                <w:b/>
              </w:rPr>
            </w:pPr>
            <w:r>
              <w:rPr>
                <w:rFonts w:ascii="Arial" w:eastAsia="Calibri" w:hAnsi="Arial" w:cs="Arial"/>
              </w:rPr>
              <w:t>4</w:t>
            </w:r>
          </w:p>
        </w:tc>
        <w:tc>
          <w:tcPr>
            <w:tcW w:w="3305" w:type="dxa"/>
            <w:shd w:val="clear" w:color="auto" w:fill="auto"/>
          </w:tcPr>
          <w:p w:rsidR="007B5EBF" w:rsidRPr="007E792E" w:rsidRDefault="007B5EBF" w:rsidP="007E792E">
            <w:pPr>
              <w:rPr>
                <w:rFonts w:ascii="Arial" w:eastAsia="Calibri" w:hAnsi="Arial" w:cs="Arial"/>
              </w:rPr>
            </w:pPr>
            <w:r w:rsidRPr="007E792E">
              <w:rPr>
                <w:rFonts w:ascii="Arial" w:eastAsia="Calibri" w:hAnsi="Arial" w:cs="Arial"/>
              </w:rPr>
              <w:t>Rothschild (South Africa) (Pty) Ltd and Identity Capital Partners (Pty) Ltd Joint Venture</w:t>
            </w:r>
          </w:p>
        </w:tc>
        <w:tc>
          <w:tcPr>
            <w:tcW w:w="2202" w:type="dxa"/>
            <w:shd w:val="clear" w:color="auto" w:fill="auto"/>
          </w:tcPr>
          <w:p w:rsidR="007B5EBF" w:rsidRPr="007E792E" w:rsidRDefault="007B5EBF" w:rsidP="007E792E">
            <w:pPr>
              <w:rPr>
                <w:rFonts w:ascii="Arial" w:eastAsia="Calibri" w:hAnsi="Arial" w:cs="Arial"/>
              </w:rPr>
            </w:pPr>
            <w:r w:rsidRPr="007E792E">
              <w:rPr>
                <w:rFonts w:ascii="Arial" w:eastAsia="Calibri" w:hAnsi="Arial" w:cs="Arial"/>
              </w:rPr>
              <w:t>Transaction advisory services to the IDC to identify strategic equity partners to its subsidiary, Scaw</w:t>
            </w:r>
          </w:p>
          <w:p w:rsidR="007B5EBF" w:rsidRPr="007E792E" w:rsidRDefault="007B5EBF" w:rsidP="007E792E">
            <w:pPr>
              <w:rPr>
                <w:rFonts w:ascii="Arial" w:eastAsia="Calibri" w:hAnsi="Arial" w:cs="Arial"/>
              </w:rPr>
            </w:pPr>
          </w:p>
        </w:tc>
        <w:tc>
          <w:tcPr>
            <w:tcW w:w="1835" w:type="dxa"/>
          </w:tcPr>
          <w:p w:rsidR="007B5EBF" w:rsidRPr="007E792E" w:rsidRDefault="001E753A" w:rsidP="007E792E">
            <w:pPr>
              <w:rPr>
                <w:rFonts w:ascii="Arial" w:eastAsia="Calibri" w:hAnsi="Arial" w:cs="Arial"/>
              </w:rPr>
            </w:pPr>
            <w:r>
              <w:rPr>
                <w:rFonts w:ascii="Arial" w:eastAsia="Calibri" w:hAnsi="Arial" w:cs="Arial"/>
              </w:rPr>
              <w:t>R 6 billion</w:t>
            </w:r>
          </w:p>
        </w:tc>
        <w:tc>
          <w:tcPr>
            <w:tcW w:w="1835" w:type="dxa"/>
            <w:shd w:val="clear" w:color="auto" w:fill="auto"/>
          </w:tcPr>
          <w:p w:rsidR="007B5EBF" w:rsidRPr="007E792E" w:rsidRDefault="007B5EBF" w:rsidP="007E792E">
            <w:pPr>
              <w:rPr>
                <w:rFonts w:ascii="Arial" w:eastAsia="Calibri" w:hAnsi="Arial" w:cs="Arial"/>
              </w:rPr>
            </w:pPr>
            <w:r w:rsidRPr="007E792E">
              <w:rPr>
                <w:rFonts w:ascii="Arial" w:eastAsia="Calibri" w:hAnsi="Arial" w:cs="Arial"/>
              </w:rPr>
              <w:t>R 17,500,000</w:t>
            </w:r>
          </w:p>
        </w:tc>
        <w:tc>
          <w:tcPr>
            <w:tcW w:w="1713" w:type="dxa"/>
            <w:shd w:val="clear" w:color="auto" w:fill="auto"/>
          </w:tcPr>
          <w:p w:rsidR="007B5EBF" w:rsidRPr="007E792E" w:rsidRDefault="007B5EBF" w:rsidP="007E792E">
            <w:pPr>
              <w:rPr>
                <w:rFonts w:ascii="Arial" w:eastAsia="Calibri" w:hAnsi="Arial" w:cs="Arial"/>
              </w:rPr>
            </w:pPr>
            <w:r w:rsidRPr="007E792E">
              <w:rPr>
                <w:rFonts w:ascii="Arial" w:eastAsia="Calibri" w:hAnsi="Arial" w:cs="Arial"/>
              </w:rPr>
              <w:t>R 7,579,905</w:t>
            </w:r>
          </w:p>
        </w:tc>
      </w:tr>
    </w:tbl>
    <w:p w:rsidR="004255F7" w:rsidRDefault="004255F7" w:rsidP="004255F7">
      <w:pPr>
        <w:spacing w:line="360" w:lineRule="auto"/>
        <w:jc w:val="center"/>
        <w:outlineLvl w:val="0"/>
        <w:rPr>
          <w:rFonts w:ascii="Arial" w:eastAsia="Arial Unicode MS" w:hAnsi="Arial Unicode MS"/>
          <w:b/>
          <w:color w:val="000000"/>
          <w:u w:color="000000"/>
        </w:rPr>
      </w:pPr>
    </w:p>
    <w:p w:rsidR="004255F7" w:rsidRDefault="004255F7" w:rsidP="004255F7">
      <w:pPr>
        <w:spacing w:line="360" w:lineRule="auto"/>
        <w:jc w:val="center"/>
        <w:outlineLvl w:val="0"/>
        <w:rPr>
          <w:rFonts w:ascii="Arial" w:eastAsia="Arial Unicode MS" w:hAnsi="Arial Unicode MS"/>
          <w:b/>
          <w:color w:val="000000"/>
          <w:u w:color="000000"/>
        </w:rPr>
      </w:pPr>
    </w:p>
    <w:p w:rsidR="00AF023B" w:rsidRDefault="00AF023B" w:rsidP="00AF023B">
      <w:pPr>
        <w:tabs>
          <w:tab w:val="left" w:pos="5550"/>
        </w:tabs>
        <w:spacing w:line="276" w:lineRule="auto"/>
        <w:jc w:val="both"/>
        <w:rPr>
          <w:rFonts w:ascii="Arial" w:eastAsia="Calibri" w:hAnsi="Arial" w:cs="Arial"/>
          <w:b/>
          <w:bCs/>
          <w:lang w:val="en-ZA"/>
        </w:rPr>
      </w:pPr>
    </w:p>
    <w:p w:rsidR="00AF023B" w:rsidRPr="00AF023B" w:rsidRDefault="00AF023B" w:rsidP="00AF023B">
      <w:pPr>
        <w:tabs>
          <w:tab w:val="left" w:pos="5550"/>
        </w:tabs>
        <w:spacing w:line="276" w:lineRule="auto"/>
        <w:jc w:val="both"/>
        <w:rPr>
          <w:rFonts w:ascii="Arial" w:eastAsia="Calibri" w:hAnsi="Arial" w:cs="Arial"/>
          <w:b/>
          <w:bCs/>
          <w:lang w:val="en-ZA"/>
        </w:rPr>
      </w:pPr>
      <w:r w:rsidRPr="00AF023B">
        <w:rPr>
          <w:rFonts w:ascii="Arial" w:eastAsia="Calibri" w:hAnsi="Arial" w:cs="Arial"/>
          <w:b/>
          <w:bCs/>
          <w:lang w:val="en-ZA"/>
        </w:rPr>
        <w:tab/>
      </w:r>
    </w:p>
    <w:p w:rsidR="00467289" w:rsidRDefault="00467289" w:rsidP="00467289">
      <w:pPr>
        <w:spacing w:line="276" w:lineRule="auto"/>
        <w:jc w:val="center"/>
        <w:rPr>
          <w:rFonts w:ascii="Arial" w:eastAsia="Calibri" w:hAnsi="Arial" w:cs="Arial"/>
          <w:b/>
          <w:bCs/>
          <w:lang w:val="en-ZA"/>
        </w:rPr>
      </w:pPr>
      <w:r>
        <w:rPr>
          <w:rFonts w:ascii="Arial" w:eastAsia="Calibri" w:hAnsi="Arial" w:cs="Arial"/>
          <w:b/>
          <w:bCs/>
          <w:lang w:val="en-ZA"/>
        </w:rPr>
        <w:t>END</w:t>
      </w:r>
    </w:p>
    <w:sectPr w:rsidR="00467289">
      <w:footerReference w:type="default" r:id="rId8"/>
      <w:pgSz w:w="12240" w:h="15840"/>
      <w:pgMar w:top="1440" w:right="1800" w:bottom="1440" w:left="1800"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2B61" w:rsidRDefault="00402B61">
      <w:r>
        <w:separator/>
      </w:r>
    </w:p>
  </w:endnote>
  <w:endnote w:type="continuationSeparator" w:id="0">
    <w:p w:rsidR="00402B61" w:rsidRDefault="00402B61">
      <w:r>
        <w:continuationSeparator/>
      </w:r>
    </w:p>
  </w:endnote>
</w:endnotes>
</file>

<file path=word/fontTable.xml><?xml version="1.0" encoding="utf-8"?>
<w:fonts xmlns:r="http://schemas.openxmlformats.org/officeDocument/2006/relationships" xmlns:w="http://schemas.openxmlformats.org/wordprocessingml/2006/main">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440" w:rsidRPr="00F35024" w:rsidRDefault="00AF023B" w:rsidP="00260440">
    <w:pPr>
      <w:pStyle w:val="Body1"/>
      <w:tabs>
        <w:tab w:val="left" w:pos="0"/>
        <w:tab w:val="left" w:pos="0"/>
        <w:tab w:val="center" w:pos="4320"/>
        <w:tab w:val="center" w:pos="4320"/>
        <w:tab w:val="center" w:pos="4513"/>
        <w:tab w:val="right" w:pos="8620"/>
        <w:tab w:val="right" w:pos="8620"/>
        <w:tab w:val="right" w:pos="8640"/>
      </w:tabs>
      <w:jc w:val="center"/>
      <w:rPr>
        <w:rFonts w:ascii="Arial" w:eastAsia="Times New Roman" w:hAnsi="Arial" w:cs="Arial"/>
        <w:color w:val="auto"/>
        <w:sz w:val="16"/>
        <w:szCs w:val="16"/>
      </w:rPr>
    </w:pPr>
    <w:r>
      <w:rPr>
        <w:rFonts w:ascii="Arial" w:hAnsi="Arial" w:cs="Arial"/>
        <w:sz w:val="16"/>
        <w:szCs w:val="16"/>
      </w:rPr>
      <w:t>Parliamentary Question No 2284</w:t>
    </w:r>
  </w:p>
  <w:p w:rsidR="00260440" w:rsidRDefault="0026044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2B61" w:rsidRDefault="00402B61">
      <w:r>
        <w:separator/>
      </w:r>
    </w:p>
  </w:footnote>
  <w:footnote w:type="continuationSeparator" w:id="0">
    <w:p w:rsidR="00402B61" w:rsidRDefault="00402B6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94EE873"/>
    <w:lvl w:ilvl="0">
      <w:start w:val="1"/>
      <w:numFmt w:val="lowerLetter"/>
      <w:lvlText w:val="%1."/>
      <w:lvlJc w:val="left"/>
      <w:pPr>
        <w:tabs>
          <w:tab w:val="num" w:pos="360"/>
        </w:tabs>
        <w:ind w:left="360" w:firstLine="0"/>
      </w:pPr>
      <w:rPr>
        <w:rFonts w:ascii="Helvetica" w:eastAsia="Arial Unicode MS" w:hAnsi="Helvetica" w:hint="default"/>
        <w:b w:val="0"/>
        <w:i w:val="0"/>
        <w:caps w:val="0"/>
        <w:smallCaps w:val="0"/>
        <w:strike w:val="0"/>
        <w:dstrike w:val="0"/>
        <w:outline w:val="0"/>
        <w:color w:val="000000"/>
        <w:kern w:val="0"/>
        <w:position w:val="0"/>
        <w:sz w:val="24"/>
        <w:u w:val="none" w:color="000000"/>
        <w:vertAlign w:val="baseline"/>
        <w:rtl w:val="0"/>
        <w:em w:val="none"/>
        <w:lang w:val="en-US"/>
      </w:rPr>
    </w:lvl>
    <w:lvl w:ilvl="1">
      <w:start w:val="1"/>
      <w:numFmt w:val="lowerLetter"/>
      <w:lvlText w:val="%2."/>
      <w:lvlJc w:val="left"/>
      <w:pPr>
        <w:tabs>
          <w:tab w:val="num" w:pos="360"/>
        </w:tabs>
        <w:ind w:left="360" w:firstLine="720"/>
      </w:pPr>
      <w:rPr>
        <w:rFonts w:ascii="Helvetica" w:eastAsia="Arial Unicode MS" w:hAnsi="Helvetica" w:hint="default"/>
        <w:b w:val="0"/>
        <w:i w:val="0"/>
        <w:caps w:val="0"/>
        <w:smallCaps w:val="0"/>
        <w:strike w:val="0"/>
        <w:dstrike w:val="0"/>
        <w:outline w:val="0"/>
        <w:color w:val="000000"/>
        <w:kern w:val="0"/>
        <w:position w:val="0"/>
        <w:sz w:val="24"/>
        <w:u w:val="none" w:color="000000"/>
        <w:vertAlign w:val="baseline"/>
        <w:rtl w:val="0"/>
        <w:em w:val="none"/>
        <w:lang w:val="en-US"/>
      </w:rPr>
    </w:lvl>
    <w:lvl w:ilvl="2">
      <w:start w:val="1"/>
      <w:numFmt w:val="lowerRoman"/>
      <w:lvlText w:val="%3."/>
      <w:lvlJc w:val="left"/>
      <w:pPr>
        <w:tabs>
          <w:tab w:val="num" w:pos="296"/>
        </w:tabs>
        <w:ind w:left="296" w:firstLine="1504"/>
      </w:pPr>
      <w:rPr>
        <w:rFonts w:ascii="Helvetica" w:eastAsia="Arial Unicode MS" w:hAnsi="Helvetica" w:hint="default"/>
        <w:b w:val="0"/>
        <w:i w:val="0"/>
        <w:caps w:val="0"/>
        <w:smallCaps w:val="0"/>
        <w:strike w:val="0"/>
        <w:dstrike w:val="0"/>
        <w:outline w:val="0"/>
        <w:color w:val="000000"/>
        <w:kern w:val="0"/>
        <w:position w:val="0"/>
        <w:sz w:val="24"/>
        <w:u w:val="none" w:color="000000"/>
        <w:vertAlign w:val="baseline"/>
        <w:rtl w:val="0"/>
        <w:em w:val="none"/>
        <w:lang w:val="en-US"/>
      </w:rPr>
    </w:lvl>
    <w:lvl w:ilvl="3">
      <w:start w:val="1"/>
      <w:numFmt w:val="decimal"/>
      <w:lvlText w:val="%4."/>
      <w:lvlJc w:val="left"/>
      <w:pPr>
        <w:tabs>
          <w:tab w:val="num" w:pos="360"/>
        </w:tabs>
        <w:ind w:left="360" w:firstLine="2160"/>
      </w:pPr>
      <w:rPr>
        <w:rFonts w:ascii="Helvetica" w:eastAsia="Arial Unicode MS" w:hAnsi="Helvetica" w:hint="default"/>
        <w:b w:val="0"/>
        <w:i w:val="0"/>
        <w:caps w:val="0"/>
        <w:smallCaps w:val="0"/>
        <w:strike w:val="0"/>
        <w:dstrike w:val="0"/>
        <w:outline w:val="0"/>
        <w:color w:val="000000"/>
        <w:kern w:val="0"/>
        <w:position w:val="0"/>
        <w:sz w:val="24"/>
        <w:u w:val="none" w:color="000000"/>
        <w:vertAlign w:val="baseline"/>
        <w:rtl w:val="0"/>
        <w:em w:val="none"/>
        <w:lang w:val="en-US"/>
      </w:rPr>
    </w:lvl>
    <w:lvl w:ilvl="4">
      <w:start w:val="1"/>
      <w:numFmt w:val="lowerLetter"/>
      <w:lvlText w:val="%5."/>
      <w:lvlJc w:val="left"/>
      <w:pPr>
        <w:tabs>
          <w:tab w:val="num" w:pos="360"/>
        </w:tabs>
        <w:ind w:left="360" w:firstLine="2880"/>
      </w:pPr>
      <w:rPr>
        <w:rFonts w:ascii="Helvetica" w:eastAsia="Arial Unicode MS" w:hAnsi="Helvetica" w:hint="default"/>
        <w:b w:val="0"/>
        <w:i w:val="0"/>
        <w:caps w:val="0"/>
        <w:smallCaps w:val="0"/>
        <w:strike w:val="0"/>
        <w:dstrike w:val="0"/>
        <w:outline w:val="0"/>
        <w:color w:val="000000"/>
        <w:kern w:val="0"/>
        <w:position w:val="0"/>
        <w:sz w:val="24"/>
        <w:u w:val="none" w:color="000000"/>
        <w:vertAlign w:val="baseline"/>
        <w:rtl w:val="0"/>
        <w:em w:val="none"/>
        <w:lang w:val="en-US"/>
      </w:rPr>
    </w:lvl>
    <w:lvl w:ilvl="5">
      <w:start w:val="1"/>
      <w:numFmt w:val="lowerRoman"/>
      <w:lvlText w:val="%6."/>
      <w:lvlJc w:val="left"/>
      <w:pPr>
        <w:tabs>
          <w:tab w:val="num" w:pos="296"/>
        </w:tabs>
        <w:ind w:left="296" w:firstLine="3664"/>
      </w:pPr>
      <w:rPr>
        <w:rFonts w:ascii="Helvetica" w:eastAsia="Arial Unicode MS" w:hAnsi="Helvetica" w:hint="default"/>
        <w:b w:val="0"/>
        <w:i w:val="0"/>
        <w:caps w:val="0"/>
        <w:smallCaps w:val="0"/>
        <w:strike w:val="0"/>
        <w:dstrike w:val="0"/>
        <w:outline w:val="0"/>
        <w:color w:val="000000"/>
        <w:kern w:val="0"/>
        <w:position w:val="0"/>
        <w:sz w:val="24"/>
        <w:u w:val="none" w:color="000000"/>
        <w:vertAlign w:val="baseline"/>
        <w:rtl w:val="0"/>
        <w:em w:val="none"/>
        <w:lang w:val="en-US"/>
      </w:rPr>
    </w:lvl>
    <w:lvl w:ilvl="6">
      <w:start w:val="1"/>
      <w:numFmt w:val="decimal"/>
      <w:lvlText w:val="%7."/>
      <w:lvlJc w:val="left"/>
      <w:pPr>
        <w:tabs>
          <w:tab w:val="num" w:pos="360"/>
        </w:tabs>
        <w:ind w:left="360" w:firstLine="4320"/>
      </w:pPr>
      <w:rPr>
        <w:rFonts w:ascii="Helvetica" w:eastAsia="Arial Unicode MS" w:hAnsi="Helvetica" w:hint="default"/>
        <w:b w:val="0"/>
        <w:i w:val="0"/>
        <w:caps w:val="0"/>
        <w:smallCaps w:val="0"/>
        <w:strike w:val="0"/>
        <w:dstrike w:val="0"/>
        <w:outline w:val="0"/>
        <w:color w:val="000000"/>
        <w:kern w:val="0"/>
        <w:position w:val="0"/>
        <w:sz w:val="24"/>
        <w:u w:val="none" w:color="000000"/>
        <w:vertAlign w:val="baseline"/>
        <w:rtl w:val="0"/>
        <w:em w:val="none"/>
        <w:lang w:val="en-US"/>
      </w:rPr>
    </w:lvl>
    <w:lvl w:ilvl="7">
      <w:start w:val="1"/>
      <w:numFmt w:val="lowerLetter"/>
      <w:lvlText w:val="%8."/>
      <w:lvlJc w:val="left"/>
      <w:pPr>
        <w:tabs>
          <w:tab w:val="num" w:pos="360"/>
        </w:tabs>
        <w:ind w:left="360" w:firstLine="5040"/>
      </w:pPr>
      <w:rPr>
        <w:rFonts w:ascii="Helvetica" w:eastAsia="Arial Unicode MS" w:hAnsi="Helvetica" w:hint="default"/>
        <w:b w:val="0"/>
        <w:i w:val="0"/>
        <w:caps w:val="0"/>
        <w:smallCaps w:val="0"/>
        <w:strike w:val="0"/>
        <w:dstrike w:val="0"/>
        <w:outline w:val="0"/>
        <w:color w:val="000000"/>
        <w:kern w:val="0"/>
        <w:position w:val="0"/>
        <w:sz w:val="24"/>
        <w:u w:val="none" w:color="000000"/>
        <w:vertAlign w:val="baseline"/>
        <w:rtl w:val="0"/>
        <w:em w:val="none"/>
        <w:lang w:val="en-US"/>
      </w:rPr>
    </w:lvl>
    <w:lvl w:ilvl="8">
      <w:start w:val="1"/>
      <w:numFmt w:val="lowerRoman"/>
      <w:lvlText w:val="%9."/>
      <w:lvlJc w:val="left"/>
      <w:pPr>
        <w:tabs>
          <w:tab w:val="num" w:pos="296"/>
        </w:tabs>
        <w:ind w:left="296" w:firstLine="5824"/>
      </w:pPr>
      <w:rPr>
        <w:rFonts w:ascii="Helvetica" w:eastAsia="Arial Unicode MS" w:hAnsi="Helvetica" w:hint="default"/>
        <w:b w:val="0"/>
        <w:i w:val="0"/>
        <w:caps w:val="0"/>
        <w:smallCaps w:val="0"/>
        <w:strike w:val="0"/>
        <w:dstrike w:val="0"/>
        <w:outline w:val="0"/>
        <w:color w:val="000000"/>
        <w:kern w:val="0"/>
        <w:position w:val="0"/>
        <w:sz w:val="24"/>
        <w:u w:val="none" w:color="000000"/>
        <w:vertAlign w:val="baseline"/>
        <w:rtl w:val="0"/>
        <w:em w:val="none"/>
        <w:lang w:val="en-US"/>
      </w:rPr>
    </w:lvl>
  </w:abstractNum>
  <w:abstractNum w:abstractNumId="1">
    <w:nsid w:val="00000002"/>
    <w:multiLevelType w:val="multilevel"/>
    <w:tmpl w:val="894EE874"/>
    <w:numStyleLink w:val="ImportWordListStyleDefinition0"/>
  </w:abstractNum>
  <w:abstractNum w:abstractNumId="2">
    <w:nsid w:val="00000003"/>
    <w:multiLevelType w:val="multilevel"/>
    <w:tmpl w:val="894EE875"/>
    <w:lvl w:ilvl="0">
      <w:start w:val="1"/>
      <w:numFmt w:val="lowerLetter"/>
      <w:lvlText w:val="%1."/>
      <w:lvlJc w:val="left"/>
      <w:pPr>
        <w:tabs>
          <w:tab w:val="num" w:pos="360"/>
        </w:tabs>
        <w:ind w:left="360" w:firstLine="0"/>
      </w:pPr>
      <w:rPr>
        <w:rFonts w:ascii="Helvetica" w:eastAsia="Arial Unicode MS" w:hAnsi="Helvetica" w:hint="default"/>
        <w:b w:val="0"/>
        <w:i w:val="0"/>
        <w:caps w:val="0"/>
        <w:smallCaps w:val="0"/>
        <w:strike w:val="0"/>
        <w:dstrike w:val="0"/>
        <w:outline w:val="0"/>
        <w:color w:val="000000"/>
        <w:kern w:val="0"/>
        <w:position w:val="0"/>
        <w:sz w:val="24"/>
        <w:u w:val="none" w:color="000000"/>
        <w:vertAlign w:val="baseline"/>
        <w:rtl w:val="0"/>
        <w:em w:val="none"/>
        <w:lang w:val="en-US"/>
      </w:rPr>
    </w:lvl>
    <w:lvl w:ilvl="1">
      <w:start w:val="1"/>
      <w:numFmt w:val="lowerLetter"/>
      <w:lvlText w:val="%2."/>
      <w:lvlJc w:val="left"/>
      <w:pPr>
        <w:tabs>
          <w:tab w:val="num" w:pos="360"/>
        </w:tabs>
        <w:ind w:left="360" w:firstLine="720"/>
      </w:pPr>
      <w:rPr>
        <w:rFonts w:ascii="Helvetica" w:eastAsia="Arial Unicode MS" w:hAnsi="Helvetica" w:hint="default"/>
        <w:b w:val="0"/>
        <w:i w:val="0"/>
        <w:caps w:val="0"/>
        <w:smallCaps w:val="0"/>
        <w:strike w:val="0"/>
        <w:dstrike w:val="0"/>
        <w:outline w:val="0"/>
        <w:color w:val="000000"/>
        <w:kern w:val="0"/>
        <w:position w:val="0"/>
        <w:sz w:val="24"/>
        <w:u w:val="none" w:color="000000"/>
        <w:vertAlign w:val="baseline"/>
        <w:rtl w:val="0"/>
        <w:em w:val="none"/>
        <w:lang w:val="en-US"/>
      </w:rPr>
    </w:lvl>
    <w:lvl w:ilvl="2">
      <w:start w:val="1"/>
      <w:numFmt w:val="lowerRoman"/>
      <w:lvlText w:val="%3."/>
      <w:lvlJc w:val="left"/>
      <w:pPr>
        <w:tabs>
          <w:tab w:val="num" w:pos="296"/>
        </w:tabs>
        <w:ind w:left="296" w:firstLine="1504"/>
      </w:pPr>
      <w:rPr>
        <w:rFonts w:ascii="Helvetica" w:eastAsia="Arial Unicode MS" w:hAnsi="Helvetica" w:hint="default"/>
        <w:b w:val="0"/>
        <w:i w:val="0"/>
        <w:caps w:val="0"/>
        <w:smallCaps w:val="0"/>
        <w:strike w:val="0"/>
        <w:dstrike w:val="0"/>
        <w:outline w:val="0"/>
        <w:color w:val="000000"/>
        <w:kern w:val="0"/>
        <w:position w:val="0"/>
        <w:sz w:val="24"/>
        <w:u w:val="none" w:color="000000"/>
        <w:vertAlign w:val="baseline"/>
        <w:rtl w:val="0"/>
        <w:em w:val="none"/>
        <w:lang w:val="en-US"/>
      </w:rPr>
    </w:lvl>
    <w:lvl w:ilvl="3">
      <w:start w:val="1"/>
      <w:numFmt w:val="decimal"/>
      <w:lvlText w:val="%4."/>
      <w:lvlJc w:val="left"/>
      <w:pPr>
        <w:tabs>
          <w:tab w:val="num" w:pos="360"/>
        </w:tabs>
        <w:ind w:left="360" w:firstLine="2160"/>
      </w:pPr>
      <w:rPr>
        <w:rFonts w:ascii="Helvetica" w:eastAsia="Arial Unicode MS" w:hAnsi="Helvetica" w:hint="default"/>
        <w:b w:val="0"/>
        <w:i w:val="0"/>
        <w:caps w:val="0"/>
        <w:smallCaps w:val="0"/>
        <w:strike w:val="0"/>
        <w:dstrike w:val="0"/>
        <w:outline w:val="0"/>
        <w:color w:val="000000"/>
        <w:kern w:val="0"/>
        <w:position w:val="0"/>
        <w:sz w:val="24"/>
        <w:u w:val="none" w:color="000000"/>
        <w:vertAlign w:val="baseline"/>
        <w:rtl w:val="0"/>
        <w:em w:val="none"/>
        <w:lang w:val="en-US"/>
      </w:rPr>
    </w:lvl>
    <w:lvl w:ilvl="4">
      <w:start w:val="1"/>
      <w:numFmt w:val="lowerLetter"/>
      <w:lvlText w:val="%5."/>
      <w:lvlJc w:val="left"/>
      <w:pPr>
        <w:tabs>
          <w:tab w:val="num" w:pos="360"/>
        </w:tabs>
        <w:ind w:left="360" w:firstLine="2880"/>
      </w:pPr>
      <w:rPr>
        <w:rFonts w:ascii="Helvetica" w:eastAsia="Arial Unicode MS" w:hAnsi="Helvetica" w:hint="default"/>
        <w:b w:val="0"/>
        <w:i w:val="0"/>
        <w:caps w:val="0"/>
        <w:smallCaps w:val="0"/>
        <w:strike w:val="0"/>
        <w:dstrike w:val="0"/>
        <w:outline w:val="0"/>
        <w:color w:val="000000"/>
        <w:kern w:val="0"/>
        <w:position w:val="0"/>
        <w:sz w:val="24"/>
        <w:u w:val="none" w:color="000000"/>
        <w:vertAlign w:val="baseline"/>
        <w:rtl w:val="0"/>
        <w:em w:val="none"/>
        <w:lang w:val="en-US"/>
      </w:rPr>
    </w:lvl>
    <w:lvl w:ilvl="5">
      <w:start w:val="1"/>
      <w:numFmt w:val="lowerRoman"/>
      <w:lvlText w:val="%6."/>
      <w:lvlJc w:val="left"/>
      <w:pPr>
        <w:tabs>
          <w:tab w:val="num" w:pos="296"/>
        </w:tabs>
        <w:ind w:left="296" w:firstLine="3664"/>
      </w:pPr>
      <w:rPr>
        <w:rFonts w:ascii="Helvetica" w:eastAsia="Arial Unicode MS" w:hAnsi="Helvetica" w:hint="default"/>
        <w:b w:val="0"/>
        <w:i w:val="0"/>
        <w:caps w:val="0"/>
        <w:smallCaps w:val="0"/>
        <w:strike w:val="0"/>
        <w:dstrike w:val="0"/>
        <w:outline w:val="0"/>
        <w:color w:val="000000"/>
        <w:kern w:val="0"/>
        <w:position w:val="0"/>
        <w:sz w:val="24"/>
        <w:u w:val="none" w:color="000000"/>
        <w:vertAlign w:val="baseline"/>
        <w:rtl w:val="0"/>
        <w:em w:val="none"/>
        <w:lang w:val="en-US"/>
      </w:rPr>
    </w:lvl>
    <w:lvl w:ilvl="6">
      <w:start w:val="1"/>
      <w:numFmt w:val="decimal"/>
      <w:lvlText w:val="%7."/>
      <w:lvlJc w:val="left"/>
      <w:pPr>
        <w:tabs>
          <w:tab w:val="num" w:pos="360"/>
        </w:tabs>
        <w:ind w:left="360" w:firstLine="4320"/>
      </w:pPr>
      <w:rPr>
        <w:rFonts w:ascii="Helvetica" w:eastAsia="Arial Unicode MS" w:hAnsi="Helvetica" w:hint="default"/>
        <w:b w:val="0"/>
        <w:i w:val="0"/>
        <w:caps w:val="0"/>
        <w:smallCaps w:val="0"/>
        <w:strike w:val="0"/>
        <w:dstrike w:val="0"/>
        <w:outline w:val="0"/>
        <w:color w:val="000000"/>
        <w:kern w:val="0"/>
        <w:position w:val="0"/>
        <w:sz w:val="24"/>
        <w:u w:val="none" w:color="000000"/>
        <w:vertAlign w:val="baseline"/>
        <w:rtl w:val="0"/>
        <w:em w:val="none"/>
        <w:lang w:val="en-US"/>
      </w:rPr>
    </w:lvl>
    <w:lvl w:ilvl="7">
      <w:start w:val="1"/>
      <w:numFmt w:val="lowerLetter"/>
      <w:lvlText w:val="%8."/>
      <w:lvlJc w:val="left"/>
      <w:pPr>
        <w:tabs>
          <w:tab w:val="num" w:pos="360"/>
        </w:tabs>
        <w:ind w:left="360" w:firstLine="5040"/>
      </w:pPr>
      <w:rPr>
        <w:rFonts w:ascii="Helvetica" w:eastAsia="Arial Unicode MS" w:hAnsi="Helvetica" w:hint="default"/>
        <w:b w:val="0"/>
        <w:i w:val="0"/>
        <w:caps w:val="0"/>
        <w:smallCaps w:val="0"/>
        <w:strike w:val="0"/>
        <w:dstrike w:val="0"/>
        <w:outline w:val="0"/>
        <w:color w:val="000000"/>
        <w:kern w:val="0"/>
        <w:position w:val="0"/>
        <w:sz w:val="24"/>
        <w:u w:val="none" w:color="000000"/>
        <w:vertAlign w:val="baseline"/>
        <w:rtl w:val="0"/>
        <w:em w:val="none"/>
        <w:lang w:val="en-US"/>
      </w:rPr>
    </w:lvl>
    <w:lvl w:ilvl="8">
      <w:start w:val="1"/>
      <w:numFmt w:val="lowerRoman"/>
      <w:lvlText w:val="%9."/>
      <w:lvlJc w:val="left"/>
      <w:pPr>
        <w:tabs>
          <w:tab w:val="num" w:pos="296"/>
        </w:tabs>
        <w:ind w:left="296" w:firstLine="5824"/>
      </w:pPr>
      <w:rPr>
        <w:rFonts w:ascii="Helvetica" w:eastAsia="Arial Unicode MS" w:hAnsi="Helvetica" w:hint="default"/>
        <w:b w:val="0"/>
        <w:i w:val="0"/>
        <w:caps w:val="0"/>
        <w:smallCaps w:val="0"/>
        <w:strike w:val="0"/>
        <w:dstrike w:val="0"/>
        <w:outline w:val="0"/>
        <w:color w:val="000000"/>
        <w:kern w:val="0"/>
        <w:position w:val="0"/>
        <w:sz w:val="24"/>
        <w:u w:val="none" w:color="000000"/>
        <w:vertAlign w:val="baseline"/>
        <w:rtl w:val="0"/>
        <w:em w:val="none"/>
        <w:lang w:val="en-US"/>
      </w:rPr>
    </w:lvl>
  </w:abstractNum>
  <w:abstractNum w:abstractNumId="3">
    <w:nsid w:val="00000004"/>
    <w:multiLevelType w:val="multilevel"/>
    <w:tmpl w:val="894EE876"/>
    <w:numStyleLink w:val="ImportWordListStyleDefinition1"/>
  </w:abstractNum>
  <w:abstractNum w:abstractNumId="4">
    <w:nsid w:val="0FCA6EBD"/>
    <w:multiLevelType w:val="hybridMultilevel"/>
    <w:tmpl w:val="0AEEBADE"/>
    <w:lvl w:ilvl="0" w:tplc="380A4EB6">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43D20B7F"/>
    <w:multiLevelType w:val="hybridMultilevel"/>
    <w:tmpl w:val="EF32D4F6"/>
    <w:lvl w:ilvl="0" w:tplc="54244E52">
      <w:numFmt w:val="bullet"/>
      <w:lvlText w:val="-"/>
      <w:lvlJc w:val="left"/>
      <w:pPr>
        <w:ind w:left="720" w:hanging="360"/>
      </w:pPr>
      <w:rPr>
        <w:rFonts w:ascii="Arial" w:eastAsia="Calibr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58114A3B"/>
    <w:multiLevelType w:val="hybridMultilevel"/>
    <w:tmpl w:val="FC8E5FFE"/>
    <w:lvl w:ilvl="0" w:tplc="1C09000F">
      <w:start w:val="1"/>
      <w:numFmt w:val="decimal"/>
      <w:lvlText w:val="%1."/>
      <w:lvlJc w:val="left"/>
      <w:pPr>
        <w:ind w:left="1800" w:hanging="360"/>
      </w:p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num w:numId="1">
    <w:abstractNumId w:val="0"/>
  </w:num>
  <w:num w:numId="2">
    <w:abstractNumId w:val="1"/>
  </w:num>
  <w:num w:numId="3">
    <w:abstractNumId w:val="2"/>
  </w:num>
  <w:num w:numId="4">
    <w:abstractNumId w:val="3"/>
  </w:num>
  <w:num w:numId="5">
    <w:abstractNumId w:val="6"/>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2801"/>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savePreviewPicture/>
  <w:doNotValidateAgainstSchema/>
  <w:doNotDemarcateInvalidXml/>
  <w:hdrShapeDefaults>
    <o:shapedefaults v:ext="edit" spidmax="3074" style="mso-wrap-style:none">
      <v:stroke weight="0" endcap="round"/>
      <v:textbox style="mso-column-count:0;mso-column-margin:0"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CB384E"/>
    <w:rsid w:val="00025853"/>
    <w:rsid w:val="00055C79"/>
    <w:rsid w:val="00061336"/>
    <w:rsid w:val="000625CB"/>
    <w:rsid w:val="00074562"/>
    <w:rsid w:val="000B1EA6"/>
    <w:rsid w:val="000B1F97"/>
    <w:rsid w:val="000B3E71"/>
    <w:rsid w:val="000D456D"/>
    <w:rsid w:val="000D6FF8"/>
    <w:rsid w:val="000E0227"/>
    <w:rsid w:val="000E189A"/>
    <w:rsid w:val="000F1F0E"/>
    <w:rsid w:val="00145238"/>
    <w:rsid w:val="00150B15"/>
    <w:rsid w:val="0015574C"/>
    <w:rsid w:val="00160812"/>
    <w:rsid w:val="00175864"/>
    <w:rsid w:val="001C2AD4"/>
    <w:rsid w:val="001E753A"/>
    <w:rsid w:val="00220BBC"/>
    <w:rsid w:val="0025350D"/>
    <w:rsid w:val="00260440"/>
    <w:rsid w:val="00306351"/>
    <w:rsid w:val="0036028D"/>
    <w:rsid w:val="003736E1"/>
    <w:rsid w:val="003757C3"/>
    <w:rsid w:val="0038671A"/>
    <w:rsid w:val="003A0685"/>
    <w:rsid w:val="003E23BB"/>
    <w:rsid w:val="003F4631"/>
    <w:rsid w:val="00402B61"/>
    <w:rsid w:val="004255F7"/>
    <w:rsid w:val="00467289"/>
    <w:rsid w:val="00470B0A"/>
    <w:rsid w:val="004A7374"/>
    <w:rsid w:val="005063CE"/>
    <w:rsid w:val="00506BD9"/>
    <w:rsid w:val="00532D9A"/>
    <w:rsid w:val="00545EEB"/>
    <w:rsid w:val="00563E02"/>
    <w:rsid w:val="005D2663"/>
    <w:rsid w:val="005F42D6"/>
    <w:rsid w:val="00631328"/>
    <w:rsid w:val="00633F6F"/>
    <w:rsid w:val="00663754"/>
    <w:rsid w:val="006D6984"/>
    <w:rsid w:val="006D6BD6"/>
    <w:rsid w:val="006E52D8"/>
    <w:rsid w:val="00736BE5"/>
    <w:rsid w:val="00740569"/>
    <w:rsid w:val="007621DE"/>
    <w:rsid w:val="007621F7"/>
    <w:rsid w:val="00777972"/>
    <w:rsid w:val="007824A8"/>
    <w:rsid w:val="007945B8"/>
    <w:rsid w:val="007B5EBF"/>
    <w:rsid w:val="007E792E"/>
    <w:rsid w:val="007E7AD3"/>
    <w:rsid w:val="008A5330"/>
    <w:rsid w:val="008F61DB"/>
    <w:rsid w:val="009011E5"/>
    <w:rsid w:val="00904B31"/>
    <w:rsid w:val="00923754"/>
    <w:rsid w:val="00925499"/>
    <w:rsid w:val="009628CE"/>
    <w:rsid w:val="009E2258"/>
    <w:rsid w:val="00A07DC7"/>
    <w:rsid w:val="00A246B7"/>
    <w:rsid w:val="00A37442"/>
    <w:rsid w:val="00A52050"/>
    <w:rsid w:val="00A8565A"/>
    <w:rsid w:val="00A90129"/>
    <w:rsid w:val="00AE376D"/>
    <w:rsid w:val="00AF023B"/>
    <w:rsid w:val="00B134C6"/>
    <w:rsid w:val="00B20D99"/>
    <w:rsid w:val="00B210A0"/>
    <w:rsid w:val="00B237DD"/>
    <w:rsid w:val="00B608B6"/>
    <w:rsid w:val="00B61202"/>
    <w:rsid w:val="00B61C13"/>
    <w:rsid w:val="00BA6E6E"/>
    <w:rsid w:val="00BB6257"/>
    <w:rsid w:val="00C51704"/>
    <w:rsid w:val="00C56405"/>
    <w:rsid w:val="00CA6BA5"/>
    <w:rsid w:val="00CB384E"/>
    <w:rsid w:val="00D012D5"/>
    <w:rsid w:val="00D07F2A"/>
    <w:rsid w:val="00D5239E"/>
    <w:rsid w:val="00D64012"/>
    <w:rsid w:val="00D84639"/>
    <w:rsid w:val="00DB5630"/>
    <w:rsid w:val="00DE1AF2"/>
    <w:rsid w:val="00E30E99"/>
    <w:rsid w:val="00E45D72"/>
    <w:rsid w:val="00E6001C"/>
    <w:rsid w:val="00E611FD"/>
    <w:rsid w:val="00E77B32"/>
    <w:rsid w:val="00EB2B97"/>
    <w:rsid w:val="00ED53EE"/>
    <w:rsid w:val="00EE47A4"/>
    <w:rsid w:val="00EF6032"/>
    <w:rsid w:val="00F63F44"/>
    <w:rsid w:val="00F7168C"/>
    <w:rsid w:val="00FA188A"/>
    <w:rsid w:val="00FB63F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style="mso-wrap-style:none">
      <v:stroke weight="0" endcap="round"/>
      <v:textbox style="mso-column-count:0;mso-column-margin:0" inset="0,0,0,0"/>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locked/>
    <w:rsid w:val="00532D9A"/>
    <w:pPr>
      <w:keepNext/>
      <w:spacing w:before="240" w:after="60"/>
      <w:outlineLvl w:val="0"/>
    </w:pPr>
    <w:rPr>
      <w:rFonts w:ascii="Calibri Light" w:hAnsi="Calibri Light"/>
      <w:b/>
      <w:bCs/>
      <w:kern w:val="32"/>
      <w:sz w:val="32"/>
      <w:szCs w:val="32"/>
    </w:rPr>
  </w:style>
  <w:style w:type="character" w:default="1" w:styleId="DefaultParagraphFont">
    <w:name w:val="Default Paragraph Font"/>
    <w:autoRedefine/>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1">
    <w:name w:val="Body 1"/>
    <w:autoRedefine/>
    <w:pPr>
      <w:outlineLvl w:val="0"/>
    </w:pPr>
    <w:rPr>
      <w:rFonts w:eastAsia="Arial Unicode MS"/>
      <w:color w:val="000000"/>
      <w:sz w:val="24"/>
      <w:u w:color="000000"/>
      <w:lang w:val="en-US" w:eastAsia="en-US"/>
    </w:rPr>
  </w:style>
  <w:style w:type="paragraph" w:customStyle="1" w:styleId="ImportWordListStyleDefinition0">
    <w:name w:val="Import Word List Style Definition 0"/>
    <w:pPr>
      <w:numPr>
        <w:numId w:val="1"/>
      </w:numPr>
    </w:pPr>
    <w:rPr>
      <w:lang w:val="en-US" w:eastAsia="en-US"/>
    </w:rPr>
  </w:style>
  <w:style w:type="paragraph" w:customStyle="1" w:styleId="ImportWordListStyleDefinition1">
    <w:name w:val="Import Word List Style Definition 1"/>
    <w:pPr>
      <w:numPr>
        <w:numId w:val="3"/>
      </w:numPr>
    </w:pPr>
    <w:rPr>
      <w:lang w:val="en-US" w:eastAsia="en-US"/>
    </w:rPr>
  </w:style>
  <w:style w:type="paragraph" w:styleId="Header">
    <w:name w:val="header"/>
    <w:basedOn w:val="Normal"/>
    <w:link w:val="HeaderChar"/>
    <w:locked/>
    <w:rsid w:val="00C56405"/>
    <w:pPr>
      <w:tabs>
        <w:tab w:val="center" w:pos="4513"/>
        <w:tab w:val="right" w:pos="9026"/>
      </w:tabs>
    </w:pPr>
  </w:style>
  <w:style w:type="character" w:customStyle="1" w:styleId="HeaderChar">
    <w:name w:val="Header Char"/>
    <w:link w:val="Header"/>
    <w:rsid w:val="00C56405"/>
    <w:rPr>
      <w:sz w:val="24"/>
      <w:szCs w:val="24"/>
      <w:lang w:val="en-US" w:eastAsia="en-US"/>
    </w:rPr>
  </w:style>
  <w:style w:type="paragraph" w:styleId="Footer">
    <w:name w:val="footer"/>
    <w:basedOn w:val="Normal"/>
    <w:link w:val="FooterChar"/>
    <w:locked/>
    <w:rsid w:val="00C56405"/>
    <w:pPr>
      <w:tabs>
        <w:tab w:val="center" w:pos="4513"/>
        <w:tab w:val="right" w:pos="9026"/>
      </w:tabs>
    </w:pPr>
  </w:style>
  <w:style w:type="character" w:customStyle="1" w:styleId="FooterChar">
    <w:name w:val="Footer Char"/>
    <w:link w:val="Footer"/>
    <w:rsid w:val="00C56405"/>
    <w:rPr>
      <w:sz w:val="24"/>
      <w:szCs w:val="24"/>
      <w:lang w:val="en-US" w:eastAsia="en-US"/>
    </w:rPr>
  </w:style>
  <w:style w:type="paragraph" w:styleId="BalloonText">
    <w:name w:val="Balloon Text"/>
    <w:basedOn w:val="Normal"/>
    <w:link w:val="BalloonTextChar"/>
    <w:locked/>
    <w:rsid w:val="00663754"/>
    <w:rPr>
      <w:rFonts w:ascii="Tahoma" w:hAnsi="Tahoma"/>
      <w:sz w:val="16"/>
      <w:szCs w:val="16"/>
    </w:rPr>
  </w:style>
  <w:style w:type="character" w:customStyle="1" w:styleId="BalloonTextChar">
    <w:name w:val="Balloon Text Char"/>
    <w:link w:val="BalloonText"/>
    <w:rsid w:val="00663754"/>
    <w:rPr>
      <w:rFonts w:ascii="Tahoma" w:hAnsi="Tahoma" w:cs="Tahoma"/>
      <w:sz w:val="16"/>
      <w:szCs w:val="16"/>
      <w:lang w:val="en-US" w:eastAsia="en-US"/>
    </w:rPr>
  </w:style>
  <w:style w:type="character" w:customStyle="1" w:styleId="Heading1Char">
    <w:name w:val="Heading 1 Char"/>
    <w:link w:val="Heading1"/>
    <w:rsid w:val="00532D9A"/>
    <w:rPr>
      <w:rFonts w:ascii="Calibri Light" w:eastAsia="Times New Roman" w:hAnsi="Calibri Light" w:cs="Times New Roman"/>
      <w:b/>
      <w:bCs/>
      <w:kern w:val="32"/>
      <w:sz w:val="32"/>
      <w:szCs w:val="32"/>
      <w:lang w:val="en-US" w:eastAsia="en-US"/>
    </w:rPr>
  </w:style>
  <w:style w:type="character" w:styleId="Strong">
    <w:name w:val="Strong"/>
    <w:qFormat/>
    <w:locked/>
    <w:rsid w:val="00532D9A"/>
    <w:rPr>
      <w:b/>
      <w:bCs/>
    </w:rPr>
  </w:style>
  <w:style w:type="paragraph" w:styleId="Subtitle">
    <w:name w:val="Subtitle"/>
    <w:basedOn w:val="Normal"/>
    <w:next w:val="Normal"/>
    <w:link w:val="SubtitleChar"/>
    <w:qFormat/>
    <w:locked/>
    <w:rsid w:val="00532D9A"/>
    <w:pPr>
      <w:spacing w:after="60"/>
      <w:jc w:val="center"/>
      <w:outlineLvl w:val="1"/>
    </w:pPr>
    <w:rPr>
      <w:rFonts w:ascii="Calibri Light" w:hAnsi="Calibri Light"/>
    </w:rPr>
  </w:style>
  <w:style w:type="character" w:customStyle="1" w:styleId="SubtitleChar">
    <w:name w:val="Subtitle Char"/>
    <w:link w:val="Subtitle"/>
    <w:rsid w:val="00532D9A"/>
    <w:rPr>
      <w:rFonts w:ascii="Calibri Light" w:eastAsia="Times New Roman" w:hAnsi="Calibri Light" w:cs="Times New Roman"/>
      <w:sz w:val="24"/>
      <w:szCs w:val="24"/>
      <w:lang w:val="en-US" w:eastAsia="en-US"/>
    </w:rPr>
  </w:style>
  <w:style w:type="paragraph" w:styleId="Title">
    <w:name w:val="Title"/>
    <w:basedOn w:val="Normal"/>
    <w:next w:val="Normal"/>
    <w:link w:val="TitleChar"/>
    <w:qFormat/>
    <w:locked/>
    <w:rsid w:val="00532D9A"/>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532D9A"/>
    <w:rPr>
      <w:rFonts w:ascii="Calibri Light" w:eastAsia="Times New Roman" w:hAnsi="Calibri Light" w:cs="Times New Roman"/>
      <w:b/>
      <w:bCs/>
      <w:kern w:val="28"/>
      <w:sz w:val="32"/>
      <w:szCs w:val="32"/>
      <w:lang w:val="en-US" w:eastAsia="en-US"/>
    </w:rPr>
  </w:style>
  <w:style w:type="paragraph" w:styleId="NoSpacing">
    <w:name w:val="No Spacing"/>
    <w:uiPriority w:val="1"/>
    <w:qFormat/>
    <w:rsid w:val="00532D9A"/>
    <w:rPr>
      <w:sz w:val="24"/>
      <w:szCs w:val="24"/>
      <w:lang w:val="en-US" w:eastAsia="en-US"/>
    </w:rPr>
  </w:style>
  <w:style w:type="character" w:styleId="SubtleEmphasis">
    <w:name w:val="Subtle Emphasis"/>
    <w:uiPriority w:val="19"/>
    <w:qFormat/>
    <w:rsid w:val="00532D9A"/>
    <w:rPr>
      <w:i/>
      <w:iCs/>
      <w:color w:val="404040"/>
    </w:rPr>
  </w:style>
  <w:style w:type="character" w:customStyle="1" w:styleId="ListParagraphChar">
    <w:name w:val="List Paragraph Char"/>
    <w:link w:val="ListParagraph"/>
    <w:uiPriority w:val="34"/>
    <w:locked/>
    <w:rsid w:val="00E611FD"/>
  </w:style>
  <w:style w:type="paragraph" w:styleId="ListParagraph">
    <w:name w:val="List Paragraph"/>
    <w:basedOn w:val="Normal"/>
    <w:link w:val="ListParagraphChar"/>
    <w:uiPriority w:val="34"/>
    <w:qFormat/>
    <w:rsid w:val="00E611FD"/>
    <w:pPr>
      <w:spacing w:after="160" w:line="256" w:lineRule="auto"/>
      <w:ind w:left="720"/>
      <w:contextualSpacing/>
    </w:pPr>
    <w:rPr>
      <w:sz w:val="20"/>
      <w:szCs w:val="20"/>
      <w:lang w:val="en-ZA" w:eastAsia="en-ZA"/>
    </w:rPr>
  </w:style>
  <w:style w:type="table" w:styleId="TableGrid">
    <w:name w:val="Table Grid"/>
    <w:basedOn w:val="TableNormal"/>
    <w:uiPriority w:val="39"/>
    <w:locked/>
    <w:rsid w:val="00E611FD"/>
    <w:rPr>
      <w:rFonts w:ascii="Calibri" w:eastAsia="Calibri" w:hAnsi="Calibri" w:cs="Arial"/>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locked/>
    <w:rsid w:val="00AF023B"/>
    <w:rPr>
      <w:rFonts w:ascii="Courier New" w:hAnsi="Courier New" w:cs="Courier New"/>
      <w:sz w:val="20"/>
      <w:szCs w:val="20"/>
    </w:rPr>
  </w:style>
  <w:style w:type="character" w:customStyle="1" w:styleId="PlainTextChar">
    <w:name w:val="Plain Text Char"/>
    <w:link w:val="PlainText"/>
    <w:rsid w:val="00AF023B"/>
    <w:rPr>
      <w:rFonts w:ascii="Courier New" w:hAnsi="Courier New" w:cs="Courier New"/>
      <w:lang w:val="en-US" w:eastAsia="en-US"/>
    </w:rPr>
  </w:style>
</w:styles>
</file>

<file path=word/webSettings.xml><?xml version="1.0" encoding="utf-8"?>
<w:webSettings xmlns:r="http://schemas.openxmlformats.org/officeDocument/2006/relationships" xmlns:w="http://schemas.openxmlformats.org/wordprocessingml/2006/main">
  <w:divs>
    <w:div w:id="438455751">
      <w:bodyDiv w:val="1"/>
      <w:marLeft w:val="0"/>
      <w:marRight w:val="0"/>
      <w:marTop w:val="0"/>
      <w:marBottom w:val="0"/>
      <w:divBdr>
        <w:top w:val="none" w:sz="0" w:space="0" w:color="auto"/>
        <w:left w:val="none" w:sz="0" w:space="0" w:color="auto"/>
        <w:bottom w:val="none" w:sz="0" w:space="0" w:color="auto"/>
        <w:right w:val="none" w:sz="0" w:space="0" w:color="auto"/>
      </w:divBdr>
      <w:divsChild>
        <w:div w:id="1357659227">
          <w:marLeft w:val="851"/>
          <w:marRight w:val="0"/>
          <w:marTop w:val="100"/>
          <w:marBottom w:val="100"/>
          <w:divBdr>
            <w:top w:val="none" w:sz="0" w:space="0" w:color="auto"/>
            <w:left w:val="none" w:sz="0" w:space="0" w:color="auto"/>
            <w:bottom w:val="none" w:sz="0" w:space="0" w:color="auto"/>
            <w:right w:val="none" w:sz="0" w:space="0" w:color="auto"/>
          </w:divBdr>
          <w:divsChild>
            <w:div w:id="1174879762">
              <w:marLeft w:val="0"/>
              <w:marRight w:val="0"/>
              <w:marTop w:val="0"/>
              <w:marBottom w:val="0"/>
              <w:divBdr>
                <w:top w:val="none" w:sz="0" w:space="0" w:color="auto"/>
                <w:left w:val="none" w:sz="0" w:space="0" w:color="auto"/>
                <w:bottom w:val="none" w:sz="0" w:space="0" w:color="auto"/>
                <w:right w:val="none" w:sz="0" w:space="0" w:color="auto"/>
              </w:divBdr>
            </w:div>
          </w:divsChild>
        </w:div>
        <w:div w:id="2090155660">
          <w:marLeft w:val="851"/>
          <w:marRight w:val="0"/>
          <w:marTop w:val="100"/>
          <w:marBottom w:val="100"/>
          <w:divBdr>
            <w:top w:val="none" w:sz="0" w:space="0" w:color="auto"/>
            <w:left w:val="none" w:sz="0" w:space="0" w:color="auto"/>
            <w:bottom w:val="none" w:sz="0" w:space="0" w:color="auto"/>
            <w:right w:val="none" w:sz="0" w:space="0" w:color="auto"/>
          </w:divBdr>
        </w:div>
      </w:divsChild>
    </w:div>
  </w:divs>
  <w:pixelsPerInch w:val="72"/>
  <w:targetScreenSz w:val="544x376"/>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267</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EDD</Company>
  <LinksUpToDate>false</LinksUpToDate>
  <CharactersWithSpaces>1786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dc:creator>
  <cp:lastModifiedBy>PUMZA</cp:lastModifiedBy>
  <cp:revision>2</cp:revision>
  <cp:lastPrinted>2017-07-07T10:28:00Z</cp:lastPrinted>
  <dcterms:created xsi:type="dcterms:W3CDTF">2017-08-30T08:52:00Z</dcterms:created>
  <dcterms:modified xsi:type="dcterms:W3CDTF">2017-08-30T08:52:00Z</dcterms:modified>
</cp:coreProperties>
</file>