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E6" w:rsidRDefault="00B479E6" w:rsidP="00DB2624">
      <w:pPr>
        <w:rPr>
          <w:lang w:val="en-ZA"/>
        </w:rPr>
      </w:pPr>
      <w:bookmarkStart w:id="0" w:name="_GoBack"/>
      <w:bookmarkEnd w:id="0"/>
    </w:p>
    <w:p w:rsidR="00063424" w:rsidRDefault="000021A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106170" cy="739140"/>
            <wp:effectExtent l="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6170" cy="739140"/>
                    </a:xfrm>
                    <a:prstGeom prst="rect">
                      <a:avLst/>
                    </a:prstGeom>
                    <a:noFill/>
                  </pic:spPr>
                </pic:pic>
              </a:graphicData>
            </a:graphic>
          </wp:anchor>
        </w:drawing>
      </w:r>
    </w:p>
    <w:p w:rsidR="00B479E6" w:rsidRDefault="00B479E6"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DF4981" w:rsidRPr="00DF4981" w:rsidRDefault="00DF4981" w:rsidP="00E26FBE">
      <w:pPr>
        <w:jc w:val="center"/>
        <w:rPr>
          <w:rFonts w:ascii="Arial" w:hAnsi="Arial" w:cs="Arial"/>
          <w:b/>
          <w:sz w:val="22"/>
          <w:szCs w:val="22"/>
        </w:rPr>
      </w:pPr>
      <w:r w:rsidRPr="00DF4981">
        <w:rPr>
          <w:rFonts w:ascii="Arial" w:hAnsi="Arial" w:cs="Arial"/>
          <w:b/>
          <w:sz w:val="22"/>
          <w:szCs w:val="22"/>
        </w:rPr>
        <w:t>QUESTION FOR WRITTEN REPLY</w:t>
      </w:r>
    </w:p>
    <w:p w:rsidR="007252FF" w:rsidRDefault="00DF4981" w:rsidP="00E26FBE">
      <w:pPr>
        <w:jc w:val="center"/>
        <w:rPr>
          <w:rFonts w:ascii="Arial" w:hAnsi="Arial" w:cs="Arial"/>
          <w:b/>
          <w:sz w:val="22"/>
          <w:szCs w:val="22"/>
        </w:rPr>
      </w:pPr>
      <w:r w:rsidRPr="00DF4981">
        <w:rPr>
          <w:rFonts w:ascii="Arial" w:hAnsi="Arial" w:cs="Arial"/>
          <w:b/>
          <w:sz w:val="22"/>
          <w:szCs w:val="22"/>
        </w:rPr>
        <w:t>QUESTION NO.:</w:t>
      </w:r>
      <w:r w:rsidRPr="00DF4981">
        <w:rPr>
          <w:rFonts w:ascii="Arial" w:hAnsi="Arial" w:cs="Arial"/>
          <w:b/>
          <w:sz w:val="22"/>
          <w:szCs w:val="22"/>
        </w:rPr>
        <w:tab/>
        <w:t xml:space="preserve">PQ </w:t>
      </w:r>
      <w:r w:rsidR="00BF6DE0">
        <w:rPr>
          <w:rFonts w:ascii="Arial" w:hAnsi="Arial" w:cs="Arial"/>
          <w:b/>
          <w:sz w:val="22"/>
          <w:szCs w:val="22"/>
        </w:rPr>
        <w:t>22</w:t>
      </w:r>
      <w:r w:rsidR="00FD4921">
        <w:rPr>
          <w:rFonts w:ascii="Arial" w:hAnsi="Arial" w:cs="Arial"/>
          <w:b/>
          <w:sz w:val="22"/>
          <w:szCs w:val="22"/>
        </w:rPr>
        <w:t>78</w:t>
      </w:r>
    </w:p>
    <w:p w:rsidR="00FD4921" w:rsidRDefault="00FD4921" w:rsidP="006C7F97">
      <w:pPr>
        <w:jc w:val="both"/>
        <w:rPr>
          <w:rFonts w:ascii="Arial" w:hAnsi="Arial" w:cs="Arial"/>
          <w:b/>
          <w:sz w:val="22"/>
          <w:szCs w:val="22"/>
        </w:rPr>
      </w:pPr>
    </w:p>
    <w:p w:rsidR="00363C20" w:rsidRPr="00E26FBE" w:rsidRDefault="00D33334" w:rsidP="006C7F97">
      <w:pPr>
        <w:jc w:val="both"/>
        <w:rPr>
          <w:rFonts w:ascii="Arial" w:hAnsi="Arial" w:cs="Arial"/>
          <w:b/>
          <w:sz w:val="22"/>
          <w:szCs w:val="22"/>
          <w:u w:val="single"/>
        </w:rPr>
      </w:pPr>
      <w:r w:rsidRPr="00E26FBE">
        <w:rPr>
          <w:rFonts w:ascii="Arial" w:hAnsi="Arial" w:cs="Arial"/>
          <w:b/>
          <w:sz w:val="22"/>
          <w:szCs w:val="22"/>
          <w:u w:val="single"/>
        </w:rPr>
        <w:t>QUESTION:</w:t>
      </w:r>
    </w:p>
    <w:p w:rsidR="00FD4921" w:rsidRPr="00FD4921" w:rsidRDefault="00FD4921" w:rsidP="00FD4921">
      <w:pPr>
        <w:autoSpaceDE w:val="0"/>
        <w:autoSpaceDN w:val="0"/>
        <w:adjustRightInd w:val="0"/>
        <w:spacing w:line="276" w:lineRule="auto"/>
        <w:jc w:val="center"/>
        <w:rPr>
          <w:rFonts w:ascii="Tahoma" w:hAnsi="Tahoma" w:cs="Tahoma"/>
          <w:sz w:val="22"/>
          <w:szCs w:val="22"/>
        </w:rPr>
      </w:pPr>
    </w:p>
    <w:p w:rsidR="00FD4921" w:rsidRPr="00D33334" w:rsidRDefault="00FD4921" w:rsidP="00FD4921">
      <w:pPr>
        <w:autoSpaceDE w:val="0"/>
        <w:autoSpaceDN w:val="0"/>
        <w:adjustRightInd w:val="0"/>
        <w:spacing w:line="276" w:lineRule="auto"/>
        <w:jc w:val="both"/>
        <w:rPr>
          <w:rFonts w:ascii="Tahoma" w:hAnsi="Tahoma" w:cs="Tahoma"/>
          <w:b/>
          <w:bCs/>
          <w:sz w:val="22"/>
          <w:szCs w:val="22"/>
        </w:rPr>
      </w:pPr>
      <w:r w:rsidRPr="00D33334">
        <w:rPr>
          <w:rFonts w:ascii="Tahoma" w:hAnsi="Tahoma" w:cs="Tahoma"/>
          <w:b/>
          <w:bCs/>
          <w:sz w:val="22"/>
          <w:szCs w:val="22"/>
        </w:rPr>
        <w:t xml:space="preserve">Mr E J Marais (DA) to ask the Minister of Public Enterprises: </w:t>
      </w:r>
    </w:p>
    <w:p w:rsidR="00FD4921" w:rsidRPr="00FD4921" w:rsidRDefault="00FD4921" w:rsidP="00FD4921">
      <w:pPr>
        <w:autoSpaceDE w:val="0"/>
        <w:autoSpaceDN w:val="0"/>
        <w:adjustRightInd w:val="0"/>
        <w:spacing w:line="276" w:lineRule="auto"/>
        <w:jc w:val="both"/>
        <w:rPr>
          <w:rFonts w:ascii="Tahoma" w:hAnsi="Tahoma" w:cs="Tahoma"/>
          <w:sz w:val="22"/>
          <w:szCs w:val="22"/>
        </w:rPr>
      </w:pPr>
    </w:p>
    <w:p w:rsidR="00FD4921" w:rsidRPr="00FD4921" w:rsidRDefault="00FD4921" w:rsidP="00FD4921">
      <w:pPr>
        <w:autoSpaceDE w:val="0"/>
        <w:autoSpaceDN w:val="0"/>
        <w:adjustRightInd w:val="0"/>
        <w:spacing w:line="276" w:lineRule="auto"/>
        <w:jc w:val="both"/>
        <w:rPr>
          <w:rFonts w:ascii="Tahoma" w:hAnsi="Tahoma" w:cs="Tahoma"/>
          <w:sz w:val="22"/>
          <w:szCs w:val="22"/>
        </w:rPr>
      </w:pPr>
      <w:r w:rsidRPr="00FD4921">
        <w:rPr>
          <w:rFonts w:ascii="Tahoma" w:hAnsi="Tahoma" w:cs="Tahoma"/>
          <w:sz w:val="22"/>
          <w:szCs w:val="22"/>
        </w:rPr>
        <w:t>What are the details of the (a) medium- and (b) long-term plans of Transnet for the (i) development of additional infrastructure and (ii) maintenance of current infrastructure at the Saldanha Bay harbour? NW2695E</w:t>
      </w:r>
    </w:p>
    <w:p w:rsidR="00FD4921" w:rsidRPr="00FD4921" w:rsidRDefault="00FD4921" w:rsidP="00FD4921">
      <w:pPr>
        <w:autoSpaceDE w:val="0"/>
        <w:autoSpaceDN w:val="0"/>
        <w:adjustRightInd w:val="0"/>
        <w:spacing w:line="276" w:lineRule="auto"/>
        <w:jc w:val="both"/>
        <w:rPr>
          <w:rFonts w:ascii="Tahoma" w:hAnsi="Tahoma" w:cs="Tahoma"/>
          <w:sz w:val="22"/>
          <w:szCs w:val="22"/>
        </w:rPr>
      </w:pPr>
    </w:p>
    <w:p w:rsidR="00FD4921" w:rsidRPr="00E26FBE" w:rsidRDefault="00D33334" w:rsidP="00FD4921">
      <w:pPr>
        <w:autoSpaceDE w:val="0"/>
        <w:autoSpaceDN w:val="0"/>
        <w:adjustRightInd w:val="0"/>
        <w:spacing w:line="276" w:lineRule="auto"/>
        <w:jc w:val="both"/>
        <w:rPr>
          <w:rFonts w:ascii="Tahoma" w:hAnsi="Tahoma" w:cs="Tahoma"/>
          <w:b/>
          <w:bCs/>
          <w:color w:val="000000"/>
          <w:sz w:val="22"/>
          <w:szCs w:val="22"/>
          <w:u w:val="single"/>
        </w:rPr>
      </w:pPr>
      <w:r w:rsidRPr="00E26FBE">
        <w:rPr>
          <w:rFonts w:ascii="Tahoma" w:hAnsi="Tahoma" w:cs="Tahoma"/>
          <w:b/>
          <w:bCs/>
          <w:color w:val="000000"/>
          <w:sz w:val="22"/>
          <w:szCs w:val="22"/>
          <w:u w:val="single"/>
        </w:rPr>
        <w:t xml:space="preserve">REPLY: </w:t>
      </w:r>
    </w:p>
    <w:p w:rsidR="00D33334" w:rsidRDefault="00D33334" w:rsidP="00FD4921">
      <w:pPr>
        <w:autoSpaceDE w:val="0"/>
        <w:autoSpaceDN w:val="0"/>
        <w:adjustRightInd w:val="0"/>
        <w:spacing w:line="276" w:lineRule="auto"/>
        <w:jc w:val="both"/>
        <w:rPr>
          <w:rFonts w:ascii="Tahoma" w:hAnsi="Tahoma" w:cs="Tahoma"/>
          <w:b/>
          <w:bCs/>
          <w:color w:val="000000"/>
          <w:sz w:val="22"/>
          <w:szCs w:val="22"/>
        </w:rPr>
      </w:pPr>
    </w:p>
    <w:p w:rsidR="00D33334" w:rsidRPr="00FD4921" w:rsidRDefault="00D33334" w:rsidP="000C45E5">
      <w:pPr>
        <w:autoSpaceDE w:val="0"/>
        <w:autoSpaceDN w:val="0"/>
        <w:adjustRightInd w:val="0"/>
        <w:spacing w:line="276" w:lineRule="auto"/>
        <w:jc w:val="both"/>
        <w:rPr>
          <w:rFonts w:ascii="Tahoma" w:hAnsi="Tahoma" w:cs="Tahoma"/>
          <w:b/>
          <w:bCs/>
          <w:color w:val="000000"/>
          <w:sz w:val="22"/>
          <w:szCs w:val="22"/>
        </w:rPr>
      </w:pPr>
      <w:r>
        <w:rPr>
          <w:rFonts w:ascii="Tahoma" w:hAnsi="Tahoma" w:cs="Tahoma"/>
          <w:b/>
          <w:bCs/>
          <w:color w:val="000000"/>
          <w:sz w:val="22"/>
          <w:szCs w:val="22"/>
        </w:rPr>
        <w:t>According to the information received from T</w:t>
      </w:r>
      <w:r w:rsidR="000C45E5">
        <w:rPr>
          <w:rFonts w:ascii="Tahoma" w:hAnsi="Tahoma" w:cs="Tahoma"/>
          <w:b/>
          <w:bCs/>
          <w:color w:val="000000"/>
          <w:sz w:val="22"/>
          <w:szCs w:val="22"/>
        </w:rPr>
        <w:t xml:space="preserve">ransnet </w:t>
      </w:r>
    </w:p>
    <w:p w:rsidR="00FD4921" w:rsidRPr="00FD4921" w:rsidRDefault="00FD4921" w:rsidP="000C45E5">
      <w:pPr>
        <w:jc w:val="both"/>
        <w:rPr>
          <w:rFonts w:ascii="Tahoma" w:hAnsi="Tahoma" w:cs="Tahoma"/>
          <w:sz w:val="22"/>
          <w:szCs w:val="22"/>
          <w:lang w:val="en-GB" w:eastAsia="en-GB"/>
        </w:rPr>
      </w:pPr>
    </w:p>
    <w:p w:rsidR="00FD4921" w:rsidRPr="00FD4921" w:rsidRDefault="00FD4921" w:rsidP="000C45E5">
      <w:pPr>
        <w:numPr>
          <w:ilvl w:val="0"/>
          <w:numId w:val="21"/>
        </w:numPr>
        <w:autoSpaceDE w:val="0"/>
        <w:autoSpaceDN w:val="0"/>
        <w:adjustRightInd w:val="0"/>
        <w:jc w:val="both"/>
        <w:rPr>
          <w:rFonts w:ascii="Tahoma" w:hAnsi="Tahoma" w:cs="Tahoma"/>
          <w:b/>
          <w:sz w:val="22"/>
          <w:szCs w:val="22"/>
        </w:rPr>
      </w:pPr>
      <w:r w:rsidRPr="00FD4921">
        <w:rPr>
          <w:rFonts w:ascii="Tahoma" w:hAnsi="Tahoma" w:cs="Tahoma"/>
          <w:b/>
          <w:sz w:val="22"/>
          <w:szCs w:val="22"/>
        </w:rPr>
        <w:t>Medium Term Plans</w:t>
      </w:r>
    </w:p>
    <w:p w:rsidR="00FD4921" w:rsidRPr="00FD4921" w:rsidRDefault="00FD4921" w:rsidP="000C45E5">
      <w:pPr>
        <w:autoSpaceDE w:val="0"/>
        <w:autoSpaceDN w:val="0"/>
        <w:adjustRightInd w:val="0"/>
        <w:jc w:val="both"/>
        <w:rPr>
          <w:rFonts w:ascii="Tahoma" w:hAnsi="Tahoma" w:cs="Tahoma"/>
          <w:sz w:val="22"/>
          <w:szCs w:val="22"/>
        </w:rPr>
      </w:pPr>
    </w:p>
    <w:p w:rsidR="00FD4921" w:rsidRPr="00FD4921" w:rsidRDefault="00FD4921" w:rsidP="000C45E5">
      <w:pPr>
        <w:autoSpaceDE w:val="0"/>
        <w:autoSpaceDN w:val="0"/>
        <w:adjustRightInd w:val="0"/>
        <w:jc w:val="both"/>
        <w:rPr>
          <w:rFonts w:ascii="Tahoma" w:hAnsi="Tahoma" w:cs="Tahoma"/>
          <w:sz w:val="22"/>
          <w:szCs w:val="22"/>
        </w:rPr>
      </w:pPr>
      <w:r w:rsidRPr="00FD4921">
        <w:rPr>
          <w:rFonts w:ascii="Tahoma" w:hAnsi="Tahoma" w:cs="Tahoma"/>
          <w:sz w:val="22"/>
          <w:szCs w:val="22"/>
        </w:rPr>
        <w:t xml:space="preserve">The following infrastructure development projects are intended to materialize in the short- to medium-term and is illustrated </w:t>
      </w:r>
      <w:r w:rsidR="00CF6188">
        <w:rPr>
          <w:rFonts w:ascii="Tahoma" w:hAnsi="Tahoma" w:cs="Tahoma"/>
          <w:sz w:val="22"/>
          <w:szCs w:val="22"/>
        </w:rPr>
        <w:t>below</w:t>
      </w:r>
      <w:r w:rsidRPr="00FD4921">
        <w:rPr>
          <w:rFonts w:ascii="Tahoma" w:hAnsi="Tahoma" w:cs="Tahoma"/>
          <w:sz w:val="22"/>
          <w:szCs w:val="22"/>
        </w:rPr>
        <w:t>:</w:t>
      </w:r>
    </w:p>
    <w:p w:rsidR="00FD4921" w:rsidRPr="00FD4921" w:rsidRDefault="00FD4921" w:rsidP="000C45E5">
      <w:pPr>
        <w:autoSpaceDE w:val="0"/>
        <w:autoSpaceDN w:val="0"/>
        <w:adjustRightInd w:val="0"/>
        <w:jc w:val="both"/>
        <w:rPr>
          <w:rFonts w:ascii="Tahoma" w:hAnsi="Tahoma" w:cs="Tahoma"/>
          <w:sz w:val="22"/>
          <w:szCs w:val="22"/>
        </w:rPr>
      </w:pPr>
    </w:p>
    <w:p w:rsidR="00FD4921" w:rsidRPr="00FD4921" w:rsidRDefault="00FD4921" w:rsidP="000C45E5">
      <w:pPr>
        <w:autoSpaceDE w:val="0"/>
        <w:autoSpaceDN w:val="0"/>
        <w:adjustRightInd w:val="0"/>
        <w:spacing w:after="258"/>
        <w:jc w:val="both"/>
        <w:rPr>
          <w:rFonts w:ascii="Tahoma" w:hAnsi="Tahoma" w:cs="Tahoma"/>
          <w:sz w:val="22"/>
          <w:szCs w:val="22"/>
        </w:rPr>
      </w:pPr>
      <w:r w:rsidRPr="00FD4921">
        <w:rPr>
          <w:rFonts w:ascii="Tahoma" w:hAnsi="Tahoma" w:cs="Tahoma"/>
          <w:sz w:val="22"/>
          <w:szCs w:val="22"/>
        </w:rPr>
        <w:t xml:space="preserve">a) Land reclamation next to the current iron ore stockyard for the increase of the iron ore stockpile area (short-medium term) as well as additional space for new Liquid Natural Gas (LNG) facilities (medium-long term). </w:t>
      </w:r>
    </w:p>
    <w:p w:rsidR="00FD4921" w:rsidRPr="00FD4921" w:rsidRDefault="00FD4921" w:rsidP="000C45E5">
      <w:pPr>
        <w:autoSpaceDE w:val="0"/>
        <w:autoSpaceDN w:val="0"/>
        <w:adjustRightInd w:val="0"/>
        <w:spacing w:after="258"/>
        <w:jc w:val="both"/>
        <w:rPr>
          <w:rFonts w:ascii="Tahoma" w:hAnsi="Tahoma" w:cs="Tahoma"/>
          <w:sz w:val="22"/>
          <w:szCs w:val="22"/>
        </w:rPr>
      </w:pPr>
      <w:r w:rsidRPr="00FD4921">
        <w:rPr>
          <w:rFonts w:ascii="Tahoma" w:hAnsi="Tahoma" w:cs="Tahoma"/>
          <w:sz w:val="22"/>
          <w:szCs w:val="22"/>
        </w:rPr>
        <w:t>b) LNG Floating Ship Regasification Unit (FSRU) infrastructure connected to the new LNG facilities (extension of land in dunes area and oyster dam reclamation).</w:t>
      </w:r>
    </w:p>
    <w:p w:rsidR="00FD4921" w:rsidRPr="00FD4921" w:rsidRDefault="00FD4921" w:rsidP="000C45E5">
      <w:pPr>
        <w:autoSpaceDE w:val="0"/>
        <w:autoSpaceDN w:val="0"/>
        <w:adjustRightInd w:val="0"/>
        <w:spacing w:after="258"/>
        <w:jc w:val="both"/>
        <w:rPr>
          <w:rFonts w:ascii="Tahoma" w:hAnsi="Tahoma" w:cs="Tahoma"/>
          <w:sz w:val="22"/>
          <w:szCs w:val="22"/>
        </w:rPr>
      </w:pPr>
      <w:r w:rsidRPr="00FD4921">
        <w:rPr>
          <w:rFonts w:ascii="Tahoma" w:hAnsi="Tahoma" w:cs="Tahoma"/>
          <w:sz w:val="22"/>
          <w:szCs w:val="22"/>
        </w:rPr>
        <w:t xml:space="preserve">c) The existing Mossgas Quay converts to maritime engineering berth together with additional maritime engineering berths as provision for dedicated facilities for rig and ship repair. </w:t>
      </w:r>
    </w:p>
    <w:p w:rsidR="00FD4921" w:rsidRPr="00FD4921" w:rsidRDefault="00FD4921" w:rsidP="000C45E5">
      <w:pPr>
        <w:autoSpaceDE w:val="0"/>
        <w:autoSpaceDN w:val="0"/>
        <w:adjustRightInd w:val="0"/>
        <w:spacing w:after="258"/>
        <w:jc w:val="both"/>
        <w:rPr>
          <w:rFonts w:ascii="Tahoma" w:hAnsi="Tahoma" w:cs="Tahoma"/>
          <w:sz w:val="22"/>
          <w:szCs w:val="22"/>
        </w:rPr>
      </w:pPr>
      <w:r w:rsidRPr="00FD4921">
        <w:rPr>
          <w:rFonts w:ascii="Tahoma" w:hAnsi="Tahoma" w:cs="Tahoma"/>
          <w:sz w:val="22"/>
          <w:szCs w:val="22"/>
        </w:rPr>
        <w:t xml:space="preserve">d) One additional maritime engineering berth for ship repairs adjacent (southern side) to the break bulk Multi Purpose Terminal (MPT) berths. </w:t>
      </w:r>
    </w:p>
    <w:p w:rsidR="00FD4921" w:rsidRPr="00FD4921" w:rsidRDefault="00FD4921" w:rsidP="000C45E5">
      <w:pPr>
        <w:autoSpaceDE w:val="0"/>
        <w:autoSpaceDN w:val="0"/>
        <w:adjustRightInd w:val="0"/>
        <w:spacing w:after="258"/>
        <w:jc w:val="both"/>
        <w:rPr>
          <w:rFonts w:ascii="Tahoma" w:hAnsi="Tahoma" w:cs="Tahoma"/>
          <w:sz w:val="22"/>
          <w:szCs w:val="22"/>
        </w:rPr>
      </w:pPr>
      <w:r w:rsidRPr="00FD4921">
        <w:rPr>
          <w:rFonts w:ascii="Tahoma" w:hAnsi="Tahoma" w:cs="Tahoma"/>
          <w:sz w:val="22"/>
          <w:szCs w:val="22"/>
        </w:rPr>
        <w:t xml:space="preserve">e) One additional dry bulk berth adjacent (south) of the new ship/rig repair berth. </w:t>
      </w:r>
    </w:p>
    <w:p w:rsidR="00FD4921" w:rsidRPr="00FD4921" w:rsidRDefault="00FD4921" w:rsidP="000C45E5">
      <w:pPr>
        <w:autoSpaceDE w:val="0"/>
        <w:autoSpaceDN w:val="0"/>
        <w:adjustRightInd w:val="0"/>
        <w:jc w:val="both"/>
        <w:rPr>
          <w:rFonts w:ascii="Tahoma" w:hAnsi="Tahoma" w:cs="Tahoma"/>
          <w:sz w:val="22"/>
          <w:szCs w:val="22"/>
        </w:rPr>
      </w:pPr>
      <w:r w:rsidRPr="00FD4921">
        <w:rPr>
          <w:rFonts w:ascii="Tahoma" w:hAnsi="Tahoma" w:cs="Tahoma"/>
          <w:sz w:val="22"/>
          <w:szCs w:val="22"/>
        </w:rPr>
        <w:t xml:space="preserve">f) Break Bulk (MPT) extension towards the north providing one additional Break Bulk (MPT) berth at the Break Bulk terminal. </w:t>
      </w:r>
    </w:p>
    <w:p w:rsidR="00FD4921" w:rsidRPr="00FD4921" w:rsidRDefault="00FD4921" w:rsidP="000C45E5">
      <w:pPr>
        <w:autoSpaceDE w:val="0"/>
        <w:autoSpaceDN w:val="0"/>
        <w:adjustRightInd w:val="0"/>
        <w:jc w:val="both"/>
        <w:rPr>
          <w:rFonts w:ascii="Tahoma" w:hAnsi="Tahoma" w:cs="Tahoma"/>
          <w:sz w:val="22"/>
          <w:szCs w:val="22"/>
        </w:rPr>
      </w:pPr>
    </w:p>
    <w:p w:rsidR="00FD4921" w:rsidRPr="00FD4921" w:rsidRDefault="00FD4921" w:rsidP="000C45E5">
      <w:pPr>
        <w:numPr>
          <w:ilvl w:val="0"/>
          <w:numId w:val="21"/>
        </w:numPr>
        <w:autoSpaceDE w:val="0"/>
        <w:autoSpaceDN w:val="0"/>
        <w:adjustRightInd w:val="0"/>
        <w:jc w:val="both"/>
        <w:rPr>
          <w:rFonts w:ascii="Tahoma" w:hAnsi="Tahoma" w:cs="Tahoma"/>
          <w:b/>
          <w:sz w:val="22"/>
          <w:szCs w:val="22"/>
        </w:rPr>
      </w:pPr>
      <w:r w:rsidRPr="00FD4921">
        <w:rPr>
          <w:rFonts w:ascii="Tahoma" w:hAnsi="Tahoma" w:cs="Tahoma"/>
          <w:b/>
          <w:sz w:val="22"/>
          <w:szCs w:val="22"/>
        </w:rPr>
        <w:lastRenderedPageBreak/>
        <w:t>Long Term Plans</w:t>
      </w:r>
    </w:p>
    <w:p w:rsidR="00FD4921" w:rsidRPr="00FD4921" w:rsidRDefault="00FD4921" w:rsidP="000C45E5">
      <w:pPr>
        <w:autoSpaceDE w:val="0"/>
        <w:autoSpaceDN w:val="0"/>
        <w:adjustRightInd w:val="0"/>
        <w:jc w:val="both"/>
        <w:rPr>
          <w:rFonts w:ascii="Tahoma" w:hAnsi="Tahoma" w:cs="Tahoma"/>
          <w:sz w:val="22"/>
          <w:szCs w:val="22"/>
        </w:rPr>
      </w:pPr>
    </w:p>
    <w:p w:rsidR="00FD4921" w:rsidRPr="00FD4921" w:rsidRDefault="00FD4921" w:rsidP="000C45E5">
      <w:pPr>
        <w:autoSpaceDE w:val="0"/>
        <w:autoSpaceDN w:val="0"/>
        <w:adjustRightInd w:val="0"/>
        <w:jc w:val="both"/>
        <w:rPr>
          <w:rFonts w:ascii="Tahoma" w:hAnsi="Tahoma" w:cs="Tahoma"/>
          <w:sz w:val="22"/>
          <w:szCs w:val="22"/>
        </w:rPr>
      </w:pPr>
      <w:r w:rsidRPr="00FD4921">
        <w:rPr>
          <w:rFonts w:ascii="Tahoma" w:hAnsi="Tahoma" w:cs="Tahoma"/>
          <w:sz w:val="22"/>
          <w:szCs w:val="22"/>
        </w:rPr>
        <w:t>The following infrastructure development projects are intended to materialize in the long-term and is illustrated in Annexure B:</w:t>
      </w:r>
    </w:p>
    <w:p w:rsidR="00FD4921" w:rsidRPr="00FD4921" w:rsidRDefault="00FD4921" w:rsidP="000C45E5">
      <w:pPr>
        <w:autoSpaceDE w:val="0"/>
        <w:autoSpaceDN w:val="0"/>
        <w:adjustRightInd w:val="0"/>
        <w:jc w:val="both"/>
        <w:rPr>
          <w:rFonts w:ascii="Tahoma" w:hAnsi="Tahoma" w:cs="Tahoma"/>
          <w:sz w:val="22"/>
          <w:szCs w:val="22"/>
        </w:rPr>
      </w:pPr>
    </w:p>
    <w:p w:rsidR="00FD4921" w:rsidRPr="00FD4921" w:rsidRDefault="00FD4921" w:rsidP="000C45E5">
      <w:pPr>
        <w:autoSpaceDE w:val="0"/>
        <w:autoSpaceDN w:val="0"/>
        <w:adjustRightInd w:val="0"/>
        <w:spacing w:after="255"/>
        <w:jc w:val="both"/>
        <w:rPr>
          <w:rFonts w:ascii="Tahoma" w:hAnsi="Tahoma" w:cs="Tahoma"/>
          <w:sz w:val="22"/>
          <w:szCs w:val="22"/>
        </w:rPr>
      </w:pPr>
      <w:r w:rsidRPr="00FD4921">
        <w:rPr>
          <w:rFonts w:ascii="Tahoma" w:hAnsi="Tahoma" w:cs="Tahoma"/>
          <w:sz w:val="22"/>
          <w:szCs w:val="22"/>
        </w:rPr>
        <w:t xml:space="preserve">a) New proposed land-based LNG storage area inside the port limits. </w:t>
      </w:r>
    </w:p>
    <w:p w:rsidR="00FD4921" w:rsidRPr="00FD4921" w:rsidRDefault="00FD4921" w:rsidP="000C45E5">
      <w:pPr>
        <w:autoSpaceDE w:val="0"/>
        <w:autoSpaceDN w:val="0"/>
        <w:adjustRightInd w:val="0"/>
        <w:spacing w:after="255"/>
        <w:jc w:val="both"/>
        <w:rPr>
          <w:rFonts w:ascii="Tahoma" w:hAnsi="Tahoma" w:cs="Tahoma"/>
          <w:sz w:val="22"/>
          <w:szCs w:val="22"/>
        </w:rPr>
      </w:pPr>
      <w:r w:rsidRPr="00FD4921">
        <w:rPr>
          <w:rFonts w:ascii="Tahoma" w:hAnsi="Tahoma" w:cs="Tahoma"/>
          <w:sz w:val="22"/>
          <w:szCs w:val="22"/>
        </w:rPr>
        <w:t xml:space="preserve">b) Decommissioning of the LPG Multi Buouy Mooring (MBM) Facility at end of life, and subsequent replacement with fixed LNG and LPG berths (eastern side of the port). </w:t>
      </w:r>
    </w:p>
    <w:p w:rsidR="00FD4921" w:rsidRPr="00FD4921" w:rsidRDefault="00FD4921" w:rsidP="000C45E5">
      <w:pPr>
        <w:autoSpaceDE w:val="0"/>
        <w:autoSpaceDN w:val="0"/>
        <w:adjustRightInd w:val="0"/>
        <w:jc w:val="both"/>
        <w:rPr>
          <w:rFonts w:ascii="Tahoma" w:hAnsi="Tahoma" w:cs="Tahoma"/>
          <w:sz w:val="22"/>
          <w:szCs w:val="22"/>
        </w:rPr>
      </w:pPr>
      <w:r w:rsidRPr="00FD4921">
        <w:rPr>
          <w:rFonts w:ascii="Tahoma" w:hAnsi="Tahoma" w:cs="Tahoma"/>
          <w:sz w:val="22"/>
          <w:szCs w:val="22"/>
        </w:rPr>
        <w:t xml:space="preserve">c) Expansion of the Offshore Supply Base. </w:t>
      </w:r>
    </w:p>
    <w:p w:rsidR="00FD4921" w:rsidRPr="00FD4921" w:rsidRDefault="00FD4921" w:rsidP="000C45E5">
      <w:pPr>
        <w:autoSpaceDE w:val="0"/>
        <w:autoSpaceDN w:val="0"/>
        <w:adjustRightInd w:val="0"/>
        <w:jc w:val="both"/>
        <w:rPr>
          <w:rFonts w:ascii="Tahoma" w:hAnsi="Tahoma" w:cs="Tahoma"/>
          <w:sz w:val="22"/>
          <w:szCs w:val="22"/>
        </w:rPr>
      </w:pPr>
    </w:p>
    <w:p w:rsidR="00FD4921" w:rsidRDefault="00FD4921" w:rsidP="000C45E5">
      <w:pPr>
        <w:autoSpaceDE w:val="0"/>
        <w:autoSpaceDN w:val="0"/>
        <w:adjustRightInd w:val="0"/>
        <w:jc w:val="both"/>
        <w:rPr>
          <w:rFonts w:ascii="Tahoma" w:hAnsi="Tahoma" w:cs="Tahoma"/>
          <w:sz w:val="22"/>
          <w:szCs w:val="22"/>
        </w:rPr>
      </w:pPr>
      <w:r w:rsidRPr="00FD4921">
        <w:rPr>
          <w:rFonts w:ascii="Tahoma" w:hAnsi="Tahoma" w:cs="Tahoma"/>
          <w:sz w:val="22"/>
          <w:szCs w:val="22"/>
        </w:rPr>
        <w:t>An aerial view of the port indicating the specific berths that are referred to above are provided in Annexure C.</w:t>
      </w:r>
    </w:p>
    <w:p w:rsidR="00D33334" w:rsidRDefault="00D33334" w:rsidP="000C45E5">
      <w:pPr>
        <w:autoSpaceDE w:val="0"/>
        <w:autoSpaceDN w:val="0"/>
        <w:adjustRightInd w:val="0"/>
        <w:jc w:val="both"/>
        <w:rPr>
          <w:rFonts w:ascii="Tahoma" w:hAnsi="Tahoma" w:cs="Tahoma"/>
          <w:sz w:val="22"/>
          <w:szCs w:val="22"/>
        </w:rPr>
      </w:pPr>
    </w:p>
    <w:p w:rsidR="00D33334" w:rsidRPr="00FD4921" w:rsidRDefault="00D33334" w:rsidP="000C45E5">
      <w:pPr>
        <w:numPr>
          <w:ilvl w:val="0"/>
          <w:numId w:val="23"/>
        </w:numPr>
        <w:autoSpaceDE w:val="0"/>
        <w:autoSpaceDN w:val="0"/>
        <w:adjustRightInd w:val="0"/>
        <w:jc w:val="both"/>
        <w:rPr>
          <w:rFonts w:ascii="Tahoma" w:hAnsi="Tahoma" w:cs="Tahoma"/>
          <w:b/>
          <w:sz w:val="22"/>
          <w:szCs w:val="22"/>
        </w:rPr>
      </w:pPr>
      <w:r w:rsidRPr="00FD4921">
        <w:rPr>
          <w:rFonts w:ascii="Tahoma" w:hAnsi="Tahoma" w:cs="Tahoma"/>
          <w:b/>
          <w:sz w:val="22"/>
          <w:szCs w:val="22"/>
        </w:rPr>
        <w:t>Development of additional infrastructure for the Port of Saldanha</w:t>
      </w:r>
    </w:p>
    <w:p w:rsidR="00D33334" w:rsidRPr="00FD4921" w:rsidRDefault="00D33334" w:rsidP="000C45E5">
      <w:pPr>
        <w:autoSpaceDE w:val="0"/>
        <w:autoSpaceDN w:val="0"/>
        <w:adjustRightInd w:val="0"/>
        <w:ind w:left="1440"/>
        <w:jc w:val="both"/>
        <w:rPr>
          <w:rFonts w:ascii="Tahoma" w:hAnsi="Tahoma" w:cs="Tahoma"/>
          <w:b/>
          <w:sz w:val="22"/>
          <w:szCs w:val="22"/>
        </w:rPr>
      </w:pPr>
    </w:p>
    <w:p w:rsidR="00D33334" w:rsidRPr="00FD4921" w:rsidRDefault="00D33334" w:rsidP="000C45E5">
      <w:pPr>
        <w:autoSpaceDE w:val="0"/>
        <w:autoSpaceDN w:val="0"/>
        <w:adjustRightInd w:val="0"/>
        <w:ind w:right="276"/>
        <w:jc w:val="both"/>
        <w:rPr>
          <w:rFonts w:ascii="Tahoma" w:hAnsi="Tahoma" w:cs="Tahoma"/>
          <w:b/>
          <w:sz w:val="22"/>
          <w:szCs w:val="22"/>
        </w:rPr>
      </w:pPr>
      <w:r w:rsidRPr="00FD4921">
        <w:rPr>
          <w:rFonts w:ascii="Tahoma" w:hAnsi="Tahoma" w:cs="Tahoma"/>
          <w:b/>
          <w:sz w:val="22"/>
          <w:szCs w:val="22"/>
        </w:rPr>
        <w:t>Background</w:t>
      </w:r>
    </w:p>
    <w:p w:rsidR="00D33334" w:rsidRPr="00FD4921" w:rsidRDefault="00D33334" w:rsidP="000C45E5">
      <w:pPr>
        <w:autoSpaceDE w:val="0"/>
        <w:autoSpaceDN w:val="0"/>
        <w:adjustRightInd w:val="0"/>
        <w:jc w:val="both"/>
        <w:rPr>
          <w:rFonts w:ascii="Tahoma" w:hAnsi="Tahoma" w:cs="Tahoma"/>
          <w:b/>
          <w:sz w:val="22"/>
          <w:szCs w:val="22"/>
        </w:rPr>
      </w:pPr>
    </w:p>
    <w:p w:rsidR="00D33334" w:rsidRPr="00FD4921" w:rsidRDefault="00D33334" w:rsidP="000C45E5">
      <w:pPr>
        <w:autoSpaceDE w:val="0"/>
        <w:autoSpaceDN w:val="0"/>
        <w:adjustRightInd w:val="0"/>
        <w:spacing w:line="276" w:lineRule="auto"/>
        <w:jc w:val="both"/>
        <w:rPr>
          <w:rFonts w:ascii="Tahoma" w:hAnsi="Tahoma" w:cs="Tahoma"/>
          <w:sz w:val="22"/>
          <w:szCs w:val="22"/>
        </w:rPr>
      </w:pPr>
      <w:r w:rsidRPr="00FD4921">
        <w:rPr>
          <w:rFonts w:ascii="Tahoma" w:hAnsi="Tahoma" w:cs="Tahoma"/>
          <w:sz w:val="22"/>
          <w:szCs w:val="22"/>
        </w:rPr>
        <w:t xml:space="preserve">Future port development is planned for and indicated on the Port Development Framework Plans (PDFP). The PDFP aims to provide a flexible spatial guideline within which the port can develop over the next 30 years. It is defined as a spatial framework within which future port services can be provided. </w:t>
      </w:r>
    </w:p>
    <w:p w:rsidR="00D33334" w:rsidRPr="00FD4921" w:rsidRDefault="00D33334" w:rsidP="000C45E5">
      <w:pPr>
        <w:autoSpaceDE w:val="0"/>
        <w:autoSpaceDN w:val="0"/>
        <w:adjustRightInd w:val="0"/>
        <w:spacing w:line="276" w:lineRule="auto"/>
        <w:jc w:val="both"/>
        <w:rPr>
          <w:rFonts w:ascii="Tahoma" w:hAnsi="Tahoma" w:cs="Tahoma"/>
          <w:sz w:val="22"/>
          <w:szCs w:val="22"/>
        </w:rPr>
      </w:pPr>
    </w:p>
    <w:p w:rsidR="00D33334" w:rsidRPr="00FD4921" w:rsidRDefault="00D33334" w:rsidP="000C45E5">
      <w:pPr>
        <w:autoSpaceDE w:val="0"/>
        <w:autoSpaceDN w:val="0"/>
        <w:adjustRightInd w:val="0"/>
        <w:spacing w:line="276" w:lineRule="auto"/>
        <w:jc w:val="both"/>
        <w:rPr>
          <w:rFonts w:ascii="Tahoma" w:hAnsi="Tahoma" w:cs="Tahoma"/>
          <w:sz w:val="22"/>
          <w:szCs w:val="22"/>
        </w:rPr>
      </w:pPr>
      <w:r w:rsidRPr="00FD4921">
        <w:rPr>
          <w:rFonts w:ascii="Tahoma" w:hAnsi="Tahoma" w:cs="Tahoma"/>
          <w:sz w:val="22"/>
          <w:szCs w:val="22"/>
        </w:rPr>
        <w:t>The planning process comprises of the agreement and alignment of planning objectives, the assessment of the current state of port infrastructure and its associated cargo throughput or functional role, analysis of potential and latent capacity and a comprehensive cargo demand forecast. The outcome of this work defines the temporal and spatial demand for future freight handling facilities, leading to the drafting of several port developments options (PDO).  The preferred development is then subjected to further rigorous evaluation in terms of cost benefit analysis, phasing to meet demand, inter-model and other port relationships and opportunity and constraint analyses, leading to the final PDFP.</w:t>
      </w:r>
    </w:p>
    <w:p w:rsidR="00D33334" w:rsidRPr="00FD4921" w:rsidRDefault="00D33334" w:rsidP="000C45E5">
      <w:pPr>
        <w:autoSpaceDE w:val="0"/>
        <w:autoSpaceDN w:val="0"/>
        <w:adjustRightInd w:val="0"/>
        <w:jc w:val="both"/>
        <w:rPr>
          <w:rFonts w:ascii="Tahoma" w:hAnsi="Tahoma" w:cs="Tahoma"/>
          <w:sz w:val="22"/>
          <w:szCs w:val="22"/>
        </w:rPr>
      </w:pPr>
      <w:r w:rsidRPr="00FD4921">
        <w:rPr>
          <w:rFonts w:ascii="Tahoma" w:hAnsi="Tahoma" w:cs="Tahoma"/>
          <w:sz w:val="22"/>
          <w:szCs w:val="22"/>
        </w:rPr>
        <w:t>The following port development framework plans (PDFP’s) are based on the approved 2019 PDFP’s. The 2022 updated PDFPs have been submitted to TNPA head office for approval.</w:t>
      </w:r>
    </w:p>
    <w:p w:rsidR="00D33334" w:rsidRPr="00FD4921" w:rsidRDefault="00D33334" w:rsidP="000C45E5">
      <w:pPr>
        <w:autoSpaceDE w:val="0"/>
        <w:autoSpaceDN w:val="0"/>
        <w:adjustRightInd w:val="0"/>
        <w:jc w:val="both"/>
        <w:rPr>
          <w:rFonts w:ascii="Tahoma" w:hAnsi="Tahoma" w:cs="Tahoma"/>
          <w:sz w:val="22"/>
          <w:szCs w:val="22"/>
        </w:rPr>
      </w:pPr>
    </w:p>
    <w:p w:rsidR="00FD4921" w:rsidRPr="00FD4921" w:rsidRDefault="00FD4921" w:rsidP="000C45E5">
      <w:pPr>
        <w:autoSpaceDE w:val="0"/>
        <w:autoSpaceDN w:val="0"/>
        <w:adjustRightInd w:val="0"/>
        <w:jc w:val="both"/>
        <w:rPr>
          <w:rFonts w:ascii="Tahoma" w:hAnsi="Tahoma" w:cs="Tahoma"/>
          <w:sz w:val="22"/>
          <w:szCs w:val="22"/>
        </w:rPr>
      </w:pPr>
    </w:p>
    <w:p w:rsidR="00FD4921" w:rsidRPr="00FD4921" w:rsidRDefault="00FD4921" w:rsidP="000C45E5">
      <w:pPr>
        <w:numPr>
          <w:ilvl w:val="0"/>
          <w:numId w:val="23"/>
        </w:numPr>
        <w:spacing w:line="276" w:lineRule="auto"/>
        <w:jc w:val="both"/>
        <w:rPr>
          <w:rFonts w:ascii="Tahoma" w:hAnsi="Tahoma" w:cs="Tahoma"/>
          <w:b/>
          <w:sz w:val="22"/>
          <w:szCs w:val="22"/>
        </w:rPr>
      </w:pPr>
      <w:r w:rsidRPr="00FD4921">
        <w:rPr>
          <w:rFonts w:ascii="Tahoma" w:hAnsi="Tahoma" w:cs="Tahoma"/>
          <w:b/>
          <w:sz w:val="22"/>
          <w:szCs w:val="22"/>
        </w:rPr>
        <w:t xml:space="preserve">Maintenance of current infrastructure at the Port of Saldanha </w:t>
      </w:r>
    </w:p>
    <w:p w:rsidR="00FD4921" w:rsidRPr="00FD4921" w:rsidRDefault="00FD4921" w:rsidP="000C45E5">
      <w:pPr>
        <w:spacing w:line="276" w:lineRule="auto"/>
        <w:jc w:val="both"/>
        <w:rPr>
          <w:rFonts w:ascii="Tahoma" w:hAnsi="Tahoma" w:cs="Tahoma"/>
          <w:sz w:val="22"/>
          <w:szCs w:val="22"/>
        </w:rPr>
      </w:pPr>
    </w:p>
    <w:p w:rsidR="00FD4921" w:rsidRPr="00FD4921" w:rsidRDefault="00FD4921" w:rsidP="000C45E5">
      <w:pPr>
        <w:spacing w:line="276" w:lineRule="auto"/>
        <w:jc w:val="both"/>
        <w:rPr>
          <w:rFonts w:ascii="Tahoma" w:hAnsi="Tahoma" w:cs="Tahoma"/>
          <w:b/>
          <w:sz w:val="22"/>
          <w:szCs w:val="22"/>
        </w:rPr>
      </w:pPr>
      <w:r w:rsidRPr="00FD4921">
        <w:rPr>
          <w:rFonts w:ascii="Tahoma" w:hAnsi="Tahoma" w:cs="Tahoma"/>
          <w:b/>
          <w:sz w:val="22"/>
          <w:szCs w:val="22"/>
        </w:rPr>
        <w:t>Background</w:t>
      </w:r>
    </w:p>
    <w:p w:rsidR="00FD4921" w:rsidRPr="00FD4921" w:rsidRDefault="00FD4921" w:rsidP="000C45E5">
      <w:pPr>
        <w:spacing w:line="276" w:lineRule="auto"/>
        <w:jc w:val="both"/>
        <w:rPr>
          <w:rFonts w:ascii="Tahoma" w:hAnsi="Tahoma" w:cs="Tahoma"/>
          <w:sz w:val="22"/>
          <w:szCs w:val="22"/>
        </w:rPr>
      </w:pPr>
    </w:p>
    <w:p w:rsidR="00FD4921" w:rsidRPr="00FD4921" w:rsidRDefault="00FD4921" w:rsidP="000C45E5">
      <w:pPr>
        <w:spacing w:line="276" w:lineRule="auto"/>
        <w:jc w:val="both"/>
        <w:rPr>
          <w:rFonts w:ascii="Tahoma" w:hAnsi="Tahoma" w:cs="Tahoma"/>
          <w:sz w:val="22"/>
          <w:szCs w:val="22"/>
        </w:rPr>
      </w:pPr>
      <w:r w:rsidRPr="00FD4921">
        <w:rPr>
          <w:rFonts w:ascii="Tahoma" w:hAnsi="Tahoma" w:cs="Tahoma"/>
          <w:sz w:val="22"/>
          <w:szCs w:val="22"/>
        </w:rPr>
        <w:t>Maintenance of current infrastructure is performed using the Transnet Asset Maintenance Policies and Procedures. This typically follows annual inspections, and identification of short-term maintenance requirements, and budgeted for on a 3 year rolling cycle, using operational budget (OPEX).</w:t>
      </w:r>
    </w:p>
    <w:p w:rsidR="00FD4921" w:rsidRPr="00FD4921" w:rsidRDefault="00FD4921" w:rsidP="000C45E5">
      <w:pPr>
        <w:spacing w:line="276" w:lineRule="auto"/>
        <w:jc w:val="both"/>
        <w:rPr>
          <w:rFonts w:ascii="Tahoma" w:hAnsi="Tahoma" w:cs="Tahoma"/>
          <w:sz w:val="22"/>
          <w:szCs w:val="22"/>
        </w:rPr>
      </w:pPr>
    </w:p>
    <w:p w:rsidR="00FD4921" w:rsidRPr="00FD4921" w:rsidRDefault="00FD4921" w:rsidP="000C45E5">
      <w:pPr>
        <w:spacing w:line="276" w:lineRule="auto"/>
        <w:jc w:val="both"/>
        <w:rPr>
          <w:rFonts w:ascii="Tahoma" w:hAnsi="Tahoma" w:cs="Tahoma"/>
          <w:sz w:val="22"/>
          <w:szCs w:val="22"/>
        </w:rPr>
      </w:pPr>
      <w:r w:rsidRPr="00FD4921">
        <w:rPr>
          <w:rFonts w:ascii="Tahoma" w:hAnsi="Tahoma" w:cs="Tahoma"/>
          <w:sz w:val="22"/>
          <w:szCs w:val="22"/>
        </w:rPr>
        <w:t>For medium term maintenance requirements, these typically are for extensive refurbishment activities, such a midlife refurbishment of assets, or rehabilitation that adds significant remaining useful life to the assets. These are placed onto the Capital investment corporate plan (CAPEX).</w:t>
      </w:r>
    </w:p>
    <w:p w:rsidR="00FD4921" w:rsidRPr="00FD4921" w:rsidRDefault="00FD4921" w:rsidP="000C45E5">
      <w:pPr>
        <w:spacing w:line="276" w:lineRule="auto"/>
        <w:jc w:val="both"/>
        <w:rPr>
          <w:rFonts w:ascii="Tahoma" w:hAnsi="Tahoma" w:cs="Tahoma"/>
          <w:sz w:val="22"/>
          <w:szCs w:val="22"/>
        </w:rPr>
      </w:pPr>
    </w:p>
    <w:p w:rsidR="00FD4921" w:rsidRPr="00FD4921" w:rsidRDefault="00FD4921" w:rsidP="000C45E5">
      <w:pPr>
        <w:spacing w:line="276" w:lineRule="auto"/>
        <w:jc w:val="both"/>
        <w:rPr>
          <w:rFonts w:ascii="Tahoma" w:hAnsi="Tahoma" w:cs="Tahoma"/>
          <w:sz w:val="22"/>
          <w:szCs w:val="22"/>
        </w:rPr>
      </w:pPr>
      <w:r w:rsidRPr="00FD4921">
        <w:rPr>
          <w:rFonts w:ascii="Tahoma" w:hAnsi="Tahoma" w:cs="Tahoma"/>
          <w:sz w:val="22"/>
          <w:szCs w:val="22"/>
        </w:rPr>
        <w:t>Maintenance activities typically have a short to medium term planning cycle that comprises a window of up to ten years.</w:t>
      </w:r>
    </w:p>
    <w:p w:rsidR="00FD4921" w:rsidRPr="00FD4921" w:rsidRDefault="00FD4921" w:rsidP="000C45E5">
      <w:pPr>
        <w:spacing w:line="276" w:lineRule="auto"/>
        <w:jc w:val="both"/>
        <w:rPr>
          <w:rFonts w:ascii="Tahoma" w:hAnsi="Tahoma" w:cs="Tahoma"/>
          <w:sz w:val="22"/>
          <w:szCs w:val="22"/>
        </w:rPr>
      </w:pPr>
    </w:p>
    <w:p w:rsidR="00FD4921" w:rsidRPr="00FD4921" w:rsidRDefault="00FD4921" w:rsidP="000C45E5">
      <w:pPr>
        <w:numPr>
          <w:ilvl w:val="0"/>
          <w:numId w:val="22"/>
        </w:numPr>
        <w:spacing w:line="276" w:lineRule="auto"/>
        <w:jc w:val="both"/>
        <w:rPr>
          <w:rFonts w:ascii="Tahoma" w:hAnsi="Tahoma" w:cs="Tahoma"/>
          <w:b/>
          <w:sz w:val="22"/>
          <w:szCs w:val="22"/>
        </w:rPr>
      </w:pPr>
      <w:r w:rsidRPr="00FD4921">
        <w:rPr>
          <w:rFonts w:ascii="Tahoma" w:hAnsi="Tahoma" w:cs="Tahoma"/>
          <w:b/>
          <w:sz w:val="22"/>
          <w:szCs w:val="22"/>
        </w:rPr>
        <w:t>Short to medium term maintenance plans</w:t>
      </w:r>
    </w:p>
    <w:p w:rsidR="00FD4921" w:rsidRPr="00FD4921" w:rsidRDefault="00FD4921" w:rsidP="000C45E5">
      <w:pPr>
        <w:spacing w:line="276" w:lineRule="auto"/>
        <w:jc w:val="both"/>
        <w:rPr>
          <w:rFonts w:ascii="Tahoma" w:hAnsi="Tahoma" w:cs="Tahoma"/>
          <w:b/>
          <w:sz w:val="22"/>
          <w:szCs w:val="22"/>
        </w:rPr>
      </w:pPr>
    </w:p>
    <w:p w:rsidR="00FD4921" w:rsidRPr="00FD4921" w:rsidRDefault="00FD4921" w:rsidP="000C45E5">
      <w:pPr>
        <w:spacing w:line="276" w:lineRule="auto"/>
        <w:jc w:val="both"/>
        <w:rPr>
          <w:rFonts w:ascii="Tahoma" w:hAnsi="Tahoma" w:cs="Tahoma"/>
          <w:sz w:val="22"/>
          <w:szCs w:val="22"/>
        </w:rPr>
      </w:pPr>
      <w:r w:rsidRPr="00FD4921">
        <w:rPr>
          <w:rFonts w:ascii="Tahoma" w:hAnsi="Tahoma" w:cs="Tahoma"/>
          <w:sz w:val="22"/>
          <w:szCs w:val="22"/>
        </w:rPr>
        <w:t>At present, there are three main refurbishment programs identified over the 10-year period:</w:t>
      </w:r>
    </w:p>
    <w:p w:rsidR="00FD4921" w:rsidRPr="00FD4921" w:rsidRDefault="00FD4921" w:rsidP="000C45E5">
      <w:pPr>
        <w:spacing w:line="276" w:lineRule="auto"/>
        <w:jc w:val="both"/>
        <w:rPr>
          <w:rFonts w:ascii="Tahoma" w:hAnsi="Tahoma" w:cs="Tahoma"/>
          <w:sz w:val="22"/>
          <w:szCs w:val="22"/>
        </w:rPr>
      </w:pPr>
    </w:p>
    <w:p w:rsidR="00FD4921" w:rsidRPr="00FD4921" w:rsidRDefault="00FD4921" w:rsidP="000C45E5">
      <w:pPr>
        <w:numPr>
          <w:ilvl w:val="0"/>
          <w:numId w:val="20"/>
        </w:numPr>
        <w:spacing w:line="276" w:lineRule="auto"/>
        <w:jc w:val="both"/>
        <w:rPr>
          <w:rFonts w:ascii="Tahoma" w:hAnsi="Tahoma" w:cs="Tahoma"/>
          <w:sz w:val="22"/>
          <w:szCs w:val="22"/>
        </w:rPr>
      </w:pPr>
      <w:r w:rsidRPr="00FD4921">
        <w:rPr>
          <w:rFonts w:ascii="Tahoma" w:hAnsi="Tahoma" w:cs="Tahoma"/>
          <w:sz w:val="22"/>
          <w:szCs w:val="22"/>
        </w:rPr>
        <w:t>Refurbishment of Quay and Jetty Infrastructure – which covers Fenders, Mooring Hooks and Concrete repairs;</w:t>
      </w:r>
    </w:p>
    <w:p w:rsidR="00FD4921" w:rsidRPr="00FD4921" w:rsidRDefault="00FD4921" w:rsidP="000C45E5">
      <w:pPr>
        <w:numPr>
          <w:ilvl w:val="0"/>
          <w:numId w:val="20"/>
        </w:numPr>
        <w:spacing w:line="276" w:lineRule="auto"/>
        <w:jc w:val="both"/>
        <w:rPr>
          <w:rFonts w:ascii="Tahoma" w:hAnsi="Tahoma" w:cs="Tahoma"/>
          <w:sz w:val="22"/>
          <w:szCs w:val="22"/>
        </w:rPr>
      </w:pPr>
      <w:r w:rsidRPr="00FD4921">
        <w:rPr>
          <w:rFonts w:ascii="Tahoma" w:hAnsi="Tahoma" w:cs="Tahoma"/>
          <w:sz w:val="22"/>
          <w:szCs w:val="22"/>
        </w:rPr>
        <w:t>Road and Rail Upgrade – which covers 3 phased refurbishment and upgrade projects for the port road network;</w:t>
      </w:r>
    </w:p>
    <w:p w:rsidR="00FD4921" w:rsidRPr="00FD4921" w:rsidRDefault="00FD4921" w:rsidP="000C45E5">
      <w:pPr>
        <w:numPr>
          <w:ilvl w:val="0"/>
          <w:numId w:val="20"/>
        </w:numPr>
        <w:spacing w:line="276" w:lineRule="auto"/>
        <w:jc w:val="both"/>
        <w:rPr>
          <w:rFonts w:ascii="Tahoma" w:hAnsi="Tahoma" w:cs="Tahoma"/>
          <w:sz w:val="22"/>
          <w:szCs w:val="22"/>
        </w:rPr>
      </w:pPr>
      <w:r w:rsidRPr="00FD4921">
        <w:rPr>
          <w:rFonts w:ascii="Tahoma" w:hAnsi="Tahoma" w:cs="Tahoma"/>
          <w:sz w:val="22"/>
          <w:szCs w:val="22"/>
        </w:rPr>
        <w:t>Refurbishment of Main Breakwater and Causeway rock revetments – which covers coastal protection structures critical to the port operation;</w:t>
      </w:r>
    </w:p>
    <w:p w:rsidR="00FD4921" w:rsidRPr="00FD4921" w:rsidRDefault="00FD4921" w:rsidP="000C45E5">
      <w:pPr>
        <w:spacing w:line="276" w:lineRule="auto"/>
        <w:jc w:val="both"/>
        <w:rPr>
          <w:rFonts w:ascii="Tahoma" w:hAnsi="Tahoma" w:cs="Tahoma"/>
          <w:sz w:val="22"/>
          <w:szCs w:val="22"/>
        </w:rPr>
      </w:pPr>
    </w:p>
    <w:p w:rsidR="00FD4921" w:rsidRPr="00FD4921" w:rsidRDefault="00FD4921" w:rsidP="000C45E5">
      <w:pPr>
        <w:spacing w:line="276" w:lineRule="auto"/>
        <w:jc w:val="both"/>
        <w:rPr>
          <w:rFonts w:ascii="Tahoma" w:hAnsi="Tahoma" w:cs="Tahoma"/>
          <w:sz w:val="22"/>
          <w:szCs w:val="22"/>
        </w:rPr>
      </w:pPr>
      <w:r w:rsidRPr="00FD4921">
        <w:rPr>
          <w:rFonts w:ascii="Tahoma" w:hAnsi="Tahoma" w:cs="Tahoma"/>
          <w:sz w:val="22"/>
          <w:szCs w:val="22"/>
        </w:rPr>
        <w:t xml:space="preserve">Maintenance activities typically have a short to medium term planning cycle that comprises a window of up to ten years. Where assets are identified for replacement due to end-of-life consideration beyond this planning period or where any upgrade as per the original design or intended use becomes applicable, budget planning would consider CAPEX requirements. Such events would normally require significant planning and alignment of operational </w:t>
      </w:r>
      <w:r w:rsidR="005B12CB" w:rsidRPr="00FD4921">
        <w:rPr>
          <w:rFonts w:ascii="Tahoma" w:hAnsi="Tahoma" w:cs="Tahoma"/>
          <w:sz w:val="22"/>
          <w:szCs w:val="22"/>
        </w:rPr>
        <w:t>activities and</w:t>
      </w:r>
      <w:r w:rsidRPr="00FD4921">
        <w:rPr>
          <w:rFonts w:ascii="Tahoma" w:hAnsi="Tahoma" w:cs="Tahoma"/>
          <w:sz w:val="22"/>
          <w:szCs w:val="22"/>
        </w:rPr>
        <w:t xml:space="preserve"> could be included on the PDFP’s. This would allow for coordinated planning by all stakeholders to ensure minimal impact on operational activities.  </w:t>
      </w:r>
    </w:p>
    <w:p w:rsidR="00607E6D" w:rsidRDefault="00607E6D" w:rsidP="000C45E5">
      <w:pPr>
        <w:jc w:val="both"/>
        <w:rPr>
          <w:rFonts w:ascii="Arial" w:hAnsi="Arial" w:cs="Arial"/>
          <w:b/>
          <w:sz w:val="22"/>
          <w:szCs w:val="22"/>
        </w:rPr>
      </w:pPr>
    </w:p>
    <w:p w:rsidR="00607E6D" w:rsidRPr="00F5254E" w:rsidRDefault="00607E6D" w:rsidP="000C45E5">
      <w:pPr>
        <w:jc w:val="both"/>
        <w:rPr>
          <w:rFonts w:ascii="Arial" w:hAnsi="Arial" w:cs="Arial"/>
          <w:b/>
          <w:sz w:val="22"/>
          <w:szCs w:val="22"/>
        </w:rPr>
      </w:pPr>
    </w:p>
    <w:p w:rsidR="0026535D" w:rsidRPr="00190C1E" w:rsidRDefault="0026535D" w:rsidP="00190C1E">
      <w:pPr>
        <w:contextualSpacing/>
        <w:jc w:val="both"/>
        <w:rPr>
          <w:rFonts w:ascii="Arial" w:hAnsi="Arial" w:cs="Arial"/>
          <w:b/>
          <w:bCs/>
          <w:sz w:val="22"/>
          <w:szCs w:val="22"/>
          <w:lang w:val="en-ZA"/>
        </w:rPr>
      </w:pPr>
    </w:p>
    <w:sectPr w:rsidR="0026535D" w:rsidRPr="00190C1E" w:rsidSect="00D16D43">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BE" w:rsidRDefault="006678BE" w:rsidP="002F7B6C">
      <w:r>
        <w:separator/>
      </w:r>
    </w:p>
  </w:endnote>
  <w:endnote w:type="continuationSeparator" w:id="0">
    <w:p w:rsidR="006678BE" w:rsidRDefault="006678BE"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D16D43">
    <w:pPr>
      <w:pStyle w:val="Footer"/>
      <w:jc w:val="right"/>
    </w:pPr>
    <w:r>
      <w:fldChar w:fldCharType="begin"/>
    </w:r>
    <w:r w:rsidR="005C2BD3">
      <w:instrText xml:space="preserve"> PAGE   \* MERGEFORMAT </w:instrText>
    </w:r>
    <w:r>
      <w:fldChar w:fldCharType="separate"/>
    </w:r>
    <w:r w:rsidR="006678BE">
      <w:rPr>
        <w:noProof/>
      </w:rPr>
      <w:t>1</w:t>
    </w:r>
    <w:r>
      <w:rPr>
        <w:noProof/>
      </w:rPr>
      <w:fldChar w:fldCharType="end"/>
    </w:r>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BE" w:rsidRDefault="006678BE" w:rsidP="002F7B6C">
      <w:r>
        <w:separator/>
      </w:r>
    </w:p>
  </w:footnote>
  <w:footnote w:type="continuationSeparator" w:id="0">
    <w:p w:rsidR="006678BE" w:rsidRDefault="006678BE"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D16D43">
    <w:pPr>
      <w:pStyle w:val="Header"/>
    </w:pPr>
    <w:r w:rsidRPr="00D16D43">
      <w:rPr>
        <w:noProof/>
      </w:rPr>
      <w:pict>
        <v:rect id="Rectangle 1" o:spid="_x0000_s4097" style="position:absolute;margin-left:546.4pt;margin-top:611.1pt;width:40.2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F58"/>
    <w:multiLevelType w:val="hybridMultilevel"/>
    <w:tmpl w:val="25B4F7BE"/>
    <w:lvl w:ilvl="0" w:tplc="5B5E8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1DBC76A6"/>
    <w:multiLevelType w:val="hybridMultilevel"/>
    <w:tmpl w:val="3036F018"/>
    <w:lvl w:ilvl="0" w:tplc="EFAADCD4">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nsid w:val="330E504B"/>
    <w:multiLevelType w:val="hybridMultilevel"/>
    <w:tmpl w:val="5240B810"/>
    <w:lvl w:ilvl="0" w:tplc="0302C94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8D0BEA"/>
    <w:multiLevelType w:val="hybridMultilevel"/>
    <w:tmpl w:val="6E8EA736"/>
    <w:lvl w:ilvl="0" w:tplc="EC1CB1E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4E2509"/>
    <w:multiLevelType w:val="hybridMultilevel"/>
    <w:tmpl w:val="FB7C7802"/>
    <w:lvl w:ilvl="0" w:tplc="1C6011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226158A"/>
    <w:multiLevelType w:val="hybridMultilevel"/>
    <w:tmpl w:val="2328028A"/>
    <w:lvl w:ilvl="0" w:tplc="7FFC668A">
      <w:start w:val="1"/>
      <w:numFmt w:val="lowerLetter"/>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1">
    <w:nsid w:val="764171E6"/>
    <w:multiLevelType w:val="hybridMultilevel"/>
    <w:tmpl w:val="7980B432"/>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8DE2E8B"/>
    <w:multiLevelType w:val="hybridMultilevel"/>
    <w:tmpl w:val="9E6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5"/>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5"/>
  </w:num>
  <w:num w:numId="17">
    <w:abstractNumId w:val="6"/>
  </w:num>
  <w:num w:numId="18">
    <w:abstractNumId w:val="8"/>
  </w:num>
  <w:num w:numId="19">
    <w:abstractNumId w:val="0"/>
  </w:num>
  <w:num w:numId="20">
    <w:abstractNumId w:val="22"/>
  </w:num>
  <w:num w:numId="21">
    <w:abstractNumId w:val="3"/>
  </w:num>
  <w:num w:numId="22">
    <w:abstractNumId w:val="20"/>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FF3EC8"/>
    <w:rsid w:val="000021A2"/>
    <w:rsid w:val="000024B4"/>
    <w:rsid w:val="000031F6"/>
    <w:rsid w:val="00012090"/>
    <w:rsid w:val="00026896"/>
    <w:rsid w:val="00026961"/>
    <w:rsid w:val="00037BA8"/>
    <w:rsid w:val="0004576E"/>
    <w:rsid w:val="00053958"/>
    <w:rsid w:val="00060501"/>
    <w:rsid w:val="00063424"/>
    <w:rsid w:val="00064DE9"/>
    <w:rsid w:val="000761C1"/>
    <w:rsid w:val="000805D9"/>
    <w:rsid w:val="00082DF7"/>
    <w:rsid w:val="00091C1C"/>
    <w:rsid w:val="00093C4D"/>
    <w:rsid w:val="000A6768"/>
    <w:rsid w:val="000A6E4F"/>
    <w:rsid w:val="000B0078"/>
    <w:rsid w:val="000B0758"/>
    <w:rsid w:val="000B1785"/>
    <w:rsid w:val="000B6C62"/>
    <w:rsid w:val="000C36EA"/>
    <w:rsid w:val="000C45E5"/>
    <w:rsid w:val="000D0546"/>
    <w:rsid w:val="000D2BC4"/>
    <w:rsid w:val="000D7B56"/>
    <w:rsid w:val="000E13FF"/>
    <w:rsid w:val="000E5477"/>
    <w:rsid w:val="000F170E"/>
    <w:rsid w:val="000F3B54"/>
    <w:rsid w:val="000F4733"/>
    <w:rsid w:val="000F4C3B"/>
    <w:rsid w:val="00100F38"/>
    <w:rsid w:val="0010539F"/>
    <w:rsid w:val="00121003"/>
    <w:rsid w:val="00122CA1"/>
    <w:rsid w:val="00131E93"/>
    <w:rsid w:val="00143667"/>
    <w:rsid w:val="001465A8"/>
    <w:rsid w:val="00154917"/>
    <w:rsid w:val="001617C6"/>
    <w:rsid w:val="001740EB"/>
    <w:rsid w:val="001768FA"/>
    <w:rsid w:val="00180887"/>
    <w:rsid w:val="00181A85"/>
    <w:rsid w:val="001824E2"/>
    <w:rsid w:val="001835A6"/>
    <w:rsid w:val="0018484C"/>
    <w:rsid w:val="00187731"/>
    <w:rsid w:val="00190C1E"/>
    <w:rsid w:val="00193F35"/>
    <w:rsid w:val="001A15FB"/>
    <w:rsid w:val="001A2020"/>
    <w:rsid w:val="001A63AA"/>
    <w:rsid w:val="001B58A0"/>
    <w:rsid w:val="001C3924"/>
    <w:rsid w:val="001C5D73"/>
    <w:rsid w:val="001D6636"/>
    <w:rsid w:val="001D6AD9"/>
    <w:rsid w:val="001E36FF"/>
    <w:rsid w:val="001E4674"/>
    <w:rsid w:val="001F68BA"/>
    <w:rsid w:val="00202E8D"/>
    <w:rsid w:val="00204BA5"/>
    <w:rsid w:val="00205793"/>
    <w:rsid w:val="002102C5"/>
    <w:rsid w:val="0022052C"/>
    <w:rsid w:val="0022523E"/>
    <w:rsid w:val="002257AD"/>
    <w:rsid w:val="00226482"/>
    <w:rsid w:val="00231713"/>
    <w:rsid w:val="00234937"/>
    <w:rsid w:val="00251886"/>
    <w:rsid w:val="00253EEE"/>
    <w:rsid w:val="002558F8"/>
    <w:rsid w:val="00260CD2"/>
    <w:rsid w:val="00262CCB"/>
    <w:rsid w:val="0026535D"/>
    <w:rsid w:val="002860E0"/>
    <w:rsid w:val="00292E7A"/>
    <w:rsid w:val="002945C8"/>
    <w:rsid w:val="002A0C5B"/>
    <w:rsid w:val="002A2992"/>
    <w:rsid w:val="002C183F"/>
    <w:rsid w:val="002C219A"/>
    <w:rsid w:val="002C356F"/>
    <w:rsid w:val="002D70A6"/>
    <w:rsid w:val="002E0A82"/>
    <w:rsid w:val="002E237E"/>
    <w:rsid w:val="002E2DEB"/>
    <w:rsid w:val="002E5C5F"/>
    <w:rsid w:val="002F35E9"/>
    <w:rsid w:val="002F564A"/>
    <w:rsid w:val="002F5E77"/>
    <w:rsid w:val="002F6546"/>
    <w:rsid w:val="002F7B6C"/>
    <w:rsid w:val="003022B2"/>
    <w:rsid w:val="00304D24"/>
    <w:rsid w:val="00331F8F"/>
    <w:rsid w:val="00335B3C"/>
    <w:rsid w:val="00342796"/>
    <w:rsid w:val="00344369"/>
    <w:rsid w:val="003502E6"/>
    <w:rsid w:val="00363C20"/>
    <w:rsid w:val="00375892"/>
    <w:rsid w:val="0038174D"/>
    <w:rsid w:val="003828D9"/>
    <w:rsid w:val="0039441D"/>
    <w:rsid w:val="00397F90"/>
    <w:rsid w:val="003A0568"/>
    <w:rsid w:val="003A7F30"/>
    <w:rsid w:val="003E19BD"/>
    <w:rsid w:val="003E363E"/>
    <w:rsid w:val="003E461F"/>
    <w:rsid w:val="003E4CFD"/>
    <w:rsid w:val="003E7544"/>
    <w:rsid w:val="003F04C2"/>
    <w:rsid w:val="003F463D"/>
    <w:rsid w:val="00404B57"/>
    <w:rsid w:val="004140E1"/>
    <w:rsid w:val="00421E67"/>
    <w:rsid w:val="004278AA"/>
    <w:rsid w:val="00446367"/>
    <w:rsid w:val="00470635"/>
    <w:rsid w:val="00471395"/>
    <w:rsid w:val="00477F44"/>
    <w:rsid w:val="00485879"/>
    <w:rsid w:val="004A79CE"/>
    <w:rsid w:val="004B613E"/>
    <w:rsid w:val="004C4CB3"/>
    <w:rsid w:val="004C5539"/>
    <w:rsid w:val="004D461D"/>
    <w:rsid w:val="004D772A"/>
    <w:rsid w:val="004E1FD7"/>
    <w:rsid w:val="004E2F12"/>
    <w:rsid w:val="004E3AE1"/>
    <w:rsid w:val="004F3B3C"/>
    <w:rsid w:val="005007A5"/>
    <w:rsid w:val="00501ED3"/>
    <w:rsid w:val="005047F1"/>
    <w:rsid w:val="00514763"/>
    <w:rsid w:val="005240E0"/>
    <w:rsid w:val="00524ACA"/>
    <w:rsid w:val="00530AF1"/>
    <w:rsid w:val="00532360"/>
    <w:rsid w:val="00540B50"/>
    <w:rsid w:val="00543405"/>
    <w:rsid w:val="00543F78"/>
    <w:rsid w:val="0054476C"/>
    <w:rsid w:val="00550D7F"/>
    <w:rsid w:val="00552E56"/>
    <w:rsid w:val="00557E9E"/>
    <w:rsid w:val="0057074A"/>
    <w:rsid w:val="00572202"/>
    <w:rsid w:val="00584888"/>
    <w:rsid w:val="00587297"/>
    <w:rsid w:val="005958A8"/>
    <w:rsid w:val="005A0F6D"/>
    <w:rsid w:val="005A234A"/>
    <w:rsid w:val="005A49C8"/>
    <w:rsid w:val="005B12CB"/>
    <w:rsid w:val="005B2797"/>
    <w:rsid w:val="005B5054"/>
    <w:rsid w:val="005B727D"/>
    <w:rsid w:val="005C2BD3"/>
    <w:rsid w:val="005C3BE9"/>
    <w:rsid w:val="005D4452"/>
    <w:rsid w:val="005E232A"/>
    <w:rsid w:val="00600858"/>
    <w:rsid w:val="0060574A"/>
    <w:rsid w:val="00607E6D"/>
    <w:rsid w:val="00617391"/>
    <w:rsid w:val="00632C36"/>
    <w:rsid w:val="00634841"/>
    <w:rsid w:val="006503D1"/>
    <w:rsid w:val="006522AE"/>
    <w:rsid w:val="006678BE"/>
    <w:rsid w:val="00674548"/>
    <w:rsid w:val="00683DF1"/>
    <w:rsid w:val="00683EF1"/>
    <w:rsid w:val="00691516"/>
    <w:rsid w:val="00692C78"/>
    <w:rsid w:val="00693729"/>
    <w:rsid w:val="006B1B03"/>
    <w:rsid w:val="006B6CAA"/>
    <w:rsid w:val="006B7A8C"/>
    <w:rsid w:val="006C24C3"/>
    <w:rsid w:val="006C3A71"/>
    <w:rsid w:val="006C630D"/>
    <w:rsid w:val="006C63EE"/>
    <w:rsid w:val="006C7F97"/>
    <w:rsid w:val="006E017F"/>
    <w:rsid w:val="006E0341"/>
    <w:rsid w:val="006E5DC2"/>
    <w:rsid w:val="0070431A"/>
    <w:rsid w:val="00705C70"/>
    <w:rsid w:val="007075B7"/>
    <w:rsid w:val="007113A7"/>
    <w:rsid w:val="00712883"/>
    <w:rsid w:val="007252FF"/>
    <w:rsid w:val="007352B4"/>
    <w:rsid w:val="00736012"/>
    <w:rsid w:val="007409DE"/>
    <w:rsid w:val="00742BC6"/>
    <w:rsid w:val="00747CF6"/>
    <w:rsid w:val="0075466C"/>
    <w:rsid w:val="00757C6E"/>
    <w:rsid w:val="0076173C"/>
    <w:rsid w:val="00763B2A"/>
    <w:rsid w:val="00770C6C"/>
    <w:rsid w:val="00771EE9"/>
    <w:rsid w:val="007721D8"/>
    <w:rsid w:val="007776BB"/>
    <w:rsid w:val="00780209"/>
    <w:rsid w:val="007821F5"/>
    <w:rsid w:val="007861CC"/>
    <w:rsid w:val="007932FC"/>
    <w:rsid w:val="00794BA1"/>
    <w:rsid w:val="007A0A55"/>
    <w:rsid w:val="007A205F"/>
    <w:rsid w:val="007A5976"/>
    <w:rsid w:val="007A72C6"/>
    <w:rsid w:val="007B3B72"/>
    <w:rsid w:val="007B55B5"/>
    <w:rsid w:val="007B791B"/>
    <w:rsid w:val="007C59C4"/>
    <w:rsid w:val="007D3B93"/>
    <w:rsid w:val="007D51A4"/>
    <w:rsid w:val="007D5303"/>
    <w:rsid w:val="007E303E"/>
    <w:rsid w:val="007E573D"/>
    <w:rsid w:val="007E662D"/>
    <w:rsid w:val="007F06CF"/>
    <w:rsid w:val="007F5018"/>
    <w:rsid w:val="007F7C7B"/>
    <w:rsid w:val="0080600D"/>
    <w:rsid w:val="00807B05"/>
    <w:rsid w:val="008143D9"/>
    <w:rsid w:val="00833F61"/>
    <w:rsid w:val="00836F90"/>
    <w:rsid w:val="00841E05"/>
    <w:rsid w:val="00846573"/>
    <w:rsid w:val="00852FB0"/>
    <w:rsid w:val="00857EE2"/>
    <w:rsid w:val="008617C6"/>
    <w:rsid w:val="0087180B"/>
    <w:rsid w:val="00881CA9"/>
    <w:rsid w:val="008858C0"/>
    <w:rsid w:val="00887984"/>
    <w:rsid w:val="00892651"/>
    <w:rsid w:val="008933BF"/>
    <w:rsid w:val="008971B8"/>
    <w:rsid w:val="008A124E"/>
    <w:rsid w:val="008A25CE"/>
    <w:rsid w:val="008A42F8"/>
    <w:rsid w:val="008B711D"/>
    <w:rsid w:val="008D0E65"/>
    <w:rsid w:val="008D7577"/>
    <w:rsid w:val="008E0C4E"/>
    <w:rsid w:val="008F31BE"/>
    <w:rsid w:val="008F4E54"/>
    <w:rsid w:val="008F620E"/>
    <w:rsid w:val="008F7C84"/>
    <w:rsid w:val="00900509"/>
    <w:rsid w:val="009101EB"/>
    <w:rsid w:val="00933A9C"/>
    <w:rsid w:val="00940140"/>
    <w:rsid w:val="00956CC7"/>
    <w:rsid w:val="0097033F"/>
    <w:rsid w:val="00983134"/>
    <w:rsid w:val="00983745"/>
    <w:rsid w:val="009B001C"/>
    <w:rsid w:val="009B7F8A"/>
    <w:rsid w:val="009D0942"/>
    <w:rsid w:val="009D3ED9"/>
    <w:rsid w:val="009E0153"/>
    <w:rsid w:val="009E4929"/>
    <w:rsid w:val="009F5322"/>
    <w:rsid w:val="009F6CDC"/>
    <w:rsid w:val="00A04F5C"/>
    <w:rsid w:val="00A10673"/>
    <w:rsid w:val="00A11F37"/>
    <w:rsid w:val="00A13546"/>
    <w:rsid w:val="00A1552C"/>
    <w:rsid w:val="00A1773E"/>
    <w:rsid w:val="00A22CA5"/>
    <w:rsid w:val="00A33EC8"/>
    <w:rsid w:val="00A46FB4"/>
    <w:rsid w:val="00A53C41"/>
    <w:rsid w:val="00A61DC4"/>
    <w:rsid w:val="00A63EEE"/>
    <w:rsid w:val="00A675CD"/>
    <w:rsid w:val="00A71193"/>
    <w:rsid w:val="00A72010"/>
    <w:rsid w:val="00A82983"/>
    <w:rsid w:val="00A940D5"/>
    <w:rsid w:val="00A96A47"/>
    <w:rsid w:val="00AA2FC2"/>
    <w:rsid w:val="00AA5CE3"/>
    <w:rsid w:val="00AB1C3D"/>
    <w:rsid w:val="00AC40F3"/>
    <w:rsid w:val="00AD1830"/>
    <w:rsid w:val="00AE041D"/>
    <w:rsid w:val="00AE22E4"/>
    <w:rsid w:val="00B06002"/>
    <w:rsid w:val="00B06F1A"/>
    <w:rsid w:val="00B21B4E"/>
    <w:rsid w:val="00B32686"/>
    <w:rsid w:val="00B4224B"/>
    <w:rsid w:val="00B44ACF"/>
    <w:rsid w:val="00B479E6"/>
    <w:rsid w:val="00B52D1A"/>
    <w:rsid w:val="00B64C51"/>
    <w:rsid w:val="00B658B5"/>
    <w:rsid w:val="00B65996"/>
    <w:rsid w:val="00B84C5C"/>
    <w:rsid w:val="00B8634F"/>
    <w:rsid w:val="00B91B50"/>
    <w:rsid w:val="00B94202"/>
    <w:rsid w:val="00B95821"/>
    <w:rsid w:val="00B977DB"/>
    <w:rsid w:val="00BB145E"/>
    <w:rsid w:val="00BC2946"/>
    <w:rsid w:val="00BC46C6"/>
    <w:rsid w:val="00BD652C"/>
    <w:rsid w:val="00BD73B4"/>
    <w:rsid w:val="00BE2C89"/>
    <w:rsid w:val="00BF2462"/>
    <w:rsid w:val="00BF6DE0"/>
    <w:rsid w:val="00C02B81"/>
    <w:rsid w:val="00C04A5B"/>
    <w:rsid w:val="00C05B52"/>
    <w:rsid w:val="00C1448A"/>
    <w:rsid w:val="00C163FA"/>
    <w:rsid w:val="00C33630"/>
    <w:rsid w:val="00C33AC7"/>
    <w:rsid w:val="00C35B67"/>
    <w:rsid w:val="00C35C85"/>
    <w:rsid w:val="00C36C5A"/>
    <w:rsid w:val="00C37C01"/>
    <w:rsid w:val="00C52E9C"/>
    <w:rsid w:val="00C54C5A"/>
    <w:rsid w:val="00C673A6"/>
    <w:rsid w:val="00C9463B"/>
    <w:rsid w:val="00C95BA0"/>
    <w:rsid w:val="00CB2028"/>
    <w:rsid w:val="00CB5861"/>
    <w:rsid w:val="00CB5C46"/>
    <w:rsid w:val="00CB74D7"/>
    <w:rsid w:val="00CD75C7"/>
    <w:rsid w:val="00CE2F95"/>
    <w:rsid w:val="00CE514E"/>
    <w:rsid w:val="00CE6D28"/>
    <w:rsid w:val="00CF274D"/>
    <w:rsid w:val="00CF5106"/>
    <w:rsid w:val="00CF5D4B"/>
    <w:rsid w:val="00CF6188"/>
    <w:rsid w:val="00D042B8"/>
    <w:rsid w:val="00D1161C"/>
    <w:rsid w:val="00D15DA1"/>
    <w:rsid w:val="00D16D43"/>
    <w:rsid w:val="00D23737"/>
    <w:rsid w:val="00D25608"/>
    <w:rsid w:val="00D25ED9"/>
    <w:rsid w:val="00D301BD"/>
    <w:rsid w:val="00D33334"/>
    <w:rsid w:val="00D37BD8"/>
    <w:rsid w:val="00D45318"/>
    <w:rsid w:val="00D4715B"/>
    <w:rsid w:val="00D71D6C"/>
    <w:rsid w:val="00D72332"/>
    <w:rsid w:val="00D72B16"/>
    <w:rsid w:val="00D76304"/>
    <w:rsid w:val="00D80097"/>
    <w:rsid w:val="00D805A3"/>
    <w:rsid w:val="00D81318"/>
    <w:rsid w:val="00D81CD0"/>
    <w:rsid w:val="00D9149F"/>
    <w:rsid w:val="00D960C4"/>
    <w:rsid w:val="00DA61B8"/>
    <w:rsid w:val="00DB00DD"/>
    <w:rsid w:val="00DB2624"/>
    <w:rsid w:val="00DB49FC"/>
    <w:rsid w:val="00DC0DD3"/>
    <w:rsid w:val="00DC63AF"/>
    <w:rsid w:val="00DC7DB0"/>
    <w:rsid w:val="00DD247F"/>
    <w:rsid w:val="00DD305B"/>
    <w:rsid w:val="00DD58A5"/>
    <w:rsid w:val="00DE23D3"/>
    <w:rsid w:val="00DE4554"/>
    <w:rsid w:val="00DF0B46"/>
    <w:rsid w:val="00DF4981"/>
    <w:rsid w:val="00DF5BDD"/>
    <w:rsid w:val="00DF5F61"/>
    <w:rsid w:val="00DF7D97"/>
    <w:rsid w:val="00E02586"/>
    <w:rsid w:val="00E219AA"/>
    <w:rsid w:val="00E21D6C"/>
    <w:rsid w:val="00E26FBE"/>
    <w:rsid w:val="00E30CC9"/>
    <w:rsid w:val="00E34EC5"/>
    <w:rsid w:val="00E418EB"/>
    <w:rsid w:val="00E569CD"/>
    <w:rsid w:val="00E65B70"/>
    <w:rsid w:val="00E72CCA"/>
    <w:rsid w:val="00E73F7A"/>
    <w:rsid w:val="00E83DB6"/>
    <w:rsid w:val="00E84807"/>
    <w:rsid w:val="00E9248E"/>
    <w:rsid w:val="00E92965"/>
    <w:rsid w:val="00EA3573"/>
    <w:rsid w:val="00EA3DFB"/>
    <w:rsid w:val="00EC466E"/>
    <w:rsid w:val="00ED3319"/>
    <w:rsid w:val="00EE1975"/>
    <w:rsid w:val="00EE4B89"/>
    <w:rsid w:val="00EF3F70"/>
    <w:rsid w:val="00EF5F14"/>
    <w:rsid w:val="00F0404C"/>
    <w:rsid w:val="00F169D5"/>
    <w:rsid w:val="00F24B6C"/>
    <w:rsid w:val="00F25E93"/>
    <w:rsid w:val="00F33528"/>
    <w:rsid w:val="00F5254E"/>
    <w:rsid w:val="00F544FA"/>
    <w:rsid w:val="00F75EA0"/>
    <w:rsid w:val="00F80BD9"/>
    <w:rsid w:val="00F968DE"/>
    <w:rsid w:val="00FA1820"/>
    <w:rsid w:val="00FA4243"/>
    <w:rsid w:val="00FC103B"/>
    <w:rsid w:val="00FD4921"/>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B711D"/>
    <w:rPr>
      <w:rFonts w:ascii="Calibri" w:eastAsia="Calibri" w:hAnsi="Calibri"/>
      <w:sz w:val="22"/>
      <w:szCs w:val="22"/>
      <w:lang w:val="en-US" w:eastAsia="en-US"/>
    </w:rPr>
  </w:style>
  <w:style w:type="paragraph" w:customStyle="1" w:styleId="Default">
    <w:name w:val="Default"/>
    <w:basedOn w:val="Normal"/>
    <w:uiPriority w:val="99"/>
    <w:rsid w:val="008B711D"/>
    <w:pPr>
      <w:autoSpaceDE w:val="0"/>
      <w:autoSpaceDN w:val="0"/>
    </w:pPr>
    <w:rPr>
      <w:rFonts w:ascii="Arial" w:eastAsia="Calibri" w:hAnsi="Arial" w:cs="Arial"/>
      <w:color w:val="000000"/>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186260917">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9428554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1083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2344-FB5A-4F28-A013-5C669951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2020-03-18T07:46:00Z</cp:lastPrinted>
  <dcterms:created xsi:type="dcterms:W3CDTF">2022-07-05T13:23:00Z</dcterms:created>
  <dcterms:modified xsi:type="dcterms:W3CDTF">2022-07-05T13:23:00Z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000000000EE64743FC990D449CFD54646A35BA43070080DB0A09594C5D4CBDB5B05353BFE17C00000000010C000080DB0A09594C5D4CBDB5B05353BFE17C00045D55A6F60000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0000000038A1BB1005E5101AA1BB08002B2A56C20000454D534D44422E444C4C00000000000000001B55FA20AA6611CD9BC800AA002FC45A0C0000006D706C6161746A696573407061726C69616D656E742E676F762E7A61002F6F3D5061726C69616D656E742F6F753D45786368616E67652041646D696E697374726174697</vt:lpwstr>
  </property>
  <property fmtid="{D5CDD505-2E9C-101B-9397-08002B2CF9AE}" pid="8" name="_EmailStoreID1">
    <vt:lpwstr>6652047726F7570202846594449424F484632335350444C54292F636E3D526563697069656E74732F636E3D62633038326264616434643134373566393133363266633034623130313161392D4D69636861656C2020506C616100E94632F44C00000002000000100000006D0070006C006100610074006A0069006500730040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