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56" w:rsidRPr="00951C1E" w:rsidRDefault="00237856" w:rsidP="00237856">
      <w:pPr>
        <w:spacing w:after="200" w:line="276" w:lineRule="auto"/>
        <w:jc w:val="center"/>
        <w:rPr>
          <w:rFonts w:ascii="Arial" w:eastAsia="Calibri" w:hAnsi="Arial" w:cs="Arial"/>
          <w:b/>
          <w:bCs/>
          <w:sz w:val="28"/>
          <w:szCs w:val="28"/>
          <w:lang w:val="en-ZA"/>
        </w:rPr>
      </w:pPr>
      <w:r w:rsidRPr="00951C1E">
        <w:rPr>
          <w:rFonts w:ascii="Arial" w:eastAsia="Calibri" w:hAnsi="Arial" w:cs="Arial"/>
          <w:b/>
          <w:bCs/>
          <w:sz w:val="28"/>
          <w:szCs w:val="28"/>
          <w:lang w:val="en-ZA"/>
        </w:rPr>
        <w:t>National Assembly.</w:t>
      </w:r>
    </w:p>
    <w:p w:rsidR="00237856" w:rsidRPr="00951C1E" w:rsidRDefault="00237856" w:rsidP="00237856">
      <w:pPr>
        <w:spacing w:after="200" w:line="276" w:lineRule="auto"/>
        <w:jc w:val="both"/>
        <w:rPr>
          <w:rFonts w:ascii="Arial" w:eastAsia="Calibri" w:hAnsi="Arial" w:cs="Arial"/>
          <w:b/>
          <w:bCs/>
          <w:sz w:val="24"/>
          <w:szCs w:val="24"/>
          <w:u w:val="single"/>
          <w:lang w:val="en-ZA"/>
        </w:rPr>
      </w:pPr>
      <w:bookmarkStart w:id="0" w:name="_GoBack"/>
      <w:bookmarkEnd w:id="0"/>
      <w:r w:rsidRPr="00951C1E">
        <w:rPr>
          <w:rFonts w:ascii="Arial" w:eastAsia="Calibri" w:hAnsi="Arial" w:cs="Arial"/>
          <w:b/>
          <w:bCs/>
          <w:sz w:val="24"/>
          <w:szCs w:val="24"/>
          <w:u w:val="single"/>
          <w:lang w:val="en-ZA"/>
        </w:rPr>
        <w:t xml:space="preserve">QUESTION No. 226-2021 </w:t>
      </w:r>
    </w:p>
    <w:p w:rsidR="00237856" w:rsidRPr="00951C1E" w:rsidRDefault="00237856" w:rsidP="00237856">
      <w:pPr>
        <w:spacing w:after="200" w:line="276" w:lineRule="auto"/>
        <w:jc w:val="both"/>
        <w:rPr>
          <w:rFonts w:ascii="Arial" w:eastAsia="Calibri" w:hAnsi="Arial" w:cs="Arial"/>
          <w:b/>
          <w:bCs/>
          <w:sz w:val="24"/>
          <w:szCs w:val="24"/>
          <w:u w:val="single"/>
          <w:lang w:val="en-ZA"/>
        </w:rPr>
      </w:pPr>
      <w:r w:rsidRPr="00951C1E">
        <w:rPr>
          <w:rFonts w:ascii="Arial" w:eastAsia="Calibri" w:hAnsi="Arial" w:cs="Arial"/>
          <w:b/>
          <w:bCs/>
          <w:sz w:val="24"/>
          <w:szCs w:val="24"/>
          <w:u w:val="single"/>
          <w:lang w:val="en-ZA"/>
        </w:rPr>
        <w:t xml:space="preserve">FOR WRITTE REPLY </w:t>
      </w:r>
    </w:p>
    <w:p w:rsidR="00237856" w:rsidRPr="00951C1E" w:rsidRDefault="00237856" w:rsidP="00237856">
      <w:pPr>
        <w:spacing w:after="200" w:line="276" w:lineRule="auto"/>
        <w:jc w:val="both"/>
        <w:rPr>
          <w:rFonts w:ascii="Arial" w:eastAsia="Calibri" w:hAnsi="Arial" w:cs="Arial"/>
          <w:b/>
          <w:bCs/>
          <w:sz w:val="24"/>
          <w:szCs w:val="24"/>
          <w:lang w:val="en-ZA"/>
        </w:rPr>
      </w:pPr>
      <w:r w:rsidRPr="00951C1E">
        <w:rPr>
          <w:rFonts w:ascii="Arial" w:eastAsia="Calibri" w:hAnsi="Arial" w:cs="Arial"/>
          <w:b/>
          <w:bCs/>
          <w:sz w:val="24"/>
          <w:szCs w:val="24"/>
          <w:lang w:val="en-ZA"/>
        </w:rPr>
        <w:t xml:space="preserve">INTERNAL QUESTION PAPER NO.1-2021, DATE OF PUBLICATION 11 FEBRUARY 2021: </w:t>
      </w:r>
    </w:p>
    <w:p w:rsidR="00237856" w:rsidRPr="00951C1E" w:rsidRDefault="00237856" w:rsidP="00237856">
      <w:pPr>
        <w:spacing w:line="252" w:lineRule="auto"/>
        <w:ind w:left="720" w:hanging="720"/>
        <w:jc w:val="both"/>
        <w:rPr>
          <w:rFonts w:ascii="Arial" w:eastAsia="Calibri" w:hAnsi="Arial" w:cs="Arial"/>
          <w:b/>
          <w:bCs/>
          <w:sz w:val="24"/>
          <w:szCs w:val="24"/>
          <w:lang w:val="en-ZA"/>
        </w:rPr>
      </w:pPr>
      <w:r w:rsidRPr="00951C1E">
        <w:rPr>
          <w:rFonts w:ascii="Arial" w:eastAsia="Calibri" w:hAnsi="Arial" w:cs="Arial"/>
          <w:b/>
          <w:bCs/>
          <w:sz w:val="24"/>
          <w:szCs w:val="24"/>
          <w:lang w:val="en-ZA"/>
        </w:rPr>
        <w:t xml:space="preserve"> Mr TW </w:t>
      </w:r>
      <w:proofErr w:type="spellStart"/>
      <w:r w:rsidRPr="00951C1E">
        <w:rPr>
          <w:rFonts w:ascii="Arial" w:eastAsia="Calibri" w:hAnsi="Arial" w:cs="Arial"/>
          <w:b/>
          <w:bCs/>
          <w:sz w:val="24"/>
          <w:szCs w:val="24"/>
          <w:lang w:val="en-ZA"/>
        </w:rPr>
        <w:t>Mhlongo</w:t>
      </w:r>
      <w:proofErr w:type="spellEnd"/>
      <w:r w:rsidRPr="00951C1E">
        <w:rPr>
          <w:rFonts w:ascii="Arial" w:eastAsia="Calibri" w:hAnsi="Arial" w:cs="Arial"/>
          <w:b/>
          <w:bCs/>
          <w:sz w:val="24"/>
          <w:szCs w:val="24"/>
          <w:lang w:val="en-ZA"/>
        </w:rPr>
        <w:t xml:space="preserve"> (DA): TO ASK THE MINISTER OF SPORT, ARTS AND CULTURE: </w:t>
      </w:r>
    </w:p>
    <w:p w:rsidR="00237856" w:rsidRPr="00951C1E" w:rsidRDefault="00237856" w:rsidP="00237856">
      <w:pPr>
        <w:spacing w:line="252" w:lineRule="auto"/>
        <w:ind w:left="720" w:hanging="720"/>
        <w:jc w:val="both"/>
        <w:rPr>
          <w:rFonts w:ascii="Arial" w:eastAsia="Calibri" w:hAnsi="Arial" w:cs="Arial"/>
          <w:sz w:val="24"/>
          <w:szCs w:val="24"/>
          <w:lang w:val="en-ZA"/>
        </w:rPr>
      </w:pPr>
      <w:r w:rsidRPr="00951C1E">
        <w:rPr>
          <w:rFonts w:ascii="Arial" w:eastAsia="Calibri" w:hAnsi="Arial" w:cs="Arial"/>
          <w:b/>
          <w:bCs/>
          <w:sz w:val="24"/>
          <w:szCs w:val="24"/>
          <w:lang w:val="en-ZA"/>
        </w:rPr>
        <w:t xml:space="preserve">(1)      </w:t>
      </w:r>
      <w:r w:rsidRPr="00951C1E">
        <w:rPr>
          <w:rFonts w:ascii="Arial" w:eastAsia="Calibri" w:hAnsi="Arial" w:cs="Arial"/>
          <w:sz w:val="24"/>
          <w:szCs w:val="24"/>
          <w:lang w:val="en-ZA"/>
        </w:rPr>
        <w:t>Whether with reference to his department’s first phase and second phase relief funding; his department conducted an audit of the R150 million relief funding; if not why not; if so what are the relevant details,</w:t>
      </w:r>
    </w:p>
    <w:p w:rsidR="00237856" w:rsidRPr="00951C1E" w:rsidRDefault="00237856" w:rsidP="00237856">
      <w:pPr>
        <w:spacing w:after="200" w:line="276" w:lineRule="auto"/>
        <w:ind w:left="720" w:hanging="720"/>
        <w:jc w:val="both"/>
        <w:rPr>
          <w:rFonts w:ascii="Arial" w:eastAsia="Calibri" w:hAnsi="Arial" w:cs="Arial"/>
          <w:sz w:val="24"/>
          <w:szCs w:val="24"/>
          <w:lang w:val="en-ZA"/>
        </w:rPr>
      </w:pPr>
      <w:r w:rsidRPr="00951C1E">
        <w:rPr>
          <w:rFonts w:ascii="Arial" w:eastAsia="Calibri" w:hAnsi="Arial" w:cs="Arial"/>
          <w:sz w:val="24"/>
          <w:szCs w:val="24"/>
          <w:lang w:val="en-ZA"/>
        </w:rPr>
        <w:t>(2)      a) who was appointed to audit the relief fund books, (b) what was the reasons that his department did not appoint an independent audit company, (c) what total amount was given to the sports trust to administer on behalf of his department and (d) has he found the appointments of the sports trust to be fair;</w:t>
      </w:r>
    </w:p>
    <w:p w:rsidR="00237856" w:rsidRPr="00951C1E" w:rsidRDefault="00237856" w:rsidP="00237856">
      <w:pPr>
        <w:spacing w:after="200" w:line="276" w:lineRule="auto"/>
        <w:ind w:left="720" w:hanging="720"/>
        <w:jc w:val="both"/>
        <w:rPr>
          <w:rFonts w:ascii="Arial" w:eastAsia="Calibri" w:hAnsi="Arial" w:cs="Arial"/>
          <w:sz w:val="24"/>
          <w:szCs w:val="24"/>
          <w:lang w:val="en-ZA"/>
        </w:rPr>
      </w:pPr>
      <w:r w:rsidRPr="00951C1E">
        <w:rPr>
          <w:rFonts w:ascii="Arial" w:eastAsia="Calibri" w:hAnsi="Arial" w:cs="Arial"/>
          <w:sz w:val="24"/>
          <w:szCs w:val="24"/>
          <w:lang w:val="en-ZA"/>
        </w:rPr>
        <w:t xml:space="preserve">(3)      whether all the relevant procedures, processes and regulations in appointing the sports trust were followed; if not, what is the position in this regard; if so what are the terms of reference of the trust?                         </w:t>
      </w:r>
      <w:r w:rsidRPr="00951C1E">
        <w:rPr>
          <w:rFonts w:ascii="Arial" w:eastAsia="Calibri" w:hAnsi="Arial" w:cs="Arial"/>
          <w:b/>
          <w:bCs/>
          <w:sz w:val="24"/>
          <w:szCs w:val="24"/>
          <w:lang w:val="en-ZA"/>
        </w:rPr>
        <w:t>NW 229E</w:t>
      </w:r>
    </w:p>
    <w:p w:rsidR="00237856" w:rsidRPr="00951C1E" w:rsidRDefault="00237856" w:rsidP="00237856">
      <w:pPr>
        <w:spacing w:after="0" w:line="252" w:lineRule="auto"/>
        <w:jc w:val="both"/>
        <w:rPr>
          <w:rFonts w:ascii="Arial" w:eastAsia="Calibri" w:hAnsi="Arial" w:cs="Arial"/>
          <w:b/>
          <w:bCs/>
          <w:sz w:val="40"/>
          <w:szCs w:val="40"/>
          <w:lang w:val="en-ZA"/>
        </w:rPr>
      </w:pPr>
    </w:p>
    <w:p w:rsidR="00237856" w:rsidRPr="00951C1E" w:rsidRDefault="00237856" w:rsidP="00237856">
      <w:pPr>
        <w:spacing w:after="200" w:line="276" w:lineRule="auto"/>
        <w:jc w:val="both"/>
        <w:rPr>
          <w:rFonts w:ascii="Arial" w:eastAsia="Calibri" w:hAnsi="Arial" w:cs="Arial"/>
          <w:b/>
          <w:bCs/>
          <w:sz w:val="40"/>
          <w:szCs w:val="40"/>
          <w:lang w:val="en-ZA"/>
        </w:rPr>
      </w:pPr>
      <w:r w:rsidRPr="00951C1E">
        <w:rPr>
          <w:rFonts w:ascii="Arial" w:eastAsia="Calibri" w:hAnsi="Arial" w:cs="Arial"/>
          <w:b/>
          <w:bCs/>
          <w:sz w:val="40"/>
          <w:szCs w:val="40"/>
          <w:lang w:val="en-ZA"/>
        </w:rPr>
        <w:t>REPLY</w:t>
      </w:r>
    </w:p>
    <w:p w:rsidR="00237856" w:rsidRPr="00951C1E" w:rsidRDefault="00237856" w:rsidP="00237856">
      <w:pPr>
        <w:numPr>
          <w:ilvl w:val="0"/>
          <w:numId w:val="1"/>
        </w:numPr>
        <w:spacing w:after="200" w:line="276" w:lineRule="auto"/>
        <w:contextualSpacing/>
        <w:rPr>
          <w:rFonts w:ascii="Times New Roman" w:eastAsia="Calibri" w:hAnsi="Times New Roman" w:cs="Times New Roman"/>
          <w:sz w:val="24"/>
          <w:szCs w:val="24"/>
          <w:lang w:val="en-ZA"/>
        </w:rPr>
      </w:pPr>
      <w:r w:rsidRPr="00951C1E">
        <w:rPr>
          <w:rFonts w:ascii="Arial" w:eastAsia="Calibri" w:hAnsi="Arial" w:cs="Arial"/>
          <w:sz w:val="24"/>
          <w:szCs w:val="24"/>
          <w:lang w:val="en-ZA"/>
        </w:rPr>
        <w:t xml:space="preserve">So far, only the first phase has been audited. The rollout of the entire R150 million has not been concluded and it is expected that the next phases will also be audited when concluded. </w:t>
      </w:r>
    </w:p>
    <w:p w:rsidR="00237856" w:rsidRPr="00951C1E" w:rsidRDefault="00237856" w:rsidP="00237856">
      <w:pPr>
        <w:spacing w:after="200" w:line="276" w:lineRule="auto"/>
        <w:ind w:left="1353"/>
        <w:contextualSpacing/>
        <w:jc w:val="both"/>
        <w:rPr>
          <w:rFonts w:ascii="Times New Roman" w:eastAsia="Calibri" w:hAnsi="Times New Roman" w:cs="Times New Roman"/>
          <w:sz w:val="24"/>
          <w:szCs w:val="24"/>
          <w:lang w:val="en-ZA"/>
        </w:rPr>
      </w:pPr>
    </w:p>
    <w:p w:rsidR="00237856" w:rsidRPr="00951C1E" w:rsidRDefault="00237856" w:rsidP="00237856">
      <w:pPr>
        <w:spacing w:after="200" w:line="276" w:lineRule="auto"/>
        <w:ind w:left="1440" w:hanging="720"/>
        <w:jc w:val="both"/>
        <w:rPr>
          <w:rFonts w:ascii="Times New Roman" w:eastAsia="Calibri" w:hAnsi="Times New Roman" w:cs="Times New Roman"/>
          <w:sz w:val="24"/>
          <w:szCs w:val="24"/>
          <w:lang w:val="en-ZA"/>
        </w:rPr>
      </w:pPr>
      <w:r w:rsidRPr="00951C1E">
        <w:rPr>
          <w:rFonts w:ascii="Arial" w:eastAsia="Calibri" w:hAnsi="Arial" w:cs="Arial"/>
          <w:sz w:val="24"/>
          <w:szCs w:val="24"/>
          <w:lang w:val="en-ZA"/>
        </w:rPr>
        <w:t>2. (a) The Audit was conducted by both Internal Audit of DSAC and the Auditor General. Both audit outcome reports have been issued to the accounting officer of the department.</w:t>
      </w:r>
    </w:p>
    <w:p w:rsidR="00237856" w:rsidRPr="00951C1E" w:rsidRDefault="00237856" w:rsidP="00237856">
      <w:pPr>
        <w:spacing w:after="0" w:line="240" w:lineRule="auto"/>
        <w:jc w:val="both"/>
        <w:rPr>
          <w:rFonts w:ascii="Arial" w:eastAsia="Calibri" w:hAnsi="Arial" w:cs="Arial"/>
          <w:sz w:val="24"/>
          <w:szCs w:val="24"/>
          <w:lang w:val="en-ZA"/>
        </w:rPr>
      </w:pPr>
      <w:r w:rsidRPr="00951C1E">
        <w:rPr>
          <w:rFonts w:ascii="Arial" w:eastAsia="Calibri" w:hAnsi="Arial" w:cs="Arial"/>
          <w:sz w:val="24"/>
          <w:szCs w:val="24"/>
          <w:lang w:val="en-ZA"/>
        </w:rPr>
        <w:t xml:space="preserve">              (b)  The department was content with the Auditor General process, who is   </w:t>
      </w:r>
    </w:p>
    <w:p w:rsidR="00237856" w:rsidRPr="00951C1E" w:rsidRDefault="00237856" w:rsidP="00237856">
      <w:pPr>
        <w:spacing w:after="0" w:line="240" w:lineRule="auto"/>
        <w:ind w:left="1353"/>
        <w:contextualSpacing/>
        <w:jc w:val="both"/>
        <w:rPr>
          <w:rFonts w:ascii="Arial" w:eastAsia="Calibri" w:hAnsi="Arial" w:cs="Arial"/>
          <w:sz w:val="24"/>
          <w:szCs w:val="24"/>
          <w:lang w:val="en-ZA"/>
        </w:rPr>
      </w:pPr>
      <w:r w:rsidRPr="00951C1E">
        <w:rPr>
          <w:rFonts w:ascii="Arial" w:eastAsia="Calibri" w:hAnsi="Arial" w:cs="Arial"/>
          <w:sz w:val="24"/>
          <w:szCs w:val="24"/>
          <w:lang w:val="en-ZA"/>
        </w:rPr>
        <w:t>  independent from the Department.</w:t>
      </w:r>
    </w:p>
    <w:p w:rsidR="00237856" w:rsidRPr="00951C1E" w:rsidRDefault="00237856" w:rsidP="00237856">
      <w:pPr>
        <w:spacing w:after="0" w:line="240" w:lineRule="auto"/>
        <w:ind w:left="1440" w:hanging="450"/>
        <w:jc w:val="both"/>
        <w:rPr>
          <w:rFonts w:ascii="Arial" w:eastAsia="Calibri" w:hAnsi="Arial" w:cs="Arial"/>
          <w:sz w:val="24"/>
          <w:szCs w:val="24"/>
          <w:lang w:val="en-ZA"/>
        </w:rPr>
      </w:pPr>
      <w:r w:rsidRPr="00951C1E">
        <w:rPr>
          <w:rFonts w:ascii="Arial" w:eastAsia="Calibri" w:hAnsi="Arial" w:cs="Arial"/>
          <w:sz w:val="24"/>
          <w:szCs w:val="24"/>
          <w:lang w:val="en-ZA"/>
        </w:rPr>
        <w:t>(c). The total amount transferred to the Sport Trust for Relief Funding is         R9.4m as per National Treasury approval.</w:t>
      </w:r>
    </w:p>
    <w:p w:rsidR="00237856" w:rsidRPr="00951C1E" w:rsidRDefault="00237856" w:rsidP="00237856">
      <w:pPr>
        <w:spacing w:after="200" w:line="276" w:lineRule="auto"/>
        <w:ind w:left="1353"/>
        <w:contextualSpacing/>
        <w:jc w:val="both"/>
        <w:rPr>
          <w:rFonts w:ascii="Arial" w:eastAsia="Calibri" w:hAnsi="Arial" w:cs="Arial"/>
          <w:sz w:val="24"/>
          <w:szCs w:val="24"/>
          <w:lang w:val="en-ZA"/>
        </w:rPr>
      </w:pPr>
    </w:p>
    <w:p w:rsidR="00237856" w:rsidRPr="00951C1E" w:rsidRDefault="00237856" w:rsidP="00237856">
      <w:pPr>
        <w:spacing w:after="200" w:line="276" w:lineRule="auto"/>
        <w:ind w:left="1440"/>
        <w:jc w:val="both"/>
        <w:rPr>
          <w:rFonts w:ascii="Arial" w:eastAsia="Calibri" w:hAnsi="Arial" w:cs="Arial"/>
          <w:sz w:val="24"/>
          <w:szCs w:val="24"/>
          <w:lang w:val="en-ZA"/>
        </w:rPr>
      </w:pPr>
      <w:r w:rsidRPr="00951C1E">
        <w:rPr>
          <w:rFonts w:ascii="Arial" w:eastAsia="Calibri" w:hAnsi="Arial" w:cs="Arial"/>
          <w:sz w:val="24"/>
          <w:szCs w:val="24"/>
          <w:lang w:val="en-ZA"/>
        </w:rPr>
        <w:t>(d).  Yes, there has not been any indication that the appointment of the Sports Trust was in anyway unfair. The Sports Trust is a Non-Profit Organization   that partners the Department on the delivery of sport and recreation initiatives and has proven to be efficient and effective.</w:t>
      </w:r>
    </w:p>
    <w:p w:rsidR="00237856" w:rsidRPr="00951C1E" w:rsidRDefault="00237856" w:rsidP="00237856">
      <w:pPr>
        <w:spacing w:after="200" w:line="276" w:lineRule="auto"/>
        <w:ind w:left="720" w:hanging="35"/>
        <w:jc w:val="both"/>
        <w:rPr>
          <w:rFonts w:ascii="Arial" w:eastAsia="Calibri" w:hAnsi="Arial" w:cs="Arial"/>
          <w:sz w:val="24"/>
          <w:szCs w:val="24"/>
          <w:lang w:val="en-ZA"/>
        </w:rPr>
      </w:pPr>
      <w:r w:rsidRPr="00951C1E">
        <w:rPr>
          <w:rFonts w:ascii="Arial" w:eastAsia="Calibri" w:hAnsi="Arial" w:cs="Arial"/>
          <w:sz w:val="24"/>
          <w:szCs w:val="24"/>
          <w:lang w:val="en-ZA"/>
        </w:rPr>
        <w:lastRenderedPageBreak/>
        <w:t>3.        Yes, the relevant procedures, processes and regulations were followed.            Before appointing the Sports Trust to assist in managing payments to the beneficiaries, the Department obtained approval from the National Treasury.</w:t>
      </w:r>
    </w:p>
    <w:p w:rsidR="00237856" w:rsidRPr="00951C1E" w:rsidRDefault="00237856" w:rsidP="00237856">
      <w:pPr>
        <w:spacing w:after="200" w:line="360" w:lineRule="auto"/>
        <w:jc w:val="both"/>
        <w:rPr>
          <w:rFonts w:ascii="Arial" w:eastAsia="Calibri" w:hAnsi="Arial" w:cs="Arial"/>
          <w:b/>
          <w:bCs/>
          <w:sz w:val="24"/>
          <w:szCs w:val="24"/>
          <w:lang w:val="en-ZA"/>
        </w:rPr>
      </w:pPr>
    </w:p>
    <w:p w:rsidR="00237856" w:rsidRPr="00951C1E" w:rsidRDefault="00237856" w:rsidP="00237856">
      <w:pPr>
        <w:spacing w:after="200" w:line="360" w:lineRule="auto"/>
        <w:jc w:val="both"/>
        <w:rPr>
          <w:rFonts w:ascii="Arial" w:eastAsia="Calibri" w:hAnsi="Arial" w:cs="Arial"/>
          <w:b/>
          <w:bCs/>
          <w:sz w:val="24"/>
          <w:szCs w:val="24"/>
          <w:lang w:val="en-ZA"/>
        </w:rPr>
      </w:pPr>
    </w:p>
    <w:p w:rsidR="00237856" w:rsidRPr="00951C1E" w:rsidRDefault="00237856" w:rsidP="00237856">
      <w:pPr>
        <w:spacing w:after="200" w:line="360" w:lineRule="auto"/>
        <w:jc w:val="both"/>
        <w:rPr>
          <w:rFonts w:ascii="Arial" w:eastAsia="Calibri" w:hAnsi="Arial" w:cs="Arial"/>
          <w:b/>
          <w:bCs/>
          <w:sz w:val="24"/>
          <w:szCs w:val="24"/>
          <w:lang w:val="en-ZA"/>
        </w:rPr>
      </w:pPr>
    </w:p>
    <w:p w:rsidR="00237856" w:rsidRPr="00951C1E" w:rsidRDefault="00237856" w:rsidP="00237856">
      <w:pPr>
        <w:spacing w:after="200" w:line="360" w:lineRule="auto"/>
        <w:jc w:val="both"/>
        <w:rPr>
          <w:rFonts w:ascii="Arial" w:eastAsia="Calibri" w:hAnsi="Arial" w:cs="Arial"/>
          <w:b/>
          <w:bCs/>
          <w:sz w:val="24"/>
          <w:szCs w:val="24"/>
          <w:lang w:val="en-ZA"/>
        </w:rPr>
      </w:pPr>
    </w:p>
    <w:p w:rsidR="00237856" w:rsidRPr="00951C1E" w:rsidRDefault="00237856" w:rsidP="00237856">
      <w:pPr>
        <w:spacing w:after="200" w:line="360" w:lineRule="auto"/>
        <w:jc w:val="both"/>
        <w:rPr>
          <w:rFonts w:ascii="Arial" w:eastAsia="Calibri" w:hAnsi="Arial" w:cs="Arial"/>
          <w:b/>
          <w:bCs/>
          <w:sz w:val="24"/>
          <w:szCs w:val="24"/>
          <w:lang w:val="en-ZA"/>
        </w:rPr>
      </w:pPr>
    </w:p>
    <w:p w:rsidR="00237856" w:rsidRPr="00951C1E" w:rsidRDefault="00237856" w:rsidP="00237856">
      <w:pPr>
        <w:spacing w:after="200" w:line="360" w:lineRule="auto"/>
        <w:jc w:val="both"/>
        <w:rPr>
          <w:rFonts w:ascii="Arial" w:eastAsia="Calibri" w:hAnsi="Arial" w:cs="Arial"/>
          <w:b/>
          <w:bCs/>
          <w:sz w:val="24"/>
          <w:szCs w:val="24"/>
          <w:lang w:val="en-ZA"/>
        </w:rPr>
      </w:pPr>
    </w:p>
    <w:p w:rsidR="00237856" w:rsidRPr="00951C1E" w:rsidRDefault="00237856" w:rsidP="00237856">
      <w:pPr>
        <w:spacing w:after="200" w:line="360" w:lineRule="auto"/>
        <w:jc w:val="both"/>
        <w:rPr>
          <w:rFonts w:ascii="Arial" w:eastAsia="Calibri" w:hAnsi="Arial" w:cs="Arial"/>
          <w:b/>
          <w:bCs/>
          <w:sz w:val="24"/>
          <w:szCs w:val="24"/>
          <w:lang w:val="en-ZA"/>
        </w:rPr>
      </w:pPr>
    </w:p>
    <w:p w:rsidR="00237856" w:rsidRPr="00951C1E" w:rsidRDefault="00237856" w:rsidP="00237856">
      <w:pPr>
        <w:spacing w:after="200" w:line="360" w:lineRule="auto"/>
        <w:jc w:val="both"/>
        <w:rPr>
          <w:rFonts w:ascii="Arial" w:eastAsia="Calibri" w:hAnsi="Arial" w:cs="Arial"/>
          <w:b/>
          <w:bCs/>
          <w:sz w:val="24"/>
          <w:szCs w:val="24"/>
          <w:lang w:val="en-ZA"/>
        </w:rPr>
      </w:pPr>
    </w:p>
    <w:p w:rsidR="00237856" w:rsidRPr="00951C1E" w:rsidRDefault="00237856" w:rsidP="00237856">
      <w:pPr>
        <w:spacing w:after="200" w:line="360" w:lineRule="auto"/>
        <w:jc w:val="both"/>
        <w:rPr>
          <w:rFonts w:ascii="Arial" w:eastAsia="Calibri" w:hAnsi="Arial" w:cs="Arial"/>
          <w:b/>
          <w:bCs/>
          <w:sz w:val="24"/>
          <w:szCs w:val="24"/>
          <w:lang w:val="en-ZA"/>
        </w:rPr>
      </w:pPr>
    </w:p>
    <w:p w:rsidR="00237856" w:rsidRPr="00951C1E" w:rsidRDefault="00237856" w:rsidP="00237856">
      <w:pPr>
        <w:spacing w:after="200" w:line="360" w:lineRule="auto"/>
        <w:jc w:val="both"/>
        <w:rPr>
          <w:rFonts w:ascii="Arial" w:eastAsia="Calibri" w:hAnsi="Arial" w:cs="Arial"/>
          <w:b/>
          <w:bCs/>
          <w:sz w:val="24"/>
          <w:szCs w:val="24"/>
          <w:lang w:val="en-ZA"/>
        </w:rPr>
      </w:pPr>
    </w:p>
    <w:p w:rsidR="00237856" w:rsidRPr="00951C1E" w:rsidRDefault="00237856" w:rsidP="00237856">
      <w:pPr>
        <w:spacing w:after="200" w:line="360" w:lineRule="auto"/>
        <w:jc w:val="both"/>
        <w:rPr>
          <w:rFonts w:ascii="Arial" w:eastAsia="Calibri" w:hAnsi="Arial" w:cs="Arial"/>
          <w:b/>
          <w:bCs/>
          <w:sz w:val="24"/>
          <w:szCs w:val="24"/>
          <w:lang w:val="en-ZA"/>
        </w:rPr>
      </w:pPr>
    </w:p>
    <w:p w:rsidR="00237856" w:rsidRPr="00951C1E" w:rsidRDefault="00237856" w:rsidP="00237856">
      <w:pPr>
        <w:spacing w:after="200" w:line="360" w:lineRule="auto"/>
        <w:jc w:val="both"/>
        <w:rPr>
          <w:rFonts w:ascii="Arial" w:eastAsia="Calibri" w:hAnsi="Arial" w:cs="Arial"/>
          <w:b/>
          <w:bCs/>
          <w:sz w:val="24"/>
          <w:szCs w:val="24"/>
          <w:lang w:val="en-ZA"/>
        </w:rPr>
      </w:pPr>
    </w:p>
    <w:p w:rsidR="00237856" w:rsidRPr="00951C1E" w:rsidRDefault="00237856" w:rsidP="00237856">
      <w:pPr>
        <w:spacing w:after="200" w:line="360" w:lineRule="auto"/>
        <w:jc w:val="both"/>
        <w:rPr>
          <w:rFonts w:ascii="Arial" w:eastAsia="Calibri" w:hAnsi="Arial" w:cs="Arial"/>
          <w:b/>
          <w:bCs/>
          <w:sz w:val="24"/>
          <w:szCs w:val="24"/>
          <w:lang w:val="en-ZA"/>
        </w:rPr>
      </w:pPr>
    </w:p>
    <w:p w:rsidR="00237856" w:rsidRPr="00951C1E" w:rsidRDefault="00237856" w:rsidP="00237856">
      <w:pPr>
        <w:spacing w:after="200" w:line="360" w:lineRule="auto"/>
        <w:jc w:val="both"/>
        <w:rPr>
          <w:rFonts w:ascii="Arial" w:eastAsia="Calibri" w:hAnsi="Arial" w:cs="Arial"/>
          <w:b/>
          <w:bCs/>
          <w:sz w:val="24"/>
          <w:szCs w:val="24"/>
          <w:lang w:val="en-ZA"/>
        </w:rPr>
      </w:pPr>
    </w:p>
    <w:p w:rsidR="00237856" w:rsidRPr="00951C1E" w:rsidRDefault="00237856" w:rsidP="00237856">
      <w:pPr>
        <w:spacing w:after="200" w:line="360" w:lineRule="auto"/>
        <w:jc w:val="both"/>
        <w:rPr>
          <w:rFonts w:ascii="Arial" w:eastAsia="Calibri" w:hAnsi="Arial" w:cs="Arial"/>
          <w:b/>
          <w:bCs/>
          <w:sz w:val="24"/>
          <w:szCs w:val="24"/>
          <w:lang w:val="en-ZA"/>
        </w:rPr>
      </w:pPr>
    </w:p>
    <w:p w:rsidR="00237856" w:rsidRPr="00951C1E" w:rsidRDefault="00237856" w:rsidP="00237856">
      <w:pPr>
        <w:spacing w:after="200" w:line="360" w:lineRule="auto"/>
        <w:jc w:val="both"/>
        <w:rPr>
          <w:rFonts w:ascii="Arial" w:eastAsia="Calibri" w:hAnsi="Arial" w:cs="Arial"/>
          <w:b/>
          <w:bCs/>
          <w:sz w:val="24"/>
          <w:szCs w:val="24"/>
          <w:lang w:val="en-ZA"/>
        </w:rPr>
      </w:pPr>
    </w:p>
    <w:p w:rsidR="00237856" w:rsidRPr="00951C1E" w:rsidRDefault="00237856" w:rsidP="00237856">
      <w:pPr>
        <w:spacing w:after="200" w:line="360" w:lineRule="auto"/>
        <w:jc w:val="both"/>
        <w:rPr>
          <w:rFonts w:ascii="Arial" w:eastAsia="Calibri" w:hAnsi="Arial" w:cs="Arial"/>
          <w:b/>
          <w:bCs/>
          <w:sz w:val="24"/>
          <w:szCs w:val="24"/>
          <w:lang w:val="en-ZA"/>
        </w:rPr>
      </w:pPr>
    </w:p>
    <w:p w:rsidR="006A33F5" w:rsidRDefault="00B34A2C"/>
    <w:sectPr w:rsidR="006A33F5" w:rsidSect="001014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10B44"/>
    <w:multiLevelType w:val="hybridMultilevel"/>
    <w:tmpl w:val="2B1AFB3C"/>
    <w:lvl w:ilvl="0" w:tplc="34BC6334">
      <w:start w:val="1"/>
      <w:numFmt w:val="decimal"/>
      <w:lvlText w:val="%1."/>
      <w:lvlJc w:val="left"/>
      <w:pPr>
        <w:ind w:left="915" w:hanging="360"/>
      </w:pPr>
      <w:rPr>
        <w:rFonts w:ascii="Arial" w:hAnsi="Arial" w:cs="Times New Roman" w:hint="default"/>
      </w:rPr>
    </w:lvl>
    <w:lvl w:ilvl="1" w:tplc="1C090019">
      <w:start w:val="1"/>
      <w:numFmt w:val="lowerLetter"/>
      <w:lvlText w:val="%2."/>
      <w:lvlJc w:val="left"/>
      <w:pPr>
        <w:ind w:left="1635" w:hanging="360"/>
      </w:pPr>
    </w:lvl>
    <w:lvl w:ilvl="2" w:tplc="1C09001B">
      <w:start w:val="1"/>
      <w:numFmt w:val="lowerRoman"/>
      <w:lvlText w:val="%3."/>
      <w:lvlJc w:val="right"/>
      <w:pPr>
        <w:ind w:left="2355" w:hanging="180"/>
      </w:pPr>
    </w:lvl>
    <w:lvl w:ilvl="3" w:tplc="1C09000F">
      <w:start w:val="1"/>
      <w:numFmt w:val="decimal"/>
      <w:lvlText w:val="%4."/>
      <w:lvlJc w:val="left"/>
      <w:pPr>
        <w:ind w:left="3075" w:hanging="360"/>
      </w:pPr>
    </w:lvl>
    <w:lvl w:ilvl="4" w:tplc="1C090019">
      <w:start w:val="1"/>
      <w:numFmt w:val="lowerLetter"/>
      <w:lvlText w:val="%5."/>
      <w:lvlJc w:val="left"/>
      <w:pPr>
        <w:ind w:left="3795" w:hanging="360"/>
      </w:pPr>
    </w:lvl>
    <w:lvl w:ilvl="5" w:tplc="1C09001B">
      <w:start w:val="1"/>
      <w:numFmt w:val="lowerRoman"/>
      <w:lvlText w:val="%6."/>
      <w:lvlJc w:val="right"/>
      <w:pPr>
        <w:ind w:left="4515" w:hanging="180"/>
      </w:pPr>
    </w:lvl>
    <w:lvl w:ilvl="6" w:tplc="1C09000F">
      <w:start w:val="1"/>
      <w:numFmt w:val="decimal"/>
      <w:lvlText w:val="%7."/>
      <w:lvlJc w:val="left"/>
      <w:pPr>
        <w:ind w:left="5235" w:hanging="360"/>
      </w:pPr>
    </w:lvl>
    <w:lvl w:ilvl="7" w:tplc="1C090019">
      <w:start w:val="1"/>
      <w:numFmt w:val="lowerLetter"/>
      <w:lvlText w:val="%8."/>
      <w:lvlJc w:val="left"/>
      <w:pPr>
        <w:ind w:left="5955" w:hanging="360"/>
      </w:pPr>
    </w:lvl>
    <w:lvl w:ilvl="8" w:tplc="1C09001B">
      <w:start w:val="1"/>
      <w:numFmt w:val="lowerRoman"/>
      <w:lvlText w:val="%9."/>
      <w:lvlJc w:val="right"/>
      <w:pPr>
        <w:ind w:left="66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37856"/>
    <w:rsid w:val="00101468"/>
    <w:rsid w:val="00237856"/>
    <w:rsid w:val="00B34A2C"/>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2021-03-08T13:28:00Z</dcterms:created>
  <dcterms:modified xsi:type="dcterms:W3CDTF">2021-03-08T13:28:00Z</dcterms:modified>
</cp:coreProperties>
</file>