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6C4414">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6C4414">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6C4414">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6C4414">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9120C">
        <w:rPr>
          <w:rFonts w:ascii="Tahoma" w:hAnsi="Tahoma" w:cs="Tahoma"/>
          <w:b/>
          <w:bCs/>
          <w:sz w:val="22"/>
          <w:szCs w:val="22"/>
          <w:lang w:val="en-ZA"/>
        </w:rPr>
        <w:t>2259</w:t>
      </w:r>
    </w:p>
    <w:p w:rsidR="008960B2" w:rsidRPr="00987C9F" w:rsidRDefault="008960B2" w:rsidP="008960B2">
      <w:pPr>
        <w:rPr>
          <w:rFonts w:ascii="Tahoma" w:hAnsi="Tahoma" w:cs="Tahoma"/>
          <w:b/>
          <w:bCs/>
          <w:sz w:val="22"/>
          <w:szCs w:val="22"/>
          <w:lang w:val="en-ZA"/>
        </w:rPr>
      </w:pPr>
    </w:p>
    <w:p w:rsidR="003042F7" w:rsidRPr="00694D5B" w:rsidRDefault="003042F7" w:rsidP="003042F7">
      <w:pPr>
        <w:spacing w:line="360" w:lineRule="auto"/>
        <w:jc w:val="both"/>
        <w:rPr>
          <w:rFonts w:ascii="Arial" w:hAnsi="Arial" w:cs="Arial"/>
          <w:bCs/>
          <w:sz w:val="16"/>
          <w:szCs w:val="16"/>
        </w:rPr>
      </w:pPr>
    </w:p>
    <w:p w:rsidR="003042F7" w:rsidRDefault="00D05760" w:rsidP="003042F7">
      <w:pPr>
        <w:autoSpaceDE w:val="0"/>
        <w:autoSpaceDN w:val="0"/>
        <w:adjustRightInd w:val="0"/>
        <w:rPr>
          <w:rFonts w:ascii="Arial" w:hAnsi="Arial" w:cs="Arial"/>
          <w:b/>
          <w:sz w:val="22"/>
          <w:szCs w:val="22"/>
        </w:rPr>
      </w:pPr>
      <w:r w:rsidRPr="00D05760">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BXaSLg5AAAABIBAAAPAAAAAAAAAAAAAAAAAOoEAABkcnMvZG93bnJl&#10;di54bWxQSwECLQAUAAYACAAAACEAer9Us6cCAABJBgAAEAAAAAAAAAAAAAAAAAD7BQAAZHJzL2lu&#10;ay9pbmsxLnhtbFBLBQYAAAAABgAGAHgBAADQCAAAAAA=&#10;">
            <v:imagedata r:id="rId10"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p>
    <w:p w:rsidR="00B37D9A" w:rsidRDefault="00B37D9A" w:rsidP="003042F7">
      <w:pPr>
        <w:autoSpaceDE w:val="0"/>
        <w:autoSpaceDN w:val="0"/>
        <w:adjustRightInd w:val="0"/>
        <w:rPr>
          <w:rFonts w:ascii="Arial" w:hAnsi="Arial" w:cs="Arial"/>
          <w:b/>
          <w:sz w:val="22"/>
          <w:szCs w:val="22"/>
        </w:rPr>
      </w:pPr>
    </w:p>
    <w:p w:rsidR="0089120C" w:rsidRPr="0089120C" w:rsidRDefault="0089120C" w:rsidP="0089120C">
      <w:pPr>
        <w:spacing w:before="100" w:beforeAutospacing="1" w:after="100" w:afterAutospacing="1" w:line="360" w:lineRule="auto"/>
        <w:ind w:left="720" w:hanging="720"/>
        <w:jc w:val="both"/>
        <w:outlineLvl w:val="0"/>
        <w:rPr>
          <w:rFonts w:ascii="Arial" w:hAnsi="Arial" w:cs="Arial"/>
          <w:b/>
        </w:rPr>
      </w:pPr>
      <w:r w:rsidRPr="0089120C">
        <w:rPr>
          <w:rFonts w:ascii="Arial" w:hAnsi="Arial" w:cs="Arial"/>
          <w:b/>
        </w:rPr>
        <w:t>2259.</w:t>
      </w:r>
      <w:r w:rsidRPr="0089120C">
        <w:rPr>
          <w:rFonts w:ascii="Arial" w:hAnsi="Arial" w:cs="Arial"/>
          <w:b/>
        </w:rPr>
        <w:tab/>
        <w:t>The Leader of the Opposition (DA) to ask the Minister of Public Enterprises</w:t>
      </w:r>
      <w:r w:rsidR="00D05760" w:rsidRPr="0089120C">
        <w:rPr>
          <w:rFonts w:ascii="Arial" w:hAnsi="Arial" w:cs="Arial"/>
          <w:b/>
        </w:rPr>
        <w:fldChar w:fldCharType="begin"/>
      </w:r>
      <w:r w:rsidRPr="0089120C">
        <w:rPr>
          <w:rFonts w:ascii="Arial" w:hAnsi="Arial" w:cs="Arial"/>
        </w:rPr>
        <w:instrText xml:space="preserve"> XE "</w:instrText>
      </w:r>
      <w:r w:rsidRPr="0089120C">
        <w:rPr>
          <w:rFonts w:ascii="Arial" w:hAnsi="Arial" w:cs="Arial"/>
          <w:b/>
          <w:lang w:val="en-GB"/>
        </w:rPr>
        <w:instrText>Public Enterprises</w:instrText>
      </w:r>
      <w:r w:rsidRPr="0089120C">
        <w:rPr>
          <w:rFonts w:ascii="Arial" w:hAnsi="Arial" w:cs="Arial"/>
        </w:rPr>
        <w:instrText xml:space="preserve">" </w:instrText>
      </w:r>
      <w:r w:rsidR="00D05760" w:rsidRPr="0089120C">
        <w:rPr>
          <w:rFonts w:ascii="Arial" w:hAnsi="Arial" w:cs="Arial"/>
          <w:b/>
        </w:rPr>
        <w:fldChar w:fldCharType="end"/>
      </w:r>
      <w:r w:rsidRPr="0089120C">
        <w:rPr>
          <w:rFonts w:ascii="Arial" w:hAnsi="Arial" w:cs="Arial"/>
          <w:b/>
        </w:rPr>
        <w:t xml:space="preserve">: </w:t>
      </w:r>
    </w:p>
    <w:p w:rsidR="0067562C" w:rsidRDefault="0089120C" w:rsidP="0089120C">
      <w:pPr>
        <w:pStyle w:val="BodyTextIndent2"/>
        <w:tabs>
          <w:tab w:val="left" w:pos="720"/>
        </w:tabs>
        <w:spacing w:before="100" w:beforeAutospacing="1" w:after="100" w:afterAutospacing="1" w:line="360" w:lineRule="auto"/>
        <w:ind w:left="720"/>
        <w:jc w:val="both"/>
        <w:rPr>
          <w:rFonts w:ascii="Arial" w:hAnsi="Arial" w:cs="Arial"/>
        </w:rPr>
      </w:pPr>
      <w:r w:rsidRPr="0089120C">
        <w:rPr>
          <w:rFonts w:ascii="Arial" w:hAnsi="Arial" w:cs="Arial"/>
        </w:rPr>
        <w:t xml:space="preserve">What </w:t>
      </w:r>
    </w:p>
    <w:p w:rsidR="00BE323E" w:rsidRDefault="0067562C" w:rsidP="00E44076">
      <w:pPr>
        <w:pStyle w:val="BodyTextIndent2"/>
        <w:numPr>
          <w:ilvl w:val="0"/>
          <w:numId w:val="43"/>
        </w:numPr>
        <w:tabs>
          <w:tab w:val="left" w:pos="720"/>
        </w:tabs>
        <w:spacing w:before="100" w:beforeAutospacing="1" w:after="100" w:afterAutospacing="1" w:line="360" w:lineRule="auto"/>
        <w:ind w:right="-7"/>
        <w:jc w:val="both"/>
        <w:rPr>
          <w:rFonts w:ascii="Arial" w:hAnsi="Arial" w:cs="Arial"/>
        </w:rPr>
      </w:pPr>
      <w:r>
        <w:rPr>
          <w:rFonts w:ascii="Arial" w:hAnsi="Arial" w:cs="Arial"/>
        </w:rPr>
        <w:t>A</w:t>
      </w:r>
      <w:r w:rsidR="0089120C" w:rsidRPr="0089120C">
        <w:rPr>
          <w:rFonts w:ascii="Arial" w:hAnsi="Arial" w:cs="Arial"/>
        </w:rPr>
        <w:t xml:space="preserve">re the relevant details of the submissions made by his department </w:t>
      </w:r>
      <w:r w:rsidR="0089120C" w:rsidRPr="00F254BF">
        <w:rPr>
          <w:rFonts w:ascii="Arial" w:hAnsi="Arial" w:cs="Arial"/>
        </w:rPr>
        <w:t xml:space="preserve">to the Competition Commission regarding South32’s acquisition of 91,8% shares </w:t>
      </w:r>
      <w:r w:rsidR="00F254BF">
        <w:rPr>
          <w:rFonts w:ascii="Arial" w:hAnsi="Arial" w:cs="Arial"/>
        </w:rPr>
        <w:t>i</w:t>
      </w:r>
      <w:r w:rsidR="0089120C" w:rsidRPr="00F254BF">
        <w:rPr>
          <w:rFonts w:ascii="Arial" w:hAnsi="Arial" w:cs="Arial"/>
        </w:rPr>
        <w:t>n SA Energy Coal by Seriti Resource Holdings and</w:t>
      </w:r>
      <w:r w:rsidR="00BE323E">
        <w:rPr>
          <w:rFonts w:ascii="Arial" w:hAnsi="Arial" w:cs="Arial"/>
        </w:rPr>
        <w:t>;</w:t>
      </w:r>
    </w:p>
    <w:p w:rsidR="0089120C" w:rsidRPr="00E44076" w:rsidRDefault="0067562C" w:rsidP="00E44076">
      <w:pPr>
        <w:pStyle w:val="BodyTextIndent2"/>
        <w:numPr>
          <w:ilvl w:val="0"/>
          <w:numId w:val="43"/>
        </w:numPr>
        <w:spacing w:before="100" w:beforeAutospacing="1" w:after="100" w:afterAutospacing="1" w:line="360" w:lineRule="auto"/>
        <w:ind w:left="1418" w:right="-7" w:hanging="709"/>
        <w:jc w:val="both"/>
        <w:rPr>
          <w:rFonts w:ascii="Arial" w:hAnsi="Arial" w:cs="Arial"/>
        </w:rPr>
      </w:pPr>
      <w:r w:rsidRPr="00E44076">
        <w:rPr>
          <w:rFonts w:ascii="Arial" w:hAnsi="Arial" w:cs="Arial"/>
        </w:rPr>
        <w:t>I</w:t>
      </w:r>
      <w:r w:rsidR="0089120C" w:rsidRPr="00E44076">
        <w:rPr>
          <w:rFonts w:ascii="Arial" w:hAnsi="Arial" w:cs="Arial"/>
        </w:rPr>
        <w:t>s his department’s position on the deal that will result in nearly 72% of Eskom’s coal supply coming from only two companies?</w:t>
      </w:r>
      <w:r w:rsidR="00F254BF" w:rsidRPr="00E44076">
        <w:rPr>
          <w:rFonts w:ascii="Arial" w:hAnsi="Arial" w:cs="Arial"/>
        </w:rPr>
        <w:tab/>
      </w:r>
      <w:r w:rsidR="0089120C" w:rsidRPr="00E44076">
        <w:rPr>
          <w:rFonts w:ascii="Arial" w:hAnsi="Arial" w:cs="Arial"/>
        </w:rPr>
        <w:t>NW2831E</w:t>
      </w:r>
    </w:p>
    <w:p w:rsidR="003042F7" w:rsidRPr="006C4414" w:rsidRDefault="003042F7" w:rsidP="00ED0FA4">
      <w:pPr>
        <w:spacing w:line="360" w:lineRule="auto"/>
        <w:jc w:val="both"/>
        <w:outlineLvl w:val="0"/>
        <w:rPr>
          <w:rFonts w:ascii="Arial" w:hAnsi="Arial" w:cs="Arial"/>
          <w:b/>
          <w:sz w:val="22"/>
          <w:szCs w:val="22"/>
          <w:u w:val="single"/>
        </w:rPr>
      </w:pPr>
      <w:r w:rsidRPr="006C4414">
        <w:rPr>
          <w:rFonts w:ascii="Arial" w:hAnsi="Arial" w:cs="Arial"/>
          <w:b/>
          <w:u w:val="single"/>
        </w:rPr>
        <w:t>REPLY</w:t>
      </w:r>
      <w:r w:rsidRPr="006C4414">
        <w:rPr>
          <w:rFonts w:ascii="Arial" w:hAnsi="Arial" w:cs="Arial"/>
          <w:b/>
          <w:sz w:val="22"/>
          <w:szCs w:val="22"/>
          <w:u w:val="single"/>
        </w:rPr>
        <w:t>:</w:t>
      </w:r>
    </w:p>
    <w:tbl>
      <w:tblPr>
        <w:tblStyle w:val="TableGrid"/>
        <w:tblW w:w="9401"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01"/>
      </w:tblGrid>
      <w:tr w:rsidR="00C81161" w:rsidRPr="00FE12B6" w:rsidTr="00E44076">
        <w:tc>
          <w:tcPr>
            <w:tcW w:w="9401" w:type="dxa"/>
          </w:tcPr>
          <w:p w:rsidR="00C81161" w:rsidRPr="00C81161" w:rsidRDefault="00C81161" w:rsidP="00E44076">
            <w:pPr>
              <w:pStyle w:val="ListParagraph"/>
              <w:numPr>
                <w:ilvl w:val="0"/>
                <w:numId w:val="42"/>
              </w:numPr>
              <w:spacing w:before="100" w:beforeAutospacing="1" w:after="100" w:afterAutospacing="1" w:line="360" w:lineRule="auto"/>
              <w:ind w:left="646" w:hanging="709"/>
              <w:jc w:val="both"/>
              <w:outlineLvl w:val="0"/>
              <w:rPr>
                <w:rFonts w:ascii="Arial" w:hAnsi="Arial" w:cs="Arial"/>
              </w:rPr>
            </w:pPr>
            <w:r w:rsidRPr="00C81161">
              <w:rPr>
                <w:rFonts w:ascii="Arial" w:hAnsi="Arial" w:cs="Arial"/>
              </w:rPr>
              <w:t>The Department provided its views in terms of the potential impact that the merger between Seriti Resources Holdings and SA Energy Coal may likely have on the energy coal sector. Amongst others, these views included: (i) the potential impact the merger might have on security of coal supply, particularly on Eskom electricity generation requirements;(ii) the electricity pricing effects the merger might have on the economy given the current socio economic challenges</w:t>
            </w:r>
            <w:r w:rsidR="007D60AF">
              <w:rPr>
                <w:rFonts w:ascii="Arial" w:hAnsi="Arial" w:cs="Arial"/>
              </w:rPr>
              <w:t xml:space="preserve"> the country is confronted with.</w:t>
            </w:r>
          </w:p>
        </w:tc>
      </w:tr>
      <w:tr w:rsidR="00C81161" w:rsidRPr="003E6595" w:rsidTr="00E44076">
        <w:tc>
          <w:tcPr>
            <w:tcW w:w="9401" w:type="dxa"/>
          </w:tcPr>
          <w:p w:rsidR="00C81161" w:rsidRPr="00E44076" w:rsidRDefault="00F254BF" w:rsidP="00112CCD">
            <w:pPr>
              <w:pStyle w:val="ListParagraph"/>
              <w:numPr>
                <w:ilvl w:val="0"/>
                <w:numId w:val="42"/>
              </w:numPr>
              <w:spacing w:before="100" w:beforeAutospacing="1" w:after="100" w:afterAutospacing="1" w:line="360" w:lineRule="auto"/>
              <w:ind w:left="646" w:hanging="709"/>
              <w:jc w:val="both"/>
              <w:outlineLvl w:val="0"/>
              <w:rPr>
                <w:rFonts w:ascii="Arial" w:hAnsi="Arial" w:cs="Arial"/>
              </w:rPr>
            </w:pPr>
            <w:r w:rsidRPr="00E44076">
              <w:rPr>
                <w:rFonts w:ascii="Arial" w:hAnsi="Arial" w:cs="Arial"/>
              </w:rPr>
              <w:t>S</w:t>
            </w:r>
            <w:r w:rsidR="00C81161" w:rsidRPr="00E44076">
              <w:rPr>
                <w:rFonts w:ascii="Arial" w:hAnsi="Arial" w:cs="Arial"/>
              </w:rPr>
              <w:t>ecurity of coal supply is of primary importance to ensure Eskom meets the demand for electricity. Eskom for the past three years embarked on coal procurement exercise to ensure that long term coal supply agreements are secured for the majority of the coal fired power stations.</w:t>
            </w:r>
          </w:p>
          <w:p w:rsidR="00E44076" w:rsidRDefault="00E44076" w:rsidP="00E44076">
            <w:pPr>
              <w:spacing w:before="100" w:beforeAutospacing="1" w:after="100" w:afterAutospacing="1" w:line="360" w:lineRule="auto"/>
              <w:ind w:left="646" w:hanging="709"/>
              <w:jc w:val="both"/>
              <w:outlineLvl w:val="0"/>
              <w:rPr>
                <w:rFonts w:ascii="Arial" w:hAnsi="Arial" w:cs="Arial"/>
              </w:rPr>
            </w:pPr>
            <w:r>
              <w:rPr>
                <w:rFonts w:ascii="Arial" w:hAnsi="Arial" w:cs="Arial"/>
              </w:rPr>
              <w:tab/>
            </w:r>
            <w:r w:rsidR="00C81161" w:rsidRPr="00C81161">
              <w:rPr>
                <w:rFonts w:ascii="Arial" w:hAnsi="Arial" w:cs="Arial"/>
              </w:rPr>
              <w:t xml:space="preserve">Ownership and access to the state’s mineral assets is effective through the Mineral and Petroleum Resources Development Act, 2002 (MRPDA) and Mining </w:t>
            </w:r>
          </w:p>
          <w:p w:rsidR="00E44076" w:rsidRDefault="00E44076" w:rsidP="00E44076">
            <w:pPr>
              <w:spacing w:before="100" w:beforeAutospacing="1" w:after="100" w:afterAutospacing="1" w:line="360" w:lineRule="auto"/>
              <w:jc w:val="both"/>
              <w:outlineLvl w:val="0"/>
              <w:rPr>
                <w:rFonts w:ascii="Arial" w:hAnsi="Arial" w:cs="Arial"/>
              </w:rPr>
            </w:pPr>
          </w:p>
          <w:p w:rsidR="00C81161" w:rsidRPr="00C81161" w:rsidRDefault="00C81161" w:rsidP="00E44076">
            <w:pPr>
              <w:spacing w:before="100" w:beforeAutospacing="1" w:after="100" w:afterAutospacing="1" w:line="360" w:lineRule="auto"/>
              <w:ind w:left="646"/>
              <w:jc w:val="both"/>
              <w:outlineLvl w:val="0"/>
              <w:rPr>
                <w:rFonts w:ascii="Arial" w:hAnsi="Arial" w:cs="Arial"/>
              </w:rPr>
            </w:pPr>
            <w:r w:rsidRPr="00C81161">
              <w:rPr>
                <w:rFonts w:ascii="Arial" w:hAnsi="Arial" w:cs="Arial"/>
              </w:rPr>
              <w:lastRenderedPageBreak/>
              <w:t xml:space="preserve">Charter. The DMRE is the authority in terms of determining effective ownership of these assets. The Department of Trade, Industry and Competition (DTIC) </w:t>
            </w:r>
            <w:r w:rsidR="00F254BF">
              <w:rPr>
                <w:rFonts w:ascii="Arial" w:hAnsi="Arial" w:cs="Arial"/>
              </w:rPr>
              <w:t>intervenes</w:t>
            </w:r>
            <w:r w:rsidRPr="00C81161">
              <w:rPr>
                <w:rFonts w:ascii="Arial" w:hAnsi="Arial" w:cs="Arial"/>
              </w:rPr>
              <w:t xml:space="preserve"> through the Competition Commission if there are likely effects of substantially lessening or prevention of competition in the sector. </w:t>
            </w:r>
          </w:p>
        </w:tc>
      </w:tr>
    </w:tbl>
    <w:p w:rsidR="00C81161" w:rsidRDefault="00C81161" w:rsidP="00E575C0">
      <w:pPr>
        <w:contextualSpacing/>
        <w:jc w:val="both"/>
        <w:rPr>
          <w:rFonts w:ascii="Arial" w:hAnsi="Arial" w:cs="Arial"/>
          <w:b/>
          <w:bCs/>
          <w:lang w:val="en-ZA"/>
        </w:rPr>
      </w:pPr>
    </w:p>
    <w:p w:rsidR="00E44076" w:rsidRPr="00E44076" w:rsidRDefault="00E44076" w:rsidP="00E44076">
      <w:pPr>
        <w:spacing w:line="360" w:lineRule="auto"/>
        <w:rPr>
          <w:rFonts w:ascii="Arial" w:hAnsi="Arial" w:cs="Arial"/>
          <w:b/>
          <w:bCs/>
          <w:lang w:val="en-ZA"/>
        </w:rPr>
      </w:pPr>
      <w:r w:rsidRPr="00E44076">
        <w:rPr>
          <w:rFonts w:ascii="Arial" w:hAnsi="Arial" w:cs="Arial"/>
          <w:b/>
          <w:lang w:val="en-ZA" w:eastAsia="en-ZA"/>
        </w:rPr>
        <w:t>Eskom on Managing Risk</w:t>
      </w:r>
    </w:p>
    <w:p w:rsidR="00E44076" w:rsidRDefault="00E44076" w:rsidP="00E44076">
      <w:pPr>
        <w:spacing w:line="360" w:lineRule="auto"/>
        <w:ind w:left="142"/>
        <w:rPr>
          <w:rFonts w:ascii="Arial" w:hAnsi="Arial" w:cs="Arial"/>
          <w:b/>
          <w:bCs/>
          <w:lang w:val="en-ZA"/>
        </w:rPr>
      </w:pPr>
    </w:p>
    <w:p w:rsidR="00E44076" w:rsidRPr="00E44076" w:rsidRDefault="00E44076" w:rsidP="00E44076">
      <w:pPr>
        <w:pStyle w:val="ListParagraph"/>
        <w:numPr>
          <w:ilvl w:val="0"/>
          <w:numId w:val="44"/>
        </w:numPr>
        <w:spacing w:line="360" w:lineRule="auto"/>
        <w:ind w:left="567" w:hanging="567"/>
        <w:jc w:val="both"/>
        <w:rPr>
          <w:rFonts w:ascii="Arial" w:hAnsi="Arial" w:cs="Arial"/>
          <w:lang w:eastAsia="en-ZA"/>
        </w:rPr>
      </w:pPr>
      <w:r w:rsidRPr="00E44076">
        <w:rPr>
          <w:rFonts w:ascii="Arial" w:hAnsi="Arial" w:cs="Arial"/>
          <w:lang w:eastAsia="en-ZA"/>
        </w:rPr>
        <w:t>Eskom estimates that the Seriti supply share after the transaction would increase to approximately 28% from 17% based on FY2020 delivery volumes. It is estimated that the two largest suppliers will account for approximately 55% of Eskom’s coal supply based on FY2020 delivery volumes.  However, this may vary slightly subject to changes in Eskom’s coal demand and the mines’ production profiles.</w:t>
      </w:r>
    </w:p>
    <w:p w:rsidR="00E44076" w:rsidRPr="00E44076" w:rsidRDefault="00E44076" w:rsidP="00E44076">
      <w:pPr>
        <w:spacing w:line="360" w:lineRule="auto"/>
        <w:ind w:left="567" w:hanging="567"/>
        <w:jc w:val="both"/>
        <w:rPr>
          <w:rFonts w:ascii="Arial" w:hAnsi="Arial" w:cs="Arial"/>
          <w:lang w:val="en-ZA" w:eastAsia="en-ZA"/>
        </w:rPr>
      </w:pPr>
    </w:p>
    <w:p w:rsidR="00E44076" w:rsidRPr="00E44076" w:rsidRDefault="00E44076" w:rsidP="00E44076">
      <w:pPr>
        <w:pStyle w:val="ListParagraph"/>
        <w:numPr>
          <w:ilvl w:val="0"/>
          <w:numId w:val="44"/>
        </w:numPr>
        <w:spacing w:line="360" w:lineRule="auto"/>
        <w:ind w:left="567" w:hanging="567"/>
        <w:jc w:val="both"/>
        <w:rPr>
          <w:rFonts w:ascii="Arial" w:hAnsi="Arial" w:cs="Arial"/>
          <w:lang w:eastAsia="en-ZA"/>
        </w:rPr>
      </w:pPr>
      <w:r w:rsidRPr="00E44076">
        <w:rPr>
          <w:rFonts w:ascii="Arial" w:hAnsi="Arial" w:cs="Arial"/>
          <w:lang w:eastAsia="en-ZA"/>
        </w:rPr>
        <w:t>Approximately 28% of Eskom’s supply is supplied from the cost plus mines. Post the Seriti/South32 merger, this percentage will remain the same and is approximately half of the 55% of the post-merger supply. Under the cost plus arrangement, Eskom is responsible for the majority of the operating, capital and rehabilitation costs of these mines. The supply risk also resides with Eskom.</w:t>
      </w:r>
    </w:p>
    <w:p w:rsidR="00E44076" w:rsidRPr="00E44076" w:rsidRDefault="00E44076" w:rsidP="00E44076">
      <w:pPr>
        <w:spacing w:line="360" w:lineRule="auto"/>
        <w:ind w:left="567" w:hanging="567"/>
        <w:jc w:val="both"/>
        <w:rPr>
          <w:rFonts w:ascii="Arial" w:hAnsi="Arial" w:cs="Arial"/>
          <w:lang w:val="en-ZA" w:eastAsia="en-ZA"/>
        </w:rPr>
      </w:pPr>
    </w:p>
    <w:p w:rsidR="00E44076" w:rsidRPr="00E44076" w:rsidRDefault="00E44076" w:rsidP="00E44076">
      <w:pPr>
        <w:pStyle w:val="ListParagraph"/>
        <w:numPr>
          <w:ilvl w:val="0"/>
          <w:numId w:val="44"/>
        </w:numPr>
        <w:spacing w:line="360" w:lineRule="auto"/>
        <w:ind w:left="567" w:hanging="567"/>
        <w:jc w:val="both"/>
        <w:rPr>
          <w:rFonts w:ascii="Arial" w:hAnsi="Arial" w:cs="Arial"/>
          <w:lang w:eastAsia="en-ZA"/>
        </w:rPr>
      </w:pPr>
      <w:r w:rsidRPr="00E44076">
        <w:rPr>
          <w:rFonts w:ascii="Arial" w:hAnsi="Arial" w:cs="Arial"/>
          <w:lang w:eastAsia="en-ZA"/>
        </w:rPr>
        <w:t>The remaining 27% of supply from the two largest suppliers (post-merger) would be from fixed price long term and medium term contracts. These are arm’s length contracts where, the mine is responsible for the capital and operational expenditure as well as all the associated mining risks. Should the supplier not deliver as per the contractual terms and conditions, there are contractual recourses including but not limited to the rectification of undersupply and penalties. Approximately 80% of the 27% mentioned above mainly relates to the coal supply to Medupi and Matimba Power Stations, which are supplied by Exxaro. There is an excess 16 Mton coal stockpile at Medupi which could cater for any short term coal supply risk at Medupi or Matimba.</w:t>
      </w:r>
    </w:p>
    <w:p w:rsidR="00E44076" w:rsidRDefault="00E44076" w:rsidP="00E44076">
      <w:pPr>
        <w:rPr>
          <w:rFonts w:ascii="Arial" w:hAnsi="Arial" w:cs="Arial"/>
          <w:b/>
          <w:bCs/>
          <w:lang w:val="en-ZA"/>
        </w:rPr>
      </w:pPr>
      <w:bookmarkStart w:id="0" w:name="_GoBack"/>
      <w:bookmarkEnd w:id="0"/>
    </w:p>
    <w:sectPr w:rsidR="00E44076" w:rsidSect="00EE08D4">
      <w:pgSz w:w="11907" w:h="16839" w:code="9"/>
      <w:pgMar w:top="360" w:right="758"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F7E" w:rsidRDefault="00827F7E" w:rsidP="006A43DE">
      <w:r>
        <w:separator/>
      </w:r>
    </w:p>
  </w:endnote>
  <w:endnote w:type="continuationSeparator" w:id="1">
    <w:p w:rsidR="00827F7E" w:rsidRDefault="00827F7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F7E" w:rsidRDefault="00827F7E" w:rsidP="006A43DE">
      <w:r>
        <w:separator/>
      </w:r>
    </w:p>
  </w:footnote>
  <w:footnote w:type="continuationSeparator" w:id="1">
    <w:p w:rsidR="00827F7E" w:rsidRDefault="00827F7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F4"/>
    <w:multiLevelType w:val="hybridMultilevel"/>
    <w:tmpl w:val="F3D6DFC2"/>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DD3CC9"/>
    <w:multiLevelType w:val="hybridMultilevel"/>
    <w:tmpl w:val="5D4806AE"/>
    <w:lvl w:ilvl="0" w:tplc="0F84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5693B56"/>
    <w:multiLevelType w:val="hybridMultilevel"/>
    <w:tmpl w:val="CAA83808"/>
    <w:lvl w:ilvl="0" w:tplc="CF881D34">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05FE226E"/>
    <w:multiLevelType w:val="hybridMultilevel"/>
    <w:tmpl w:val="83ACE80A"/>
    <w:lvl w:ilvl="0" w:tplc="C450D23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0B880108"/>
    <w:multiLevelType w:val="hybridMultilevel"/>
    <w:tmpl w:val="57DAB934"/>
    <w:lvl w:ilvl="0" w:tplc="7F427D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BA57D08"/>
    <w:multiLevelType w:val="hybridMultilevel"/>
    <w:tmpl w:val="37121E12"/>
    <w:lvl w:ilvl="0" w:tplc="3EBC23EA">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nsid w:val="180479C2"/>
    <w:multiLevelType w:val="hybridMultilevel"/>
    <w:tmpl w:val="C444F156"/>
    <w:lvl w:ilvl="0" w:tplc="D446241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nsid w:val="1FDD0FE6"/>
    <w:multiLevelType w:val="hybridMultilevel"/>
    <w:tmpl w:val="B6DED896"/>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786D57"/>
    <w:multiLevelType w:val="hybridMultilevel"/>
    <w:tmpl w:val="783294A2"/>
    <w:lvl w:ilvl="0" w:tplc="225449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31FF47A7"/>
    <w:multiLevelType w:val="hybridMultilevel"/>
    <w:tmpl w:val="59B60CF4"/>
    <w:lvl w:ilvl="0" w:tplc="1B2A6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31E50AB"/>
    <w:multiLevelType w:val="hybridMultilevel"/>
    <w:tmpl w:val="D44284A0"/>
    <w:lvl w:ilvl="0" w:tplc="50125060">
      <w:start w:val="1"/>
      <w:numFmt w:val="lowerRoman"/>
      <w:lvlText w:val="(%1)"/>
      <w:lvlJc w:val="left"/>
      <w:pPr>
        <w:ind w:left="2075" w:hanging="720"/>
      </w:pPr>
      <w:rPr>
        <w:rFonts w:hint="default"/>
      </w:rPr>
    </w:lvl>
    <w:lvl w:ilvl="1" w:tplc="1C090019" w:tentative="1">
      <w:start w:val="1"/>
      <w:numFmt w:val="lowerLetter"/>
      <w:lvlText w:val="%2."/>
      <w:lvlJc w:val="left"/>
      <w:pPr>
        <w:ind w:left="2435" w:hanging="360"/>
      </w:pPr>
    </w:lvl>
    <w:lvl w:ilvl="2" w:tplc="1C09001B" w:tentative="1">
      <w:start w:val="1"/>
      <w:numFmt w:val="lowerRoman"/>
      <w:lvlText w:val="%3."/>
      <w:lvlJc w:val="right"/>
      <w:pPr>
        <w:ind w:left="3155" w:hanging="180"/>
      </w:pPr>
    </w:lvl>
    <w:lvl w:ilvl="3" w:tplc="1C09000F" w:tentative="1">
      <w:start w:val="1"/>
      <w:numFmt w:val="decimal"/>
      <w:lvlText w:val="%4."/>
      <w:lvlJc w:val="left"/>
      <w:pPr>
        <w:ind w:left="3875" w:hanging="360"/>
      </w:pPr>
    </w:lvl>
    <w:lvl w:ilvl="4" w:tplc="1C090019" w:tentative="1">
      <w:start w:val="1"/>
      <w:numFmt w:val="lowerLetter"/>
      <w:lvlText w:val="%5."/>
      <w:lvlJc w:val="left"/>
      <w:pPr>
        <w:ind w:left="4595" w:hanging="360"/>
      </w:pPr>
    </w:lvl>
    <w:lvl w:ilvl="5" w:tplc="1C09001B" w:tentative="1">
      <w:start w:val="1"/>
      <w:numFmt w:val="lowerRoman"/>
      <w:lvlText w:val="%6."/>
      <w:lvlJc w:val="right"/>
      <w:pPr>
        <w:ind w:left="5315" w:hanging="180"/>
      </w:pPr>
    </w:lvl>
    <w:lvl w:ilvl="6" w:tplc="1C09000F" w:tentative="1">
      <w:start w:val="1"/>
      <w:numFmt w:val="decimal"/>
      <w:lvlText w:val="%7."/>
      <w:lvlJc w:val="left"/>
      <w:pPr>
        <w:ind w:left="6035" w:hanging="360"/>
      </w:pPr>
    </w:lvl>
    <w:lvl w:ilvl="7" w:tplc="1C090019" w:tentative="1">
      <w:start w:val="1"/>
      <w:numFmt w:val="lowerLetter"/>
      <w:lvlText w:val="%8."/>
      <w:lvlJc w:val="left"/>
      <w:pPr>
        <w:ind w:left="6755" w:hanging="360"/>
      </w:pPr>
    </w:lvl>
    <w:lvl w:ilvl="8" w:tplc="1C09001B" w:tentative="1">
      <w:start w:val="1"/>
      <w:numFmt w:val="lowerRoman"/>
      <w:lvlText w:val="%9."/>
      <w:lvlJc w:val="right"/>
      <w:pPr>
        <w:ind w:left="7475" w:hanging="180"/>
      </w:pPr>
    </w:lvl>
  </w:abstractNum>
  <w:abstractNum w:abstractNumId="21">
    <w:nsid w:val="332A08B6"/>
    <w:multiLevelType w:val="hybridMultilevel"/>
    <w:tmpl w:val="D570B3CC"/>
    <w:lvl w:ilvl="0" w:tplc="5C84C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87075B"/>
    <w:multiLevelType w:val="hybridMultilevel"/>
    <w:tmpl w:val="80B29066"/>
    <w:lvl w:ilvl="0" w:tplc="04940F9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0C224E6"/>
    <w:multiLevelType w:val="hybridMultilevel"/>
    <w:tmpl w:val="C99288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7">
    <w:nsid w:val="49AB63C7"/>
    <w:multiLevelType w:val="hybridMultilevel"/>
    <w:tmpl w:val="0E60F9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4107"/>
    <w:multiLevelType w:val="hybridMultilevel"/>
    <w:tmpl w:val="5F28119E"/>
    <w:lvl w:ilvl="0" w:tplc="24A67B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982FD7"/>
    <w:multiLevelType w:val="hybridMultilevel"/>
    <w:tmpl w:val="91FE2DD0"/>
    <w:lvl w:ilvl="0" w:tplc="DF36B2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B4701F3"/>
    <w:multiLevelType w:val="hybridMultilevel"/>
    <w:tmpl w:val="4DEA8DB6"/>
    <w:lvl w:ilvl="0" w:tplc="B6D0EA40">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5">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3157B7"/>
    <w:multiLevelType w:val="hybridMultilevel"/>
    <w:tmpl w:val="B12EBB38"/>
    <w:lvl w:ilvl="0" w:tplc="412A4BA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9">
    <w:nsid w:val="7098412B"/>
    <w:multiLevelType w:val="hybridMultilevel"/>
    <w:tmpl w:val="22EAB642"/>
    <w:lvl w:ilvl="0" w:tplc="D22A3B7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41">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12"/>
  </w:num>
  <w:num w:numId="4">
    <w:abstractNumId w:val="35"/>
  </w:num>
  <w:num w:numId="5">
    <w:abstractNumId w:val="23"/>
  </w:num>
  <w:num w:numId="6">
    <w:abstractNumId w:val="9"/>
  </w:num>
  <w:num w:numId="7">
    <w:abstractNumId w:val="7"/>
  </w:num>
  <w:num w:numId="8">
    <w:abstractNumId w:val="33"/>
  </w:num>
  <w:num w:numId="9">
    <w:abstractNumId w:val="24"/>
  </w:num>
  <w:num w:numId="10">
    <w:abstractNumId w:val="3"/>
  </w:num>
  <w:num w:numId="11">
    <w:abstractNumId w:val="41"/>
  </w:num>
  <w:num w:numId="12">
    <w:abstractNumId w:val="16"/>
  </w:num>
  <w:num w:numId="13">
    <w:abstractNumId w:val="43"/>
  </w:num>
  <w:num w:numId="14">
    <w:abstractNumId w:val="8"/>
  </w:num>
  <w:num w:numId="15">
    <w:abstractNumId w:val="17"/>
  </w:num>
  <w:num w:numId="16">
    <w:abstractNumId w:val="42"/>
  </w:num>
  <w:num w:numId="17">
    <w:abstractNumId w:val="15"/>
  </w:num>
  <w:num w:numId="18">
    <w:abstractNumId w:val="6"/>
  </w:num>
  <w:num w:numId="19">
    <w:abstractNumId w:val="30"/>
  </w:num>
  <w:num w:numId="20">
    <w:abstractNumId w:val="3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1"/>
  </w:num>
  <w:num w:numId="24">
    <w:abstractNumId w:val="37"/>
  </w:num>
  <w:num w:numId="25">
    <w:abstractNumId w:val="19"/>
  </w:num>
  <w:num w:numId="26">
    <w:abstractNumId w:val="32"/>
  </w:num>
  <w:num w:numId="27">
    <w:abstractNumId w:val="28"/>
  </w:num>
  <w:num w:numId="28">
    <w:abstractNumId w:val="2"/>
  </w:num>
  <w:num w:numId="29">
    <w:abstractNumId w:val="11"/>
  </w:num>
  <w:num w:numId="30">
    <w:abstractNumId w:val="21"/>
  </w:num>
  <w:num w:numId="31">
    <w:abstractNumId w:val="5"/>
  </w:num>
  <w:num w:numId="32">
    <w:abstractNumId w:val="22"/>
  </w:num>
  <w:num w:numId="33">
    <w:abstractNumId w:val="34"/>
  </w:num>
  <w:num w:numId="34">
    <w:abstractNumId w:val="18"/>
  </w:num>
  <w:num w:numId="35">
    <w:abstractNumId w:val="13"/>
  </w:num>
  <w:num w:numId="36">
    <w:abstractNumId w:val="4"/>
  </w:num>
  <w:num w:numId="37">
    <w:abstractNumId w:val="25"/>
  </w:num>
  <w:num w:numId="38">
    <w:abstractNumId w:val="14"/>
  </w:num>
  <w:num w:numId="39">
    <w:abstractNumId w:val="0"/>
  </w:num>
  <w:num w:numId="40">
    <w:abstractNumId w:val="10"/>
  </w:num>
  <w:num w:numId="41">
    <w:abstractNumId w:val="20"/>
  </w:num>
  <w:num w:numId="42">
    <w:abstractNumId w:val="29"/>
  </w:num>
  <w:num w:numId="43">
    <w:abstractNumId w:val="39"/>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BD0503"/>
    <w:rsid w:val="00003B3F"/>
    <w:rsid w:val="00005888"/>
    <w:rsid w:val="000568B9"/>
    <w:rsid w:val="000602C8"/>
    <w:rsid w:val="000629C6"/>
    <w:rsid w:val="000637C0"/>
    <w:rsid w:val="00071BD8"/>
    <w:rsid w:val="00074EBD"/>
    <w:rsid w:val="0008029D"/>
    <w:rsid w:val="00083713"/>
    <w:rsid w:val="000B6791"/>
    <w:rsid w:val="000B75A2"/>
    <w:rsid w:val="000C4756"/>
    <w:rsid w:val="000C48EB"/>
    <w:rsid w:val="000F6FB5"/>
    <w:rsid w:val="001204BE"/>
    <w:rsid w:val="00125D8E"/>
    <w:rsid w:val="00141EAA"/>
    <w:rsid w:val="00152E8D"/>
    <w:rsid w:val="00153347"/>
    <w:rsid w:val="00162952"/>
    <w:rsid w:val="00164073"/>
    <w:rsid w:val="00170AB9"/>
    <w:rsid w:val="00170D73"/>
    <w:rsid w:val="00190B29"/>
    <w:rsid w:val="001B13C2"/>
    <w:rsid w:val="001C647A"/>
    <w:rsid w:val="001D28C7"/>
    <w:rsid w:val="001D4235"/>
    <w:rsid w:val="001E09A9"/>
    <w:rsid w:val="001E1264"/>
    <w:rsid w:val="001F33B3"/>
    <w:rsid w:val="00203FBE"/>
    <w:rsid w:val="00210533"/>
    <w:rsid w:val="00225771"/>
    <w:rsid w:val="00232FDA"/>
    <w:rsid w:val="00243068"/>
    <w:rsid w:val="00246DF8"/>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61E67"/>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6053A"/>
    <w:rsid w:val="004653BA"/>
    <w:rsid w:val="0047791E"/>
    <w:rsid w:val="004A4357"/>
    <w:rsid w:val="004A7763"/>
    <w:rsid w:val="004C0939"/>
    <w:rsid w:val="004C6935"/>
    <w:rsid w:val="004D68BB"/>
    <w:rsid w:val="004E4E93"/>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4F0C"/>
    <w:rsid w:val="00601570"/>
    <w:rsid w:val="00612054"/>
    <w:rsid w:val="00614DA3"/>
    <w:rsid w:val="00627F86"/>
    <w:rsid w:val="00647844"/>
    <w:rsid w:val="006512FA"/>
    <w:rsid w:val="0065694F"/>
    <w:rsid w:val="0066527A"/>
    <w:rsid w:val="00665425"/>
    <w:rsid w:val="0067562C"/>
    <w:rsid w:val="006807DC"/>
    <w:rsid w:val="00694D5B"/>
    <w:rsid w:val="00697CC8"/>
    <w:rsid w:val="006A43DE"/>
    <w:rsid w:val="006C4414"/>
    <w:rsid w:val="006C5A5E"/>
    <w:rsid w:val="006D650A"/>
    <w:rsid w:val="006E226F"/>
    <w:rsid w:val="006E28F9"/>
    <w:rsid w:val="00716A5F"/>
    <w:rsid w:val="007410D8"/>
    <w:rsid w:val="00741768"/>
    <w:rsid w:val="00753188"/>
    <w:rsid w:val="00763854"/>
    <w:rsid w:val="00766B05"/>
    <w:rsid w:val="00767C12"/>
    <w:rsid w:val="00780828"/>
    <w:rsid w:val="00782018"/>
    <w:rsid w:val="007840BD"/>
    <w:rsid w:val="007A77D7"/>
    <w:rsid w:val="007B1C58"/>
    <w:rsid w:val="007B2942"/>
    <w:rsid w:val="007C43A8"/>
    <w:rsid w:val="007C48D9"/>
    <w:rsid w:val="007D60AF"/>
    <w:rsid w:val="00824E8E"/>
    <w:rsid w:val="00827F7E"/>
    <w:rsid w:val="00887188"/>
    <w:rsid w:val="0089120C"/>
    <w:rsid w:val="00892DFB"/>
    <w:rsid w:val="008960B2"/>
    <w:rsid w:val="008968F5"/>
    <w:rsid w:val="008A5641"/>
    <w:rsid w:val="008C3840"/>
    <w:rsid w:val="008C4B6D"/>
    <w:rsid w:val="008D3A03"/>
    <w:rsid w:val="008D6B81"/>
    <w:rsid w:val="008D728C"/>
    <w:rsid w:val="008E1024"/>
    <w:rsid w:val="008E1A9C"/>
    <w:rsid w:val="008F183C"/>
    <w:rsid w:val="0090214F"/>
    <w:rsid w:val="0090365F"/>
    <w:rsid w:val="00905B7B"/>
    <w:rsid w:val="009200EB"/>
    <w:rsid w:val="00920EC4"/>
    <w:rsid w:val="00930D31"/>
    <w:rsid w:val="00942881"/>
    <w:rsid w:val="0095077D"/>
    <w:rsid w:val="00952742"/>
    <w:rsid w:val="009561E6"/>
    <w:rsid w:val="00956AE9"/>
    <w:rsid w:val="00957EA0"/>
    <w:rsid w:val="00961B9E"/>
    <w:rsid w:val="00972069"/>
    <w:rsid w:val="009A53BF"/>
    <w:rsid w:val="009B4F7B"/>
    <w:rsid w:val="009B6439"/>
    <w:rsid w:val="009C440F"/>
    <w:rsid w:val="009C4542"/>
    <w:rsid w:val="009D531B"/>
    <w:rsid w:val="009E6C64"/>
    <w:rsid w:val="00A00E8D"/>
    <w:rsid w:val="00A14AA2"/>
    <w:rsid w:val="00A164FA"/>
    <w:rsid w:val="00A207A4"/>
    <w:rsid w:val="00A21970"/>
    <w:rsid w:val="00A23084"/>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E323E"/>
    <w:rsid w:val="00C037D2"/>
    <w:rsid w:val="00C11460"/>
    <w:rsid w:val="00C12A29"/>
    <w:rsid w:val="00C154E7"/>
    <w:rsid w:val="00C254E6"/>
    <w:rsid w:val="00C376CE"/>
    <w:rsid w:val="00C46606"/>
    <w:rsid w:val="00C53F6B"/>
    <w:rsid w:val="00C6140B"/>
    <w:rsid w:val="00C71A4E"/>
    <w:rsid w:val="00C76C58"/>
    <w:rsid w:val="00C81161"/>
    <w:rsid w:val="00CA1C75"/>
    <w:rsid w:val="00CA2555"/>
    <w:rsid w:val="00CB4FF1"/>
    <w:rsid w:val="00CB5194"/>
    <w:rsid w:val="00CB7B00"/>
    <w:rsid w:val="00CC2B32"/>
    <w:rsid w:val="00CC6424"/>
    <w:rsid w:val="00CD06FA"/>
    <w:rsid w:val="00CE2F8A"/>
    <w:rsid w:val="00CE72A9"/>
    <w:rsid w:val="00CF1AE8"/>
    <w:rsid w:val="00CF2CE3"/>
    <w:rsid w:val="00CF3FA1"/>
    <w:rsid w:val="00D05760"/>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5878"/>
    <w:rsid w:val="00DE52C7"/>
    <w:rsid w:val="00DF2645"/>
    <w:rsid w:val="00E06376"/>
    <w:rsid w:val="00E06501"/>
    <w:rsid w:val="00E25C2E"/>
    <w:rsid w:val="00E270DE"/>
    <w:rsid w:val="00E36A15"/>
    <w:rsid w:val="00E4134B"/>
    <w:rsid w:val="00E44076"/>
    <w:rsid w:val="00E45886"/>
    <w:rsid w:val="00E46280"/>
    <w:rsid w:val="00E46F4E"/>
    <w:rsid w:val="00E51A0C"/>
    <w:rsid w:val="00E575C0"/>
    <w:rsid w:val="00E71093"/>
    <w:rsid w:val="00E73ABB"/>
    <w:rsid w:val="00E82E1D"/>
    <w:rsid w:val="00E83FF9"/>
    <w:rsid w:val="00EA2229"/>
    <w:rsid w:val="00EB2717"/>
    <w:rsid w:val="00EC7A1C"/>
    <w:rsid w:val="00ED0FA4"/>
    <w:rsid w:val="00EE08D4"/>
    <w:rsid w:val="00EE5757"/>
    <w:rsid w:val="00EF35EA"/>
    <w:rsid w:val="00F254BF"/>
    <w:rsid w:val="00F31673"/>
    <w:rsid w:val="00F31D7B"/>
    <w:rsid w:val="00F34711"/>
    <w:rsid w:val="00F40076"/>
    <w:rsid w:val="00F45181"/>
    <w:rsid w:val="00F62BDA"/>
    <w:rsid w:val="00F63886"/>
    <w:rsid w:val="00F651DA"/>
    <w:rsid w:val="00F7162E"/>
    <w:rsid w:val="00F77706"/>
    <w:rsid w:val="00F861E9"/>
    <w:rsid w:val="00F9084E"/>
    <w:rsid w:val="00F94AFA"/>
    <w:rsid w:val="00FA1518"/>
    <w:rsid w:val="00FA231D"/>
    <w:rsid w:val="00FA2EA9"/>
    <w:rsid w:val="00FB525C"/>
    <w:rsid w:val="00FD4439"/>
    <w:rsid w:val="00FE628E"/>
    <w:rsid w:val="00FF531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60"/>
    <w:rPr>
      <w:sz w:val="24"/>
      <w:szCs w:val="24"/>
    </w:rPr>
  </w:style>
  <w:style w:type="paragraph" w:styleId="Heading1">
    <w:name w:val="heading 1"/>
    <w:basedOn w:val="Normal"/>
    <w:next w:val="Normal"/>
    <w:qFormat/>
    <w:rsid w:val="00D05760"/>
    <w:pPr>
      <w:keepNext/>
      <w:spacing w:line="312" w:lineRule="auto"/>
      <w:ind w:left="540"/>
      <w:outlineLvl w:val="0"/>
    </w:pPr>
    <w:rPr>
      <w:rFonts w:ascii="Arial" w:hAnsi="Arial" w:cs="Arial"/>
      <w:b/>
      <w:bCs/>
    </w:rPr>
  </w:style>
  <w:style w:type="paragraph" w:styleId="Heading2">
    <w:name w:val="heading 2"/>
    <w:basedOn w:val="Normal"/>
    <w:next w:val="Normal"/>
    <w:qFormat/>
    <w:rsid w:val="00D0576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D0576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D0576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D0576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semiHidden/>
    <w:unhideWhenUsed/>
    <w:rsid w:val="008A5641"/>
    <w:pPr>
      <w:spacing w:after="120" w:line="480" w:lineRule="auto"/>
      <w:ind w:left="283"/>
    </w:pPr>
  </w:style>
  <w:style w:type="character" w:customStyle="1" w:styleId="BodyTextIndent2Char">
    <w:name w:val="Body Text Indent 2 Char"/>
    <w:basedOn w:val="DefaultParagraphFont"/>
    <w:link w:val="BodyTextIndent2"/>
    <w:semiHidden/>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C6E024A1-8952-4924-AD1B-F65E31DF3588}">
  <ds:schemaRefs>
    <ds:schemaRef ds:uri="http://schemas.openxmlformats.org/officeDocument/2006/bibliography"/>
  </ds:schemaRefs>
</ds:datastoreItem>
</file>

<file path=customXml/itemProps2.xml><?xml version="1.0" encoding="utf-8"?>
<ds:datastoreItem xmlns:ds="http://schemas.openxmlformats.org/officeDocument/2006/customXml" ds:itemID="{84A4AECD-2EA5-470F-9D6D-D45B54AA51B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3387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2020-11-25T13:40:00Z</cp:lastPrinted>
  <dcterms:created xsi:type="dcterms:W3CDTF">2020-11-27T07:10:00Z</dcterms:created>
  <dcterms:modified xsi:type="dcterms:W3CDTF">2020-11-27T19:44:00Z</dcterms:modified>
</cp:coreProperties>
</file>