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26D4B843" w14:textId="77777777" w:rsidTr="00025767">
        <w:trPr>
          <w:trHeight w:val="1851"/>
          <w:jc w:val="center"/>
        </w:trPr>
        <w:tc>
          <w:tcPr>
            <w:tcW w:w="9026" w:type="dxa"/>
          </w:tcPr>
          <w:p w14:paraId="52DB2CE4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368CB8F0" wp14:editId="4F9FAEF2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5FCEC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1C8D8139" w14:textId="77777777" w:rsidTr="00025767">
        <w:trPr>
          <w:trHeight w:val="1111"/>
          <w:jc w:val="center"/>
        </w:trPr>
        <w:tc>
          <w:tcPr>
            <w:tcW w:w="9026" w:type="dxa"/>
          </w:tcPr>
          <w:p w14:paraId="49ADA39A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256A2CCE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754596DA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09B915FF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75900" wp14:editId="00EE1BB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D73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BA33A46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3FFF9613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4B2D407A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9D2435">
        <w:rPr>
          <w:rFonts w:ascii="Arial" w:hAnsi="Arial" w:cs="Arial"/>
          <w:b/>
          <w:bCs/>
          <w:sz w:val="24"/>
          <w:szCs w:val="24"/>
          <w:lang w:val="en-US"/>
        </w:rPr>
        <w:t>2251</w:t>
      </w:r>
    </w:p>
    <w:p w14:paraId="220F5F8A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>
        <w:rPr>
          <w:rFonts w:ascii="Arial" w:hAnsi="Arial" w:cs="Arial"/>
          <w:b/>
          <w:sz w:val="24"/>
          <w:szCs w:val="24"/>
        </w:rPr>
        <w:t>21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42D0F518" w14:textId="77777777" w:rsidR="00690611" w:rsidRPr="00690611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55769E4" w14:textId="77777777" w:rsidR="009D2435" w:rsidRPr="009D2435" w:rsidRDefault="009D2435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9D2435">
        <w:rPr>
          <w:rFonts w:ascii="Arial" w:hAnsi="Arial" w:cs="Arial"/>
          <w:sz w:val="24"/>
          <w:szCs w:val="24"/>
          <w:lang w:val="en-ZA"/>
        </w:rPr>
        <w:t xml:space="preserve"> </w:t>
      </w:r>
      <w:r w:rsidRPr="009D2435">
        <w:rPr>
          <w:rFonts w:ascii="Arial" w:hAnsi="Arial" w:cs="Arial"/>
          <w:b/>
          <w:bCs/>
          <w:sz w:val="24"/>
          <w:szCs w:val="24"/>
          <w:lang w:val="en-ZA"/>
        </w:rPr>
        <w:t>Mrs M R Shinn (DA) to ask the Minister of Communications:</w:t>
      </w:r>
    </w:p>
    <w:p w14:paraId="6586374D" w14:textId="77777777" w:rsidR="009D2435" w:rsidRPr="00DC07B0" w:rsidRDefault="009D2435" w:rsidP="00090694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9D2435">
        <w:rPr>
          <w:rFonts w:ascii="Arial" w:hAnsi="Arial" w:cs="Arial"/>
          <w:sz w:val="24"/>
          <w:szCs w:val="24"/>
          <w:lang w:val="en-ZA"/>
        </w:rPr>
        <w:t>Has her department concluded drawing up a comprehensive budget for submission to the National Treasury of all the anticipated costs to be incurred by (a) her department and (b)</w:t>
      </w:r>
      <w:r w:rsidR="00090694">
        <w:rPr>
          <w:rFonts w:ascii="Arial" w:hAnsi="Arial" w:cs="Arial"/>
          <w:sz w:val="24"/>
          <w:szCs w:val="24"/>
          <w:lang w:val="en-ZA"/>
        </w:rPr>
        <w:t xml:space="preserve"> </w:t>
      </w:r>
      <w:r w:rsidRPr="009D2435">
        <w:rPr>
          <w:rFonts w:ascii="Arial" w:hAnsi="Arial" w:cs="Arial"/>
          <w:sz w:val="24"/>
          <w:szCs w:val="24"/>
          <w:lang w:val="en-ZA"/>
        </w:rPr>
        <w:t>(i) government entities and (ii) their suppliers for the completion of the digital migration process until analogue switch-off; if not, what is the reason for the delay in the completion of the specified budget; if so, (aa) on what date was it submitted to the National Treasury and (bb) what are the further relevant details?                                                                 NW2581E</w:t>
      </w:r>
    </w:p>
    <w:p w14:paraId="69047F41" w14:textId="77777777" w:rsidR="00333166" w:rsidRPr="00DC07B0" w:rsidRDefault="00333166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6C92CB3C" w14:textId="77777777" w:rsidR="005D2A1A" w:rsidRPr="00587E33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587E33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587E33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568BA8D8" w14:textId="77777777" w:rsidR="00090694" w:rsidRPr="00587E33" w:rsidRDefault="00587E33" w:rsidP="00587E33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d</w:t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epartment has together with entities, namely, Universal Service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Access Agency of South Africa (USAASA) and South African Post Office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(SAPO) accompanied by the Department of Telecommunications and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Postal Services (DTPS) in August and September 2016 approached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>National Treasury to discuss the fund</w:t>
      </w:r>
      <w:r>
        <w:rPr>
          <w:rFonts w:asciiTheme="minorBidi" w:hAnsiTheme="minorBidi" w:cstheme="minorBidi"/>
          <w:sz w:val="24"/>
          <w:szCs w:val="24"/>
        </w:rPr>
        <w:t>ing issues of the project. F</w:t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unding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is required for the Programme Management Office (PMO), Public and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Consumer Awareness, Contact Centre, Dual Illumination, Set-top-boxes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nd related accessories such as a</w:t>
      </w:r>
      <w:r w:rsidR="00090694" w:rsidRPr="00587E33">
        <w:rPr>
          <w:rFonts w:asciiTheme="minorBidi" w:hAnsiTheme="minorBidi" w:cstheme="minorBidi"/>
          <w:sz w:val="24"/>
          <w:szCs w:val="24"/>
        </w:rPr>
        <w:t>ntennae</w:t>
      </w:r>
      <w:r>
        <w:rPr>
          <w:rFonts w:asciiTheme="minorBidi" w:hAnsiTheme="minorBidi" w:cstheme="minorBidi"/>
          <w:sz w:val="24"/>
          <w:szCs w:val="24"/>
        </w:rPr>
        <w:t xml:space="preserve"> and satellite d</w:t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ishes as well as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>for installations.</w:t>
      </w:r>
      <w:r w:rsidR="007F081F" w:rsidRPr="00587E33">
        <w:rPr>
          <w:rFonts w:asciiTheme="minorBidi" w:hAnsiTheme="minorBidi" w:cstheme="minorBidi"/>
          <w:sz w:val="24"/>
          <w:szCs w:val="24"/>
        </w:rPr>
        <w:t xml:space="preserve"> The department is in the process of </w:t>
      </w:r>
      <w:r>
        <w:rPr>
          <w:rFonts w:asciiTheme="minorBidi" w:hAnsiTheme="minorBidi" w:cstheme="minorBidi"/>
          <w:sz w:val="24"/>
          <w:szCs w:val="24"/>
        </w:rPr>
        <w:t xml:space="preserve">facilitating </w:t>
      </w:r>
      <w:r w:rsidR="007F081F" w:rsidRPr="00587E33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lastRenderedPageBreak/>
        <w:tab/>
        <w:t xml:space="preserve">compilation of </w:t>
      </w:r>
      <w:r w:rsidR="007F081F" w:rsidRPr="00587E33">
        <w:rPr>
          <w:rFonts w:asciiTheme="minorBidi" w:hAnsiTheme="minorBidi" w:cstheme="minorBidi"/>
          <w:sz w:val="24"/>
          <w:szCs w:val="24"/>
        </w:rPr>
        <w:t xml:space="preserve">funding requirements with entities to submit to National </w:t>
      </w:r>
      <w:r>
        <w:rPr>
          <w:rFonts w:asciiTheme="minorBidi" w:hAnsiTheme="minorBidi" w:cstheme="minorBidi"/>
          <w:sz w:val="24"/>
          <w:szCs w:val="24"/>
        </w:rPr>
        <w:tab/>
      </w:r>
      <w:r w:rsidR="007F081F" w:rsidRPr="00587E33">
        <w:rPr>
          <w:rFonts w:asciiTheme="minorBidi" w:hAnsiTheme="minorBidi" w:cstheme="minorBidi"/>
          <w:sz w:val="24"/>
          <w:szCs w:val="24"/>
        </w:rPr>
        <w:t xml:space="preserve">Treasury in November 2016. </w:t>
      </w:r>
    </w:p>
    <w:p w14:paraId="46D93D9C" w14:textId="77777777" w:rsidR="0075312E" w:rsidRPr="00587E33" w:rsidRDefault="0075312E" w:rsidP="00587E33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71D6D08" w14:textId="77777777" w:rsidR="009D2435" w:rsidRPr="00587E33" w:rsidRDefault="00587E33" w:rsidP="00587E33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sz w:val="24"/>
          <w:szCs w:val="24"/>
        </w:rPr>
        <w:tab/>
        <w:t>(ii) S</w:t>
      </w:r>
      <w:r w:rsidR="0075312E" w:rsidRPr="00587E33">
        <w:rPr>
          <w:rFonts w:asciiTheme="minorBidi" w:hAnsiTheme="minorBidi" w:cstheme="minorBidi"/>
          <w:sz w:val="24"/>
          <w:szCs w:val="24"/>
        </w:rPr>
        <w:t>upplier</w:t>
      </w:r>
      <w:r>
        <w:rPr>
          <w:rFonts w:asciiTheme="minorBidi" w:hAnsiTheme="minorBidi" w:cstheme="minorBidi"/>
          <w:sz w:val="24"/>
          <w:szCs w:val="24"/>
        </w:rPr>
        <w:t>s are not</w:t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 involved in the submission of funding requirements to </w:t>
      </w:r>
      <w:r>
        <w:rPr>
          <w:rFonts w:asciiTheme="minorBidi" w:hAnsiTheme="minorBidi" w:cstheme="minorBidi"/>
          <w:sz w:val="24"/>
          <w:szCs w:val="24"/>
        </w:rPr>
        <w:tab/>
      </w:r>
      <w:r w:rsidR="00090694" w:rsidRPr="00587E33">
        <w:rPr>
          <w:rFonts w:asciiTheme="minorBidi" w:hAnsiTheme="minorBidi" w:cstheme="minorBidi"/>
          <w:sz w:val="24"/>
          <w:szCs w:val="24"/>
        </w:rPr>
        <w:t xml:space="preserve">National Treasury. </w:t>
      </w:r>
    </w:p>
    <w:p w14:paraId="5EEC79D6" w14:textId="77777777" w:rsidR="009D2435" w:rsidRPr="00587E33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310AEDD8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B534EEA" w14:textId="77777777" w:rsidR="00587E33" w:rsidRDefault="00587E33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6071983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96A7A67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74E683A7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587E33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4A558D6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4F1DE236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487C03E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8AE063D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73225C8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9E03868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9E0C3F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ECA16C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29D8671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6DF6FFC4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37BF076D" w14:textId="77777777" w:rsidR="002801DD" w:rsidRPr="00232522" w:rsidRDefault="00AD7BD9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DA2D" w14:textId="77777777" w:rsidR="009C3EE4" w:rsidRDefault="009C3EE4" w:rsidP="00846C85">
      <w:r>
        <w:separator/>
      </w:r>
    </w:p>
  </w:endnote>
  <w:endnote w:type="continuationSeparator" w:id="0">
    <w:p w14:paraId="79F1D61B" w14:textId="77777777" w:rsidR="009C3EE4" w:rsidRDefault="009C3EE4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0622" w14:textId="77777777" w:rsidR="006A1DEC" w:rsidRDefault="009D2435">
    <w:pPr>
      <w:pStyle w:val="Footer"/>
    </w:pPr>
    <w:r>
      <w:t>Parliamentary Question 2251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C0C1" w14:textId="77777777" w:rsidR="009C3EE4" w:rsidRDefault="009C3EE4" w:rsidP="00846C85">
      <w:r>
        <w:separator/>
      </w:r>
    </w:p>
  </w:footnote>
  <w:footnote w:type="continuationSeparator" w:id="0">
    <w:p w14:paraId="559D458F" w14:textId="77777777" w:rsidR="009C3EE4" w:rsidRDefault="009C3EE4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63D30"/>
    <w:multiLevelType w:val="hybridMultilevel"/>
    <w:tmpl w:val="678AABA8"/>
    <w:lvl w:ilvl="0" w:tplc="9AC4D9A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15A11"/>
    <w:multiLevelType w:val="hybridMultilevel"/>
    <w:tmpl w:val="0A0E075E"/>
    <w:lvl w:ilvl="0" w:tplc="60F40C0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22"/>
  </w:num>
  <w:num w:numId="11">
    <w:abstractNumId w:val="28"/>
  </w:num>
  <w:num w:numId="12">
    <w:abstractNumId w:val="27"/>
  </w:num>
  <w:num w:numId="13">
    <w:abstractNumId w:val="8"/>
  </w:num>
  <w:num w:numId="14">
    <w:abstractNumId w:val="21"/>
  </w:num>
  <w:num w:numId="15">
    <w:abstractNumId w:val="3"/>
  </w:num>
  <w:num w:numId="16">
    <w:abstractNumId w:val="16"/>
  </w:num>
  <w:num w:numId="17">
    <w:abstractNumId w:val="30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  <w:num w:numId="22">
    <w:abstractNumId w:val="7"/>
  </w:num>
  <w:num w:numId="23">
    <w:abstractNumId w:val="24"/>
  </w:num>
  <w:num w:numId="24">
    <w:abstractNumId w:val="19"/>
  </w:num>
  <w:num w:numId="25">
    <w:abstractNumId w:val="2"/>
  </w:num>
  <w:num w:numId="26">
    <w:abstractNumId w:val="17"/>
  </w:num>
  <w:num w:numId="27">
    <w:abstractNumId w:val="10"/>
  </w:num>
  <w:num w:numId="28">
    <w:abstractNumId w:val="12"/>
  </w:num>
  <w:num w:numId="29">
    <w:abstractNumId w:val="14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0694"/>
    <w:rsid w:val="00095682"/>
    <w:rsid w:val="0010389C"/>
    <w:rsid w:val="00114ECD"/>
    <w:rsid w:val="00131AE5"/>
    <w:rsid w:val="001B295F"/>
    <w:rsid w:val="001F32C6"/>
    <w:rsid w:val="002210D2"/>
    <w:rsid w:val="00232522"/>
    <w:rsid w:val="002C4E02"/>
    <w:rsid w:val="00333166"/>
    <w:rsid w:val="00336DF5"/>
    <w:rsid w:val="0036667D"/>
    <w:rsid w:val="003C0B2C"/>
    <w:rsid w:val="004770A4"/>
    <w:rsid w:val="004B13BC"/>
    <w:rsid w:val="004F273E"/>
    <w:rsid w:val="00550289"/>
    <w:rsid w:val="005570AF"/>
    <w:rsid w:val="00587E33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5312E"/>
    <w:rsid w:val="00765220"/>
    <w:rsid w:val="007D4D53"/>
    <w:rsid w:val="007F081F"/>
    <w:rsid w:val="007F6757"/>
    <w:rsid w:val="00846C85"/>
    <w:rsid w:val="00867267"/>
    <w:rsid w:val="0088017E"/>
    <w:rsid w:val="008F5B7C"/>
    <w:rsid w:val="009C3EE4"/>
    <w:rsid w:val="009D2435"/>
    <w:rsid w:val="00A14FFC"/>
    <w:rsid w:val="00A41B12"/>
    <w:rsid w:val="00AD40ED"/>
    <w:rsid w:val="00AD7BD9"/>
    <w:rsid w:val="00B817B1"/>
    <w:rsid w:val="00B93368"/>
    <w:rsid w:val="00C626D7"/>
    <w:rsid w:val="00CA2757"/>
    <w:rsid w:val="00CB32F9"/>
    <w:rsid w:val="00CE4B14"/>
    <w:rsid w:val="00DA4DC3"/>
    <w:rsid w:val="00DB6914"/>
    <w:rsid w:val="00DC07B0"/>
    <w:rsid w:val="00DC7A56"/>
    <w:rsid w:val="00DD42B3"/>
    <w:rsid w:val="00E06517"/>
    <w:rsid w:val="00E34D4F"/>
    <w:rsid w:val="00E93639"/>
    <w:rsid w:val="00EB5CF8"/>
    <w:rsid w:val="00EC618F"/>
    <w:rsid w:val="00ED2651"/>
    <w:rsid w:val="00ED78E0"/>
    <w:rsid w:val="00F02463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3C5CC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2016-10-04T10:52:00Z</cp:lastPrinted>
  <dcterms:created xsi:type="dcterms:W3CDTF">2016-11-07T06:18:00Z</dcterms:created>
  <dcterms:modified xsi:type="dcterms:W3CDTF">2016-11-07T06:18:00Z</dcterms:modified>
</cp:coreProperties>
</file>