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6D7B63" w:rsidRDefault="006D7B63" w:rsidP="00A368CB">
      <w:pPr>
        <w:spacing w:after="0"/>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rsidP="00A368CB">
      <w:pPr>
        <w:spacing w:after="0"/>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rsidP="00A368CB">
      <w:pPr>
        <w:spacing w:after="0"/>
        <w:rPr>
          <w:rFonts w:ascii="Times New Roman" w:hAnsi="Times New Roman" w:cs="Times New Roman"/>
          <w:b/>
          <w:sz w:val="24"/>
          <w:szCs w:val="24"/>
        </w:rPr>
      </w:pPr>
      <w:r w:rsidRPr="006D7B63">
        <w:rPr>
          <w:rFonts w:ascii="Times New Roman" w:hAnsi="Times New Roman" w:cs="Times New Roman"/>
          <w:b/>
          <w:sz w:val="24"/>
          <w:szCs w:val="24"/>
        </w:rPr>
        <w:t>QUESTION</w:t>
      </w:r>
      <w:r w:rsidR="00B641D8">
        <w:rPr>
          <w:rFonts w:ascii="Times New Roman" w:hAnsi="Times New Roman" w:cs="Times New Roman"/>
          <w:b/>
          <w:sz w:val="24"/>
          <w:szCs w:val="24"/>
        </w:rPr>
        <w:t xml:space="preserve"> 2247</w:t>
      </w:r>
    </w:p>
    <w:p w:rsidR="006D7B63" w:rsidRPr="006D7B63" w:rsidRDefault="006D7B63" w:rsidP="00A368CB">
      <w:pPr>
        <w:spacing w:after="0"/>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A62005">
        <w:rPr>
          <w:rFonts w:ascii="Times New Roman" w:hAnsi="Times New Roman" w:cs="Times New Roman"/>
          <w:b/>
          <w:sz w:val="24"/>
          <w:szCs w:val="24"/>
          <w:u w:val="single"/>
        </w:rPr>
        <w:t>F INTERNAL QUESTION PAPER: 07/08</w:t>
      </w:r>
      <w:r w:rsidR="004E39FB">
        <w:rPr>
          <w:rFonts w:ascii="Times New Roman" w:hAnsi="Times New Roman" w:cs="Times New Roman"/>
          <w:b/>
          <w:sz w:val="24"/>
          <w:szCs w:val="24"/>
          <w:u w:val="single"/>
        </w:rPr>
        <w:t>/2017</w:t>
      </w:r>
    </w:p>
    <w:p w:rsidR="006D7B63" w:rsidRDefault="00A62005" w:rsidP="00A368CB">
      <w:pPr>
        <w:spacing w:after="0"/>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25</w:t>
      </w:r>
      <w:r w:rsidR="004E39FB">
        <w:rPr>
          <w:rFonts w:ascii="Times New Roman" w:hAnsi="Times New Roman" w:cs="Times New Roman"/>
          <w:b/>
          <w:sz w:val="24"/>
          <w:szCs w:val="24"/>
          <w:u w:val="single"/>
        </w:rPr>
        <w:t>/2017</w:t>
      </w:r>
    </w:p>
    <w:p w:rsidR="00B641D8" w:rsidRPr="00B641D8" w:rsidRDefault="00B641D8" w:rsidP="00B641D8">
      <w:pPr>
        <w:spacing w:before="100" w:beforeAutospacing="1" w:after="100" w:afterAutospacing="1" w:line="240" w:lineRule="auto"/>
        <w:ind w:left="816" w:hanging="816"/>
        <w:rPr>
          <w:rFonts w:ascii="Times New Roman" w:eastAsia="Calibri" w:hAnsi="Times New Roman" w:cs="Times New Roman"/>
          <w:b/>
          <w:noProof/>
          <w:color w:val="000000"/>
          <w:sz w:val="24"/>
          <w:szCs w:val="24"/>
          <w:lang w:val="af-ZA"/>
        </w:rPr>
      </w:pPr>
      <w:r w:rsidRPr="00B641D8">
        <w:rPr>
          <w:rFonts w:ascii="Times New Roman" w:eastAsia="Calibri" w:hAnsi="Times New Roman" w:cs="Times New Roman"/>
          <w:b/>
          <w:noProof/>
          <w:color w:val="000000"/>
          <w:sz w:val="24"/>
          <w:szCs w:val="24"/>
          <w:lang w:val="af-ZA"/>
        </w:rPr>
        <w:t>2247.</w:t>
      </w:r>
      <w:r w:rsidRPr="00B641D8">
        <w:rPr>
          <w:rFonts w:ascii="Times New Roman" w:eastAsia="Calibri" w:hAnsi="Times New Roman" w:cs="Times New Roman"/>
          <w:b/>
          <w:noProof/>
          <w:color w:val="000000"/>
          <w:sz w:val="24"/>
          <w:szCs w:val="24"/>
          <w:lang w:val="af-ZA"/>
        </w:rPr>
        <w:tab/>
        <w:t>Mr S C Motau (DA) to ask the Minister of Basic Education:</w:t>
      </w:r>
    </w:p>
    <w:p w:rsidR="00B641D8" w:rsidRPr="00B641D8" w:rsidRDefault="00B641D8" w:rsidP="00B641D8">
      <w:pPr>
        <w:spacing w:before="100" w:beforeAutospacing="1" w:after="100" w:afterAutospacing="1" w:line="240" w:lineRule="auto"/>
        <w:ind w:left="1440" w:hanging="629"/>
        <w:jc w:val="both"/>
        <w:rPr>
          <w:rFonts w:ascii="Times New Roman" w:eastAsia="Calibri" w:hAnsi="Times New Roman" w:cs="Times New Roman"/>
          <w:sz w:val="24"/>
          <w:szCs w:val="24"/>
        </w:rPr>
      </w:pPr>
      <w:r w:rsidRPr="00B641D8">
        <w:rPr>
          <w:rFonts w:ascii="Times New Roman" w:eastAsia="Calibri" w:hAnsi="Times New Roman" w:cs="Times New Roman"/>
          <w:sz w:val="24"/>
          <w:szCs w:val="24"/>
        </w:rPr>
        <w:t>(1)</w:t>
      </w:r>
      <w:r w:rsidRPr="00B641D8">
        <w:rPr>
          <w:rFonts w:ascii="Times New Roman" w:eastAsia="Calibri" w:hAnsi="Times New Roman" w:cs="Times New Roman"/>
          <w:sz w:val="24"/>
          <w:szCs w:val="24"/>
        </w:rPr>
        <w:tab/>
        <w:t xml:space="preserve">How does (a) her department and/or (b) the provincial departments intend to distribute the R477 million Medium-Term Expenditure Framework conditional grant for profoundly intellectually disabled children; </w:t>
      </w:r>
    </w:p>
    <w:p w:rsidR="00B641D8" w:rsidRPr="00B641D8" w:rsidRDefault="00B641D8" w:rsidP="00B641D8">
      <w:pPr>
        <w:spacing w:before="100" w:beforeAutospacing="1" w:after="100" w:afterAutospacing="1" w:line="240" w:lineRule="auto"/>
        <w:ind w:left="1440" w:hanging="629"/>
        <w:jc w:val="both"/>
        <w:rPr>
          <w:rFonts w:ascii="Times New Roman" w:eastAsia="Calibri" w:hAnsi="Times New Roman" w:cs="Times New Roman"/>
          <w:sz w:val="24"/>
          <w:szCs w:val="24"/>
        </w:rPr>
      </w:pPr>
      <w:r w:rsidRPr="00B641D8">
        <w:rPr>
          <w:rFonts w:ascii="Times New Roman" w:eastAsia="Calibri" w:hAnsi="Times New Roman" w:cs="Times New Roman"/>
          <w:sz w:val="24"/>
          <w:szCs w:val="24"/>
        </w:rPr>
        <w:t>(2)</w:t>
      </w:r>
      <w:r w:rsidRPr="00B641D8">
        <w:rPr>
          <w:rFonts w:ascii="Times New Roman" w:eastAsia="Calibri" w:hAnsi="Times New Roman" w:cs="Times New Roman"/>
          <w:sz w:val="24"/>
          <w:szCs w:val="24"/>
        </w:rPr>
        <w:tab/>
        <w:t>how will the specified grant be used to benefit (a) learners and (b) teachers in the implementation of the Policy and Learning Programme;</w:t>
      </w:r>
    </w:p>
    <w:p w:rsidR="00B641D8" w:rsidRPr="00B641D8" w:rsidRDefault="00B641D8" w:rsidP="00B641D8">
      <w:pPr>
        <w:spacing w:before="100" w:beforeAutospacing="1" w:after="100" w:afterAutospacing="1" w:line="240" w:lineRule="auto"/>
        <w:ind w:left="1440" w:hanging="629"/>
        <w:jc w:val="both"/>
        <w:rPr>
          <w:rFonts w:ascii="Times New Roman" w:eastAsia="Calibri" w:hAnsi="Times New Roman" w:cs="Times New Roman"/>
          <w:sz w:val="20"/>
          <w:szCs w:val="20"/>
        </w:rPr>
      </w:pPr>
      <w:r w:rsidRPr="00B641D8">
        <w:rPr>
          <w:rFonts w:ascii="Times New Roman" w:eastAsia="Calibri" w:hAnsi="Times New Roman" w:cs="Times New Roman"/>
          <w:sz w:val="24"/>
          <w:szCs w:val="24"/>
        </w:rPr>
        <w:t>(3)</w:t>
      </w:r>
      <w:r w:rsidRPr="00B641D8">
        <w:rPr>
          <w:rFonts w:ascii="Times New Roman" w:eastAsia="Calibri" w:hAnsi="Times New Roman" w:cs="Times New Roman"/>
          <w:sz w:val="24"/>
          <w:szCs w:val="24"/>
        </w:rPr>
        <w:tab/>
        <w:t>did any legal settlements prompt the introduction of the grant?</w:t>
      </w:r>
      <w:r w:rsidRPr="00B641D8">
        <w:rPr>
          <w:rFonts w:ascii="Times New Roman" w:eastAsia="Calibri" w:hAnsi="Times New Roman" w:cs="Times New Roman"/>
          <w:sz w:val="24"/>
          <w:szCs w:val="24"/>
        </w:rPr>
        <w:tab/>
      </w:r>
      <w:r w:rsidRPr="00B641D8">
        <w:rPr>
          <w:rFonts w:ascii="Times New Roman" w:eastAsia="Calibri" w:hAnsi="Times New Roman" w:cs="Times New Roman"/>
          <w:sz w:val="20"/>
          <w:szCs w:val="20"/>
        </w:rPr>
        <w:t>NW2481</w:t>
      </w:r>
    </w:p>
    <w:p w:rsidR="000E1D3E" w:rsidRPr="00052C23" w:rsidRDefault="000E1D3E" w:rsidP="000E1D3E">
      <w:pPr>
        <w:spacing w:before="100" w:beforeAutospacing="1" w:after="100" w:afterAutospacing="1" w:line="240" w:lineRule="auto"/>
        <w:ind w:left="629" w:hanging="629"/>
        <w:jc w:val="both"/>
        <w:rPr>
          <w:rFonts w:ascii="Arial" w:eastAsia="Calibri" w:hAnsi="Arial" w:cs="Arial"/>
          <w:b/>
          <w:bCs/>
          <w:sz w:val="24"/>
          <w:szCs w:val="24"/>
        </w:rPr>
      </w:pPr>
      <w:r w:rsidRPr="00052C23">
        <w:rPr>
          <w:rFonts w:ascii="Arial" w:eastAsia="Calibri" w:hAnsi="Arial" w:cs="Arial"/>
          <w:b/>
          <w:bCs/>
          <w:sz w:val="24"/>
          <w:szCs w:val="24"/>
        </w:rPr>
        <w:t>Response:</w:t>
      </w:r>
    </w:p>
    <w:p w:rsidR="000E1D3E" w:rsidRPr="00052C23" w:rsidRDefault="000E1D3E" w:rsidP="000E1D3E">
      <w:pPr>
        <w:pStyle w:val="ListParagraph"/>
        <w:numPr>
          <w:ilvl w:val="0"/>
          <w:numId w:val="4"/>
        </w:numPr>
        <w:tabs>
          <w:tab w:val="left" w:pos="355"/>
          <w:tab w:val="left" w:pos="630"/>
          <w:tab w:val="left" w:pos="752"/>
        </w:tabs>
        <w:spacing w:before="100" w:beforeAutospacing="1" w:after="100" w:afterAutospacing="1"/>
        <w:ind w:left="360"/>
        <w:rPr>
          <w:rFonts w:ascii="Arial" w:eastAsia="Calibri" w:hAnsi="Arial" w:cs="Arial"/>
          <w:bCs/>
          <w:sz w:val="24"/>
          <w:szCs w:val="24"/>
        </w:rPr>
      </w:pPr>
      <w:r w:rsidRPr="00052C23">
        <w:rPr>
          <w:rFonts w:ascii="Arial" w:eastAsia="Calibri" w:hAnsi="Arial" w:cs="Arial"/>
          <w:bCs/>
          <w:sz w:val="24"/>
          <w:szCs w:val="24"/>
        </w:rPr>
        <w:t>(a) The funding allocation to Provincial Education Departments is as follows:</w:t>
      </w:r>
    </w:p>
    <w:p w:rsidR="000E1D3E" w:rsidRPr="00052C23" w:rsidRDefault="000E1D3E" w:rsidP="000E1D3E">
      <w:pPr>
        <w:pStyle w:val="ListParagraph"/>
        <w:tabs>
          <w:tab w:val="left" w:pos="355"/>
          <w:tab w:val="left" w:pos="752"/>
        </w:tabs>
        <w:spacing w:before="100" w:beforeAutospacing="1" w:after="100" w:afterAutospacing="1"/>
        <w:rPr>
          <w:rFonts w:ascii="Arial" w:eastAsia="Calibri" w:hAnsi="Arial" w:cs="Arial"/>
          <w:bCs/>
          <w:sz w:val="24"/>
          <w:szCs w:val="24"/>
        </w:rPr>
      </w:pPr>
    </w:p>
    <w:tbl>
      <w:tblPr>
        <w:tblStyle w:val="TableGrid"/>
        <w:tblW w:w="0" w:type="auto"/>
        <w:tblInd w:w="720" w:type="dxa"/>
        <w:tblLook w:val="04A0"/>
      </w:tblPr>
      <w:tblGrid>
        <w:gridCol w:w="2109"/>
        <w:gridCol w:w="2137"/>
        <w:gridCol w:w="2138"/>
        <w:gridCol w:w="2138"/>
      </w:tblGrid>
      <w:tr w:rsidR="000E1D3E" w:rsidRPr="00052C23" w:rsidTr="00251569">
        <w:tc>
          <w:tcPr>
            <w:tcW w:w="2109" w:type="dxa"/>
            <w:vMerge w:val="restart"/>
            <w:shd w:val="clear" w:color="auto" w:fill="BFBFBF" w:themeFill="background1" w:themeFillShade="BF"/>
          </w:tcPr>
          <w:p w:rsidR="000E1D3E" w:rsidRPr="00052C23" w:rsidRDefault="000E1D3E" w:rsidP="00251569">
            <w:pPr>
              <w:pStyle w:val="ListParagraph"/>
              <w:tabs>
                <w:tab w:val="left" w:pos="355"/>
                <w:tab w:val="left" w:pos="752"/>
              </w:tabs>
              <w:spacing w:before="100" w:beforeAutospacing="1" w:after="100" w:afterAutospacing="1"/>
              <w:ind w:left="0"/>
              <w:rPr>
                <w:rFonts w:ascii="Arial" w:eastAsia="Calibri" w:hAnsi="Arial" w:cs="Arial"/>
                <w:b/>
                <w:bCs/>
                <w:sz w:val="24"/>
                <w:szCs w:val="24"/>
              </w:rPr>
            </w:pPr>
          </w:p>
          <w:p w:rsidR="000E1D3E" w:rsidRPr="00052C23" w:rsidRDefault="000E1D3E" w:rsidP="00251569">
            <w:pPr>
              <w:pStyle w:val="ListParagraph"/>
              <w:tabs>
                <w:tab w:val="left" w:pos="355"/>
                <w:tab w:val="left" w:pos="752"/>
              </w:tabs>
              <w:spacing w:before="100" w:beforeAutospacing="1" w:after="100" w:afterAutospacing="1"/>
              <w:ind w:left="0"/>
              <w:rPr>
                <w:rFonts w:ascii="Arial" w:eastAsia="Calibri" w:hAnsi="Arial" w:cs="Arial"/>
                <w:b/>
                <w:bCs/>
                <w:sz w:val="24"/>
                <w:szCs w:val="24"/>
              </w:rPr>
            </w:pPr>
          </w:p>
          <w:p w:rsidR="000E1D3E" w:rsidRPr="00052C23" w:rsidRDefault="000E1D3E" w:rsidP="00251569">
            <w:pPr>
              <w:pStyle w:val="ListParagraph"/>
              <w:tabs>
                <w:tab w:val="left" w:pos="355"/>
                <w:tab w:val="left" w:pos="752"/>
              </w:tabs>
              <w:spacing w:before="100" w:beforeAutospacing="1" w:after="100" w:afterAutospacing="1"/>
              <w:ind w:left="0"/>
              <w:rPr>
                <w:rFonts w:ascii="Arial" w:eastAsia="Calibri" w:hAnsi="Arial" w:cs="Arial"/>
                <w:b/>
                <w:bCs/>
                <w:sz w:val="24"/>
                <w:szCs w:val="24"/>
              </w:rPr>
            </w:pPr>
            <w:r w:rsidRPr="00052C23">
              <w:rPr>
                <w:rFonts w:ascii="Arial" w:eastAsia="Calibri" w:hAnsi="Arial" w:cs="Arial"/>
                <w:b/>
                <w:bCs/>
                <w:sz w:val="24"/>
                <w:szCs w:val="24"/>
              </w:rPr>
              <w:t>Province</w:t>
            </w:r>
          </w:p>
        </w:tc>
        <w:tc>
          <w:tcPr>
            <w:tcW w:w="2137" w:type="dxa"/>
            <w:shd w:val="clear" w:color="auto" w:fill="BFBFBF" w:themeFill="background1" w:themeFillShade="BF"/>
          </w:tcPr>
          <w:p w:rsidR="000E1D3E" w:rsidRPr="00052C23" w:rsidRDefault="000E1D3E" w:rsidP="00251569">
            <w:pPr>
              <w:pStyle w:val="ListParagraph"/>
              <w:tabs>
                <w:tab w:val="left" w:pos="355"/>
                <w:tab w:val="left" w:pos="752"/>
              </w:tabs>
              <w:spacing w:before="100" w:beforeAutospacing="1" w:after="100" w:afterAutospacing="1"/>
              <w:ind w:left="0"/>
              <w:rPr>
                <w:rFonts w:ascii="Arial" w:eastAsia="Calibri" w:hAnsi="Arial" w:cs="Arial"/>
                <w:b/>
                <w:bCs/>
                <w:sz w:val="24"/>
                <w:szCs w:val="24"/>
              </w:rPr>
            </w:pPr>
            <w:r w:rsidRPr="00052C23">
              <w:rPr>
                <w:rFonts w:ascii="Arial" w:eastAsia="Calibri" w:hAnsi="Arial" w:cs="Arial"/>
                <w:b/>
                <w:bCs/>
                <w:sz w:val="24"/>
                <w:szCs w:val="24"/>
              </w:rPr>
              <w:t>Allocation 2017/18</w:t>
            </w:r>
          </w:p>
        </w:tc>
        <w:tc>
          <w:tcPr>
            <w:tcW w:w="2138" w:type="dxa"/>
            <w:shd w:val="clear" w:color="auto" w:fill="BFBFBF" w:themeFill="background1" w:themeFillShade="BF"/>
          </w:tcPr>
          <w:p w:rsidR="000E1D3E" w:rsidRPr="00052C23" w:rsidRDefault="000E1D3E" w:rsidP="00251569">
            <w:pPr>
              <w:pStyle w:val="ListParagraph"/>
              <w:tabs>
                <w:tab w:val="left" w:pos="355"/>
                <w:tab w:val="left" w:pos="752"/>
              </w:tabs>
              <w:spacing w:before="100" w:beforeAutospacing="1" w:after="100" w:afterAutospacing="1"/>
              <w:ind w:left="0"/>
              <w:rPr>
                <w:rFonts w:ascii="Arial" w:eastAsia="Calibri" w:hAnsi="Arial" w:cs="Arial"/>
                <w:b/>
                <w:bCs/>
                <w:sz w:val="24"/>
                <w:szCs w:val="24"/>
              </w:rPr>
            </w:pPr>
            <w:r w:rsidRPr="00052C23">
              <w:rPr>
                <w:rFonts w:ascii="Arial" w:eastAsia="Calibri" w:hAnsi="Arial" w:cs="Arial"/>
                <w:b/>
                <w:bCs/>
                <w:sz w:val="24"/>
                <w:szCs w:val="24"/>
              </w:rPr>
              <w:t>Allocation 2018/19</w:t>
            </w:r>
          </w:p>
        </w:tc>
        <w:tc>
          <w:tcPr>
            <w:tcW w:w="2138" w:type="dxa"/>
            <w:shd w:val="clear" w:color="auto" w:fill="BFBFBF" w:themeFill="background1" w:themeFillShade="BF"/>
          </w:tcPr>
          <w:p w:rsidR="000E1D3E" w:rsidRPr="00052C23" w:rsidRDefault="000E1D3E" w:rsidP="00251569">
            <w:pPr>
              <w:pStyle w:val="ListParagraph"/>
              <w:tabs>
                <w:tab w:val="left" w:pos="355"/>
                <w:tab w:val="left" w:pos="752"/>
              </w:tabs>
              <w:spacing w:before="100" w:beforeAutospacing="1" w:after="100" w:afterAutospacing="1"/>
              <w:ind w:left="0"/>
              <w:rPr>
                <w:rFonts w:ascii="Arial" w:eastAsia="Calibri" w:hAnsi="Arial" w:cs="Arial"/>
                <w:b/>
                <w:bCs/>
                <w:sz w:val="24"/>
                <w:szCs w:val="24"/>
              </w:rPr>
            </w:pPr>
            <w:r w:rsidRPr="00052C23">
              <w:rPr>
                <w:rFonts w:ascii="Arial" w:eastAsia="Calibri" w:hAnsi="Arial" w:cs="Arial"/>
                <w:b/>
                <w:bCs/>
                <w:sz w:val="24"/>
                <w:szCs w:val="24"/>
              </w:rPr>
              <w:t>Allocation 2019/20</w:t>
            </w:r>
          </w:p>
        </w:tc>
      </w:tr>
      <w:tr w:rsidR="000E1D3E" w:rsidRPr="00052C23" w:rsidTr="00251569">
        <w:tc>
          <w:tcPr>
            <w:tcW w:w="2109" w:type="dxa"/>
            <w:vMerge/>
          </w:tcPr>
          <w:p w:rsidR="000E1D3E" w:rsidRPr="00052C23" w:rsidRDefault="000E1D3E" w:rsidP="00251569">
            <w:pPr>
              <w:pStyle w:val="ListParagraph"/>
              <w:tabs>
                <w:tab w:val="left" w:pos="355"/>
                <w:tab w:val="left" w:pos="752"/>
              </w:tabs>
              <w:spacing w:before="100" w:beforeAutospacing="1" w:after="100" w:afterAutospacing="1"/>
              <w:ind w:left="0"/>
              <w:rPr>
                <w:rFonts w:ascii="Arial" w:eastAsia="Calibri" w:hAnsi="Arial" w:cs="Arial"/>
                <w:bCs/>
                <w:sz w:val="24"/>
                <w:szCs w:val="24"/>
              </w:rPr>
            </w:pPr>
          </w:p>
        </w:tc>
        <w:tc>
          <w:tcPr>
            <w:tcW w:w="2137" w:type="dxa"/>
          </w:tcPr>
          <w:p w:rsidR="000E1D3E" w:rsidRPr="00052C23" w:rsidRDefault="000E1D3E" w:rsidP="00251569">
            <w:pPr>
              <w:pStyle w:val="ListParagraph"/>
              <w:tabs>
                <w:tab w:val="left" w:pos="355"/>
                <w:tab w:val="left" w:pos="752"/>
              </w:tabs>
              <w:spacing w:before="100" w:beforeAutospacing="1" w:after="100" w:afterAutospacing="1"/>
              <w:ind w:left="0"/>
              <w:rPr>
                <w:rFonts w:ascii="Arial" w:eastAsia="Calibri" w:hAnsi="Arial" w:cs="Arial"/>
                <w:b/>
                <w:bCs/>
                <w:sz w:val="24"/>
                <w:szCs w:val="24"/>
              </w:rPr>
            </w:pPr>
            <w:r w:rsidRPr="00052C23">
              <w:rPr>
                <w:rFonts w:ascii="Arial" w:eastAsia="Calibri" w:hAnsi="Arial" w:cs="Arial"/>
                <w:b/>
                <w:bCs/>
                <w:sz w:val="24"/>
                <w:szCs w:val="24"/>
              </w:rPr>
              <w:t>R’000</w:t>
            </w:r>
          </w:p>
        </w:tc>
        <w:tc>
          <w:tcPr>
            <w:tcW w:w="2138" w:type="dxa"/>
          </w:tcPr>
          <w:p w:rsidR="000E1D3E" w:rsidRPr="00052C23" w:rsidRDefault="000E1D3E" w:rsidP="00251569">
            <w:pPr>
              <w:pStyle w:val="ListParagraph"/>
              <w:tabs>
                <w:tab w:val="left" w:pos="355"/>
                <w:tab w:val="left" w:pos="752"/>
              </w:tabs>
              <w:spacing w:before="100" w:beforeAutospacing="1" w:after="100" w:afterAutospacing="1"/>
              <w:ind w:left="0"/>
              <w:rPr>
                <w:rFonts w:ascii="Arial" w:eastAsia="Calibri" w:hAnsi="Arial" w:cs="Arial"/>
                <w:b/>
                <w:bCs/>
                <w:sz w:val="24"/>
                <w:szCs w:val="24"/>
              </w:rPr>
            </w:pPr>
            <w:r w:rsidRPr="00052C23">
              <w:rPr>
                <w:rFonts w:ascii="Arial" w:eastAsia="Calibri" w:hAnsi="Arial" w:cs="Arial"/>
                <w:b/>
                <w:bCs/>
                <w:sz w:val="24"/>
                <w:szCs w:val="24"/>
              </w:rPr>
              <w:t>R’000</w:t>
            </w:r>
          </w:p>
        </w:tc>
        <w:tc>
          <w:tcPr>
            <w:tcW w:w="2138" w:type="dxa"/>
          </w:tcPr>
          <w:p w:rsidR="000E1D3E" w:rsidRPr="00052C23" w:rsidRDefault="000E1D3E" w:rsidP="00251569">
            <w:pPr>
              <w:pStyle w:val="ListParagraph"/>
              <w:tabs>
                <w:tab w:val="left" w:pos="355"/>
                <w:tab w:val="left" w:pos="752"/>
              </w:tabs>
              <w:spacing w:before="100" w:beforeAutospacing="1" w:after="100" w:afterAutospacing="1"/>
              <w:ind w:left="0"/>
              <w:rPr>
                <w:rFonts w:ascii="Arial" w:eastAsia="Calibri" w:hAnsi="Arial" w:cs="Arial"/>
                <w:b/>
                <w:bCs/>
                <w:sz w:val="24"/>
                <w:szCs w:val="24"/>
              </w:rPr>
            </w:pPr>
            <w:r w:rsidRPr="00052C23">
              <w:rPr>
                <w:rFonts w:ascii="Arial" w:eastAsia="Calibri" w:hAnsi="Arial" w:cs="Arial"/>
                <w:b/>
                <w:bCs/>
                <w:sz w:val="24"/>
                <w:szCs w:val="24"/>
              </w:rPr>
              <w:t>R’000</w:t>
            </w:r>
          </w:p>
        </w:tc>
      </w:tr>
      <w:tr w:rsidR="000E1D3E" w:rsidRPr="00052C23" w:rsidTr="00251569">
        <w:tc>
          <w:tcPr>
            <w:tcW w:w="2109" w:type="dxa"/>
          </w:tcPr>
          <w:p w:rsidR="000E1D3E" w:rsidRPr="00052C23" w:rsidRDefault="000E1D3E" w:rsidP="00251569">
            <w:pPr>
              <w:pStyle w:val="ListParagraph"/>
              <w:tabs>
                <w:tab w:val="left" w:pos="355"/>
                <w:tab w:val="left" w:pos="752"/>
              </w:tabs>
              <w:spacing w:before="100" w:beforeAutospacing="1" w:after="100" w:afterAutospacing="1"/>
              <w:ind w:left="0"/>
              <w:rPr>
                <w:rFonts w:ascii="Arial" w:eastAsia="Calibri" w:hAnsi="Arial" w:cs="Arial"/>
                <w:bCs/>
                <w:sz w:val="24"/>
                <w:szCs w:val="24"/>
              </w:rPr>
            </w:pPr>
            <w:r w:rsidRPr="00052C23">
              <w:rPr>
                <w:rFonts w:ascii="Arial" w:eastAsia="Calibri" w:hAnsi="Arial" w:cs="Arial"/>
                <w:bCs/>
                <w:sz w:val="24"/>
                <w:szCs w:val="24"/>
              </w:rPr>
              <w:t>Eastern Cape</w:t>
            </w:r>
          </w:p>
        </w:tc>
        <w:tc>
          <w:tcPr>
            <w:tcW w:w="2137" w:type="dxa"/>
            <w:vAlign w:val="center"/>
          </w:tcPr>
          <w:p w:rsidR="000E1D3E" w:rsidRPr="00052C23" w:rsidRDefault="000E1D3E" w:rsidP="00251569">
            <w:pPr>
              <w:ind w:left="630" w:hanging="630"/>
              <w:rPr>
                <w:rFonts w:ascii="Arial" w:hAnsi="Arial" w:cs="Arial"/>
                <w:sz w:val="24"/>
                <w:szCs w:val="24"/>
              </w:rPr>
            </w:pPr>
            <w:r w:rsidRPr="00052C23">
              <w:rPr>
                <w:rFonts w:ascii="Arial" w:hAnsi="Arial" w:cs="Arial"/>
                <w:bCs/>
                <w:color w:val="000000"/>
                <w:sz w:val="24"/>
                <w:szCs w:val="24"/>
              </w:rPr>
              <w:t>3 537</w:t>
            </w: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0E1D3E" w:rsidRPr="00052C23" w:rsidRDefault="000E1D3E" w:rsidP="00251569">
            <w:pPr>
              <w:ind w:left="630" w:hanging="630"/>
              <w:rPr>
                <w:rFonts w:ascii="Arial" w:hAnsi="Arial" w:cs="Arial"/>
                <w:bCs/>
                <w:color w:val="000000"/>
                <w:sz w:val="24"/>
                <w:szCs w:val="24"/>
              </w:rPr>
            </w:pPr>
            <w:r w:rsidRPr="00052C23">
              <w:rPr>
                <w:rFonts w:ascii="Arial" w:hAnsi="Arial" w:cs="Arial"/>
                <w:bCs/>
                <w:color w:val="000000"/>
                <w:sz w:val="24"/>
                <w:szCs w:val="24"/>
              </w:rPr>
              <w:t>12 283</w:t>
            </w: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0E1D3E" w:rsidRPr="00052C23" w:rsidRDefault="000E1D3E" w:rsidP="00251569">
            <w:pPr>
              <w:ind w:left="630" w:hanging="630"/>
              <w:rPr>
                <w:rFonts w:ascii="Arial" w:hAnsi="Arial" w:cs="Arial"/>
                <w:bCs/>
                <w:color w:val="000000"/>
                <w:sz w:val="24"/>
                <w:szCs w:val="24"/>
              </w:rPr>
            </w:pPr>
            <w:r w:rsidRPr="00052C23">
              <w:rPr>
                <w:rFonts w:ascii="Arial" w:hAnsi="Arial" w:cs="Arial"/>
                <w:bCs/>
                <w:color w:val="000000"/>
                <w:sz w:val="24"/>
                <w:szCs w:val="24"/>
              </w:rPr>
              <w:t>14 622</w:t>
            </w:r>
          </w:p>
        </w:tc>
      </w:tr>
      <w:tr w:rsidR="000E1D3E" w:rsidRPr="00052C23" w:rsidTr="00251569">
        <w:tc>
          <w:tcPr>
            <w:tcW w:w="2109" w:type="dxa"/>
          </w:tcPr>
          <w:p w:rsidR="000E1D3E" w:rsidRPr="00052C23" w:rsidRDefault="000E1D3E" w:rsidP="00251569">
            <w:pPr>
              <w:pStyle w:val="ListParagraph"/>
              <w:tabs>
                <w:tab w:val="left" w:pos="355"/>
                <w:tab w:val="left" w:pos="752"/>
              </w:tabs>
              <w:spacing w:before="100" w:beforeAutospacing="1" w:after="100" w:afterAutospacing="1"/>
              <w:ind w:left="0"/>
              <w:rPr>
                <w:rFonts w:ascii="Arial" w:eastAsia="Calibri" w:hAnsi="Arial" w:cs="Arial"/>
                <w:bCs/>
                <w:sz w:val="24"/>
                <w:szCs w:val="24"/>
              </w:rPr>
            </w:pPr>
            <w:r w:rsidRPr="00052C23">
              <w:rPr>
                <w:rFonts w:ascii="Arial" w:eastAsia="Calibri" w:hAnsi="Arial" w:cs="Arial"/>
                <w:bCs/>
                <w:sz w:val="24"/>
                <w:szCs w:val="24"/>
              </w:rPr>
              <w:t>Free State</w:t>
            </w:r>
          </w:p>
        </w:tc>
        <w:tc>
          <w:tcPr>
            <w:tcW w:w="2137" w:type="dxa"/>
            <w:vAlign w:val="center"/>
          </w:tcPr>
          <w:p w:rsidR="000E1D3E" w:rsidRPr="00052C23" w:rsidRDefault="000E1D3E" w:rsidP="00251569">
            <w:pPr>
              <w:ind w:left="630" w:hanging="630"/>
              <w:rPr>
                <w:rFonts w:ascii="Arial" w:hAnsi="Arial" w:cs="Arial"/>
                <w:bCs/>
                <w:color w:val="000000"/>
                <w:sz w:val="24"/>
                <w:szCs w:val="24"/>
              </w:rPr>
            </w:pPr>
            <w:r w:rsidRPr="00052C23">
              <w:rPr>
                <w:rFonts w:ascii="Arial" w:hAnsi="Arial" w:cs="Arial"/>
                <w:bCs/>
                <w:color w:val="000000"/>
                <w:sz w:val="24"/>
                <w:szCs w:val="24"/>
              </w:rPr>
              <w:t>11 368</w:t>
            </w: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0E1D3E" w:rsidRPr="00052C23" w:rsidRDefault="000E1D3E" w:rsidP="00251569">
            <w:pPr>
              <w:ind w:left="630" w:hanging="630"/>
              <w:rPr>
                <w:rFonts w:ascii="Arial" w:hAnsi="Arial" w:cs="Arial"/>
                <w:bCs/>
                <w:color w:val="000000"/>
                <w:sz w:val="24"/>
                <w:szCs w:val="24"/>
              </w:rPr>
            </w:pPr>
            <w:r w:rsidRPr="00052C23">
              <w:rPr>
                <w:rFonts w:ascii="Arial" w:hAnsi="Arial" w:cs="Arial"/>
                <w:bCs/>
                <w:color w:val="000000"/>
                <w:sz w:val="24"/>
                <w:szCs w:val="24"/>
              </w:rPr>
              <w:t>28 864</w:t>
            </w: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0E1D3E" w:rsidRPr="00052C23" w:rsidRDefault="000E1D3E" w:rsidP="00251569">
            <w:pPr>
              <w:ind w:left="630" w:hanging="630"/>
              <w:rPr>
                <w:rFonts w:ascii="Arial" w:hAnsi="Arial" w:cs="Arial"/>
                <w:bCs/>
                <w:color w:val="000000"/>
                <w:sz w:val="24"/>
                <w:szCs w:val="24"/>
              </w:rPr>
            </w:pPr>
            <w:r w:rsidRPr="00052C23">
              <w:rPr>
                <w:rFonts w:ascii="Arial" w:hAnsi="Arial" w:cs="Arial"/>
                <w:bCs/>
                <w:color w:val="000000"/>
                <w:sz w:val="24"/>
                <w:szCs w:val="24"/>
              </w:rPr>
              <w:t>34 360</w:t>
            </w:r>
          </w:p>
        </w:tc>
      </w:tr>
      <w:tr w:rsidR="000E1D3E" w:rsidRPr="00052C23" w:rsidTr="00251569">
        <w:tc>
          <w:tcPr>
            <w:tcW w:w="2109" w:type="dxa"/>
          </w:tcPr>
          <w:p w:rsidR="000E1D3E" w:rsidRPr="00052C23" w:rsidRDefault="000E1D3E" w:rsidP="00251569">
            <w:pPr>
              <w:pStyle w:val="ListParagraph"/>
              <w:tabs>
                <w:tab w:val="left" w:pos="355"/>
                <w:tab w:val="left" w:pos="752"/>
              </w:tabs>
              <w:spacing w:before="100" w:beforeAutospacing="1" w:after="100" w:afterAutospacing="1"/>
              <w:ind w:left="0"/>
              <w:rPr>
                <w:rFonts w:ascii="Arial" w:eastAsia="Calibri" w:hAnsi="Arial" w:cs="Arial"/>
                <w:bCs/>
                <w:sz w:val="24"/>
                <w:szCs w:val="24"/>
              </w:rPr>
            </w:pPr>
            <w:r w:rsidRPr="00052C23">
              <w:rPr>
                <w:rFonts w:ascii="Arial" w:eastAsia="Calibri" w:hAnsi="Arial" w:cs="Arial"/>
                <w:bCs/>
                <w:sz w:val="24"/>
                <w:szCs w:val="24"/>
              </w:rPr>
              <w:t>Gauteng</w:t>
            </w:r>
          </w:p>
        </w:tc>
        <w:tc>
          <w:tcPr>
            <w:tcW w:w="2137" w:type="dxa"/>
            <w:vAlign w:val="center"/>
          </w:tcPr>
          <w:p w:rsidR="000E1D3E" w:rsidRPr="00052C23" w:rsidRDefault="000E1D3E" w:rsidP="00251569">
            <w:pPr>
              <w:ind w:left="630" w:hanging="630"/>
              <w:rPr>
                <w:rFonts w:ascii="Arial" w:hAnsi="Arial" w:cs="Arial"/>
                <w:bCs/>
                <w:color w:val="000000"/>
                <w:sz w:val="24"/>
                <w:szCs w:val="24"/>
              </w:rPr>
            </w:pPr>
            <w:r w:rsidRPr="00052C23">
              <w:rPr>
                <w:rFonts w:ascii="Arial" w:hAnsi="Arial" w:cs="Arial"/>
                <w:bCs/>
                <w:color w:val="000000"/>
                <w:sz w:val="24"/>
                <w:szCs w:val="24"/>
              </w:rPr>
              <w:t>12 632</w:t>
            </w: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0E1D3E" w:rsidRPr="00052C23" w:rsidRDefault="000E1D3E" w:rsidP="00251569">
            <w:pPr>
              <w:ind w:left="630" w:hanging="630"/>
              <w:rPr>
                <w:rFonts w:ascii="Arial" w:hAnsi="Arial" w:cs="Arial"/>
                <w:bCs/>
                <w:color w:val="000000"/>
                <w:sz w:val="24"/>
                <w:szCs w:val="24"/>
              </w:rPr>
            </w:pPr>
            <w:r w:rsidRPr="00052C23">
              <w:rPr>
                <w:rFonts w:ascii="Arial" w:hAnsi="Arial" w:cs="Arial"/>
                <w:bCs/>
                <w:color w:val="000000"/>
                <w:sz w:val="24"/>
                <w:szCs w:val="24"/>
              </w:rPr>
              <w:t>30 707</w:t>
            </w: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0E1D3E" w:rsidRPr="00052C23" w:rsidRDefault="000E1D3E" w:rsidP="00251569">
            <w:pPr>
              <w:ind w:left="630" w:hanging="630"/>
              <w:rPr>
                <w:rFonts w:ascii="Arial" w:hAnsi="Arial" w:cs="Arial"/>
                <w:bCs/>
                <w:color w:val="000000"/>
                <w:sz w:val="24"/>
                <w:szCs w:val="24"/>
              </w:rPr>
            </w:pPr>
            <w:r w:rsidRPr="00052C23">
              <w:rPr>
                <w:rFonts w:ascii="Arial" w:hAnsi="Arial" w:cs="Arial"/>
                <w:bCs/>
                <w:color w:val="000000"/>
                <w:sz w:val="24"/>
                <w:szCs w:val="24"/>
              </w:rPr>
              <w:t>36 554</w:t>
            </w:r>
          </w:p>
        </w:tc>
      </w:tr>
      <w:tr w:rsidR="000E1D3E" w:rsidRPr="00052C23" w:rsidTr="00251569">
        <w:tc>
          <w:tcPr>
            <w:tcW w:w="2109" w:type="dxa"/>
          </w:tcPr>
          <w:p w:rsidR="000E1D3E" w:rsidRPr="00052C23" w:rsidRDefault="000E1D3E" w:rsidP="00251569">
            <w:pPr>
              <w:pStyle w:val="ListParagraph"/>
              <w:tabs>
                <w:tab w:val="left" w:pos="355"/>
                <w:tab w:val="left" w:pos="752"/>
              </w:tabs>
              <w:spacing w:before="100" w:beforeAutospacing="1" w:after="100" w:afterAutospacing="1"/>
              <w:ind w:left="0"/>
              <w:rPr>
                <w:rFonts w:ascii="Arial" w:eastAsia="Calibri" w:hAnsi="Arial" w:cs="Arial"/>
                <w:bCs/>
                <w:sz w:val="24"/>
                <w:szCs w:val="24"/>
              </w:rPr>
            </w:pPr>
            <w:r w:rsidRPr="00052C23">
              <w:rPr>
                <w:rFonts w:ascii="Arial" w:eastAsia="Calibri" w:hAnsi="Arial" w:cs="Arial"/>
                <w:bCs/>
                <w:sz w:val="24"/>
                <w:szCs w:val="24"/>
              </w:rPr>
              <w:t>KwaZulu-Natal</w:t>
            </w:r>
          </w:p>
        </w:tc>
        <w:tc>
          <w:tcPr>
            <w:tcW w:w="2137" w:type="dxa"/>
            <w:vAlign w:val="center"/>
          </w:tcPr>
          <w:p w:rsidR="000E1D3E" w:rsidRPr="00052C23" w:rsidRDefault="000E1D3E" w:rsidP="00251569">
            <w:pPr>
              <w:ind w:left="630" w:hanging="630"/>
              <w:rPr>
                <w:rFonts w:ascii="Arial" w:hAnsi="Arial" w:cs="Arial"/>
                <w:bCs/>
                <w:color w:val="000000"/>
                <w:sz w:val="24"/>
                <w:szCs w:val="24"/>
              </w:rPr>
            </w:pPr>
            <w:r w:rsidRPr="00052C23">
              <w:rPr>
                <w:rFonts w:ascii="Arial" w:hAnsi="Arial" w:cs="Arial"/>
                <w:bCs/>
                <w:color w:val="000000"/>
                <w:sz w:val="24"/>
                <w:szCs w:val="24"/>
              </w:rPr>
              <w:t>5 558</w:t>
            </w: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0E1D3E" w:rsidRPr="00052C23" w:rsidRDefault="000E1D3E" w:rsidP="00251569">
            <w:pPr>
              <w:ind w:left="630" w:hanging="630"/>
              <w:rPr>
                <w:rFonts w:ascii="Arial" w:hAnsi="Arial" w:cs="Arial"/>
                <w:bCs/>
                <w:color w:val="000000"/>
                <w:sz w:val="24"/>
                <w:szCs w:val="24"/>
              </w:rPr>
            </w:pPr>
            <w:r w:rsidRPr="00052C23">
              <w:rPr>
                <w:rFonts w:ascii="Arial" w:hAnsi="Arial" w:cs="Arial"/>
                <w:bCs/>
                <w:color w:val="000000"/>
                <w:sz w:val="24"/>
                <w:szCs w:val="24"/>
              </w:rPr>
              <w:t>14 739</w:t>
            </w: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0E1D3E" w:rsidRPr="00052C23" w:rsidRDefault="000E1D3E" w:rsidP="00251569">
            <w:pPr>
              <w:ind w:left="630" w:hanging="630"/>
              <w:rPr>
                <w:rFonts w:ascii="Arial" w:hAnsi="Arial" w:cs="Arial"/>
                <w:bCs/>
                <w:color w:val="000000"/>
                <w:sz w:val="24"/>
                <w:szCs w:val="24"/>
              </w:rPr>
            </w:pPr>
            <w:r w:rsidRPr="00052C23">
              <w:rPr>
                <w:rFonts w:ascii="Arial" w:hAnsi="Arial" w:cs="Arial"/>
                <w:bCs/>
                <w:color w:val="000000"/>
                <w:sz w:val="24"/>
                <w:szCs w:val="24"/>
              </w:rPr>
              <w:t>17 545</w:t>
            </w:r>
          </w:p>
        </w:tc>
      </w:tr>
      <w:tr w:rsidR="000E1D3E" w:rsidRPr="00052C23" w:rsidTr="00251569">
        <w:tc>
          <w:tcPr>
            <w:tcW w:w="2109" w:type="dxa"/>
          </w:tcPr>
          <w:p w:rsidR="000E1D3E" w:rsidRPr="00052C23" w:rsidRDefault="000E1D3E" w:rsidP="00251569">
            <w:pPr>
              <w:pStyle w:val="ListParagraph"/>
              <w:tabs>
                <w:tab w:val="left" w:pos="355"/>
                <w:tab w:val="left" w:pos="752"/>
              </w:tabs>
              <w:spacing w:before="100" w:beforeAutospacing="1" w:after="100" w:afterAutospacing="1"/>
              <w:ind w:left="0"/>
              <w:rPr>
                <w:rFonts w:ascii="Arial" w:eastAsia="Calibri" w:hAnsi="Arial" w:cs="Arial"/>
                <w:bCs/>
                <w:sz w:val="24"/>
                <w:szCs w:val="24"/>
              </w:rPr>
            </w:pPr>
            <w:r w:rsidRPr="00052C23">
              <w:rPr>
                <w:rFonts w:ascii="Arial" w:eastAsia="Calibri" w:hAnsi="Arial" w:cs="Arial"/>
                <w:bCs/>
                <w:sz w:val="24"/>
                <w:szCs w:val="24"/>
              </w:rPr>
              <w:t>Limpopo</w:t>
            </w:r>
          </w:p>
        </w:tc>
        <w:tc>
          <w:tcPr>
            <w:tcW w:w="2137" w:type="dxa"/>
            <w:vAlign w:val="center"/>
          </w:tcPr>
          <w:p w:rsidR="000E1D3E" w:rsidRPr="00052C23" w:rsidRDefault="000E1D3E" w:rsidP="00251569">
            <w:pPr>
              <w:ind w:left="630" w:hanging="630"/>
              <w:rPr>
                <w:rFonts w:ascii="Arial" w:hAnsi="Arial" w:cs="Arial"/>
                <w:bCs/>
                <w:color w:val="000000"/>
                <w:sz w:val="24"/>
                <w:szCs w:val="24"/>
              </w:rPr>
            </w:pPr>
            <w:r w:rsidRPr="00052C23">
              <w:rPr>
                <w:rFonts w:ascii="Arial" w:hAnsi="Arial" w:cs="Arial"/>
                <w:bCs/>
                <w:color w:val="000000"/>
                <w:sz w:val="24"/>
                <w:szCs w:val="24"/>
              </w:rPr>
              <w:t>9 853</w:t>
            </w: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0E1D3E" w:rsidRPr="00052C23" w:rsidRDefault="000E1D3E" w:rsidP="00251569">
            <w:pPr>
              <w:ind w:left="630" w:hanging="630"/>
              <w:rPr>
                <w:rFonts w:ascii="Arial" w:hAnsi="Arial" w:cs="Arial"/>
                <w:bCs/>
                <w:color w:val="000000"/>
                <w:sz w:val="24"/>
                <w:szCs w:val="24"/>
              </w:rPr>
            </w:pPr>
            <w:r w:rsidRPr="00052C23">
              <w:rPr>
                <w:rFonts w:ascii="Arial" w:hAnsi="Arial" w:cs="Arial"/>
                <w:bCs/>
                <w:color w:val="000000"/>
                <w:sz w:val="24"/>
                <w:szCs w:val="24"/>
              </w:rPr>
              <w:t>24 565</w:t>
            </w: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0E1D3E" w:rsidRPr="00052C23" w:rsidRDefault="000E1D3E" w:rsidP="00251569">
            <w:pPr>
              <w:ind w:left="630" w:hanging="630"/>
              <w:rPr>
                <w:rFonts w:ascii="Arial" w:hAnsi="Arial" w:cs="Arial"/>
                <w:bCs/>
                <w:color w:val="000000"/>
                <w:sz w:val="24"/>
                <w:szCs w:val="24"/>
              </w:rPr>
            </w:pPr>
            <w:r w:rsidRPr="00052C23">
              <w:rPr>
                <w:rFonts w:ascii="Arial" w:hAnsi="Arial" w:cs="Arial"/>
                <w:bCs/>
                <w:color w:val="000000"/>
                <w:sz w:val="24"/>
                <w:szCs w:val="24"/>
              </w:rPr>
              <w:t>29 243</w:t>
            </w:r>
          </w:p>
        </w:tc>
      </w:tr>
      <w:tr w:rsidR="000E1D3E" w:rsidRPr="00052C23" w:rsidTr="00251569">
        <w:tc>
          <w:tcPr>
            <w:tcW w:w="2109" w:type="dxa"/>
          </w:tcPr>
          <w:p w:rsidR="000E1D3E" w:rsidRPr="00052C23" w:rsidRDefault="000E1D3E" w:rsidP="00251569">
            <w:pPr>
              <w:pStyle w:val="ListParagraph"/>
              <w:tabs>
                <w:tab w:val="left" w:pos="355"/>
                <w:tab w:val="left" w:pos="752"/>
              </w:tabs>
              <w:spacing w:before="100" w:beforeAutospacing="1" w:after="100" w:afterAutospacing="1"/>
              <w:ind w:left="0"/>
              <w:rPr>
                <w:rFonts w:ascii="Arial" w:eastAsia="Calibri" w:hAnsi="Arial" w:cs="Arial"/>
                <w:bCs/>
                <w:sz w:val="24"/>
                <w:szCs w:val="24"/>
              </w:rPr>
            </w:pPr>
            <w:r w:rsidRPr="00052C23">
              <w:rPr>
                <w:rFonts w:ascii="Arial" w:eastAsia="Calibri" w:hAnsi="Arial" w:cs="Arial"/>
                <w:bCs/>
                <w:sz w:val="24"/>
                <w:szCs w:val="24"/>
              </w:rPr>
              <w:t>Mpumalanga</w:t>
            </w:r>
          </w:p>
        </w:tc>
        <w:tc>
          <w:tcPr>
            <w:tcW w:w="2137" w:type="dxa"/>
            <w:vAlign w:val="center"/>
          </w:tcPr>
          <w:p w:rsidR="000E1D3E" w:rsidRPr="00052C23" w:rsidRDefault="000E1D3E" w:rsidP="00251569">
            <w:pPr>
              <w:ind w:left="630" w:hanging="630"/>
              <w:rPr>
                <w:rFonts w:ascii="Arial" w:hAnsi="Arial" w:cs="Arial"/>
                <w:bCs/>
                <w:color w:val="000000"/>
                <w:sz w:val="24"/>
                <w:szCs w:val="24"/>
              </w:rPr>
            </w:pPr>
            <w:r w:rsidRPr="00052C23">
              <w:rPr>
                <w:rFonts w:ascii="Arial" w:hAnsi="Arial" w:cs="Arial"/>
                <w:bCs/>
                <w:color w:val="000000"/>
                <w:sz w:val="24"/>
                <w:szCs w:val="24"/>
              </w:rPr>
              <w:t>12 883</w:t>
            </w: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0E1D3E" w:rsidRPr="00052C23" w:rsidRDefault="000E1D3E" w:rsidP="00251569">
            <w:pPr>
              <w:ind w:left="630" w:hanging="630"/>
              <w:rPr>
                <w:rFonts w:ascii="Arial" w:hAnsi="Arial" w:cs="Arial"/>
                <w:bCs/>
                <w:color w:val="000000"/>
                <w:sz w:val="24"/>
                <w:szCs w:val="24"/>
              </w:rPr>
            </w:pPr>
            <w:r w:rsidRPr="00052C23">
              <w:rPr>
                <w:rFonts w:ascii="Arial" w:hAnsi="Arial" w:cs="Arial"/>
                <w:bCs/>
                <w:color w:val="000000"/>
                <w:sz w:val="24"/>
                <w:szCs w:val="24"/>
              </w:rPr>
              <w:t>31 322</w:t>
            </w: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0E1D3E" w:rsidRPr="00052C23" w:rsidRDefault="000E1D3E" w:rsidP="00251569">
            <w:pPr>
              <w:ind w:left="630" w:hanging="630"/>
              <w:rPr>
                <w:rFonts w:ascii="Arial" w:hAnsi="Arial" w:cs="Arial"/>
                <w:bCs/>
                <w:color w:val="000000"/>
                <w:sz w:val="24"/>
                <w:szCs w:val="24"/>
              </w:rPr>
            </w:pPr>
            <w:r w:rsidRPr="00052C23">
              <w:rPr>
                <w:rFonts w:ascii="Arial" w:hAnsi="Arial" w:cs="Arial"/>
                <w:bCs/>
                <w:color w:val="000000"/>
                <w:sz w:val="24"/>
                <w:szCs w:val="24"/>
              </w:rPr>
              <w:t>37 285</w:t>
            </w:r>
          </w:p>
        </w:tc>
      </w:tr>
      <w:tr w:rsidR="000E1D3E" w:rsidRPr="00052C23" w:rsidTr="00251569">
        <w:tc>
          <w:tcPr>
            <w:tcW w:w="2109" w:type="dxa"/>
          </w:tcPr>
          <w:p w:rsidR="000E1D3E" w:rsidRPr="00052C23" w:rsidRDefault="000E1D3E" w:rsidP="00251569">
            <w:pPr>
              <w:pStyle w:val="ListParagraph"/>
              <w:tabs>
                <w:tab w:val="left" w:pos="355"/>
                <w:tab w:val="left" w:pos="752"/>
              </w:tabs>
              <w:spacing w:before="100" w:beforeAutospacing="1" w:after="100" w:afterAutospacing="1"/>
              <w:ind w:left="0"/>
              <w:rPr>
                <w:rFonts w:ascii="Arial" w:eastAsia="Calibri" w:hAnsi="Arial" w:cs="Arial"/>
                <w:bCs/>
                <w:sz w:val="24"/>
                <w:szCs w:val="24"/>
              </w:rPr>
            </w:pPr>
            <w:r w:rsidRPr="00052C23">
              <w:rPr>
                <w:rFonts w:ascii="Arial" w:eastAsia="Calibri" w:hAnsi="Arial" w:cs="Arial"/>
                <w:bCs/>
                <w:sz w:val="24"/>
                <w:szCs w:val="24"/>
              </w:rPr>
              <w:t>Northern Cape</w:t>
            </w:r>
          </w:p>
        </w:tc>
        <w:tc>
          <w:tcPr>
            <w:tcW w:w="2137" w:type="dxa"/>
            <w:vAlign w:val="center"/>
          </w:tcPr>
          <w:p w:rsidR="000E1D3E" w:rsidRPr="00052C23" w:rsidRDefault="000E1D3E" w:rsidP="00251569">
            <w:pPr>
              <w:ind w:left="630" w:hanging="630"/>
              <w:rPr>
                <w:rFonts w:ascii="Arial" w:hAnsi="Arial" w:cs="Arial"/>
                <w:bCs/>
                <w:color w:val="000000"/>
                <w:sz w:val="24"/>
                <w:szCs w:val="24"/>
              </w:rPr>
            </w:pPr>
            <w:r w:rsidRPr="00052C23">
              <w:rPr>
                <w:rFonts w:ascii="Arial" w:hAnsi="Arial" w:cs="Arial"/>
                <w:bCs/>
                <w:color w:val="000000"/>
                <w:sz w:val="24"/>
                <w:szCs w:val="24"/>
              </w:rPr>
              <w:t>2 021</w:t>
            </w: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0E1D3E" w:rsidRPr="00052C23" w:rsidRDefault="000E1D3E" w:rsidP="00251569">
            <w:pPr>
              <w:ind w:left="630" w:hanging="630"/>
              <w:rPr>
                <w:rFonts w:ascii="Arial" w:hAnsi="Arial" w:cs="Arial"/>
                <w:bCs/>
                <w:color w:val="000000"/>
                <w:sz w:val="24"/>
                <w:szCs w:val="24"/>
              </w:rPr>
            </w:pPr>
            <w:r w:rsidRPr="00052C23">
              <w:rPr>
                <w:rFonts w:ascii="Arial" w:hAnsi="Arial" w:cs="Arial"/>
                <w:bCs/>
                <w:color w:val="000000"/>
                <w:sz w:val="24"/>
                <w:szCs w:val="24"/>
              </w:rPr>
              <w:t>6 142</w:t>
            </w: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0E1D3E" w:rsidRPr="00052C23" w:rsidRDefault="000E1D3E" w:rsidP="00251569">
            <w:pPr>
              <w:ind w:left="630" w:hanging="630"/>
              <w:rPr>
                <w:rFonts w:ascii="Arial" w:hAnsi="Arial" w:cs="Arial"/>
                <w:bCs/>
                <w:color w:val="000000"/>
                <w:sz w:val="24"/>
                <w:szCs w:val="24"/>
              </w:rPr>
            </w:pPr>
            <w:r w:rsidRPr="00052C23">
              <w:rPr>
                <w:rFonts w:ascii="Arial" w:hAnsi="Arial" w:cs="Arial"/>
                <w:bCs/>
                <w:color w:val="000000"/>
                <w:sz w:val="24"/>
                <w:szCs w:val="24"/>
              </w:rPr>
              <w:t>7 312</w:t>
            </w:r>
          </w:p>
        </w:tc>
      </w:tr>
      <w:tr w:rsidR="000E1D3E" w:rsidRPr="00052C23" w:rsidTr="00251569">
        <w:tc>
          <w:tcPr>
            <w:tcW w:w="2109" w:type="dxa"/>
          </w:tcPr>
          <w:p w:rsidR="000E1D3E" w:rsidRPr="00052C23" w:rsidRDefault="000E1D3E" w:rsidP="00251569">
            <w:pPr>
              <w:pStyle w:val="ListParagraph"/>
              <w:tabs>
                <w:tab w:val="left" w:pos="355"/>
                <w:tab w:val="left" w:pos="752"/>
              </w:tabs>
              <w:spacing w:before="100" w:beforeAutospacing="1" w:after="100" w:afterAutospacing="1"/>
              <w:ind w:left="0"/>
              <w:rPr>
                <w:rFonts w:ascii="Arial" w:eastAsia="Calibri" w:hAnsi="Arial" w:cs="Arial"/>
                <w:bCs/>
                <w:sz w:val="24"/>
                <w:szCs w:val="24"/>
              </w:rPr>
            </w:pPr>
            <w:r w:rsidRPr="00052C23">
              <w:rPr>
                <w:rFonts w:ascii="Arial" w:eastAsia="Calibri" w:hAnsi="Arial" w:cs="Arial"/>
                <w:bCs/>
                <w:sz w:val="24"/>
                <w:szCs w:val="24"/>
              </w:rPr>
              <w:t>North West</w:t>
            </w:r>
          </w:p>
        </w:tc>
        <w:tc>
          <w:tcPr>
            <w:tcW w:w="2137" w:type="dxa"/>
            <w:vAlign w:val="center"/>
          </w:tcPr>
          <w:p w:rsidR="000E1D3E" w:rsidRPr="00052C23" w:rsidRDefault="000E1D3E" w:rsidP="00251569">
            <w:pPr>
              <w:ind w:left="630" w:hanging="630"/>
              <w:rPr>
                <w:rFonts w:ascii="Arial" w:hAnsi="Arial" w:cs="Arial"/>
                <w:bCs/>
                <w:color w:val="000000"/>
                <w:sz w:val="24"/>
                <w:szCs w:val="24"/>
              </w:rPr>
            </w:pPr>
            <w:r w:rsidRPr="00052C23">
              <w:rPr>
                <w:rFonts w:ascii="Arial" w:hAnsi="Arial" w:cs="Arial"/>
                <w:bCs/>
                <w:color w:val="000000"/>
                <w:sz w:val="24"/>
                <w:szCs w:val="24"/>
              </w:rPr>
              <w:t>2 274</w:t>
            </w: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0E1D3E" w:rsidRPr="00052C23" w:rsidRDefault="000E1D3E" w:rsidP="00251569">
            <w:pPr>
              <w:ind w:left="630" w:hanging="630"/>
              <w:rPr>
                <w:rFonts w:ascii="Arial" w:hAnsi="Arial" w:cs="Arial"/>
                <w:bCs/>
                <w:color w:val="000000"/>
                <w:sz w:val="24"/>
                <w:szCs w:val="24"/>
              </w:rPr>
            </w:pPr>
            <w:r w:rsidRPr="00052C23">
              <w:rPr>
                <w:rFonts w:ascii="Arial" w:hAnsi="Arial" w:cs="Arial"/>
                <w:bCs/>
                <w:color w:val="000000"/>
                <w:sz w:val="24"/>
                <w:szCs w:val="24"/>
              </w:rPr>
              <w:t>6 756</w:t>
            </w: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0E1D3E" w:rsidRPr="00052C23" w:rsidRDefault="000E1D3E" w:rsidP="00251569">
            <w:pPr>
              <w:ind w:left="630" w:hanging="630"/>
              <w:rPr>
                <w:rFonts w:ascii="Arial" w:hAnsi="Arial" w:cs="Arial"/>
                <w:bCs/>
                <w:color w:val="000000"/>
                <w:sz w:val="24"/>
                <w:szCs w:val="24"/>
              </w:rPr>
            </w:pPr>
            <w:r w:rsidRPr="00052C23">
              <w:rPr>
                <w:rFonts w:ascii="Arial" w:hAnsi="Arial" w:cs="Arial"/>
                <w:bCs/>
                <w:color w:val="000000"/>
                <w:sz w:val="24"/>
                <w:szCs w:val="24"/>
              </w:rPr>
              <w:t>8 042</w:t>
            </w:r>
          </w:p>
        </w:tc>
      </w:tr>
      <w:tr w:rsidR="000E1D3E" w:rsidRPr="00052C23" w:rsidTr="00251569">
        <w:tc>
          <w:tcPr>
            <w:tcW w:w="2109" w:type="dxa"/>
          </w:tcPr>
          <w:p w:rsidR="000E1D3E" w:rsidRPr="00052C23" w:rsidRDefault="000E1D3E" w:rsidP="00251569">
            <w:pPr>
              <w:pStyle w:val="ListParagraph"/>
              <w:tabs>
                <w:tab w:val="left" w:pos="355"/>
                <w:tab w:val="left" w:pos="752"/>
              </w:tabs>
              <w:spacing w:before="100" w:beforeAutospacing="1" w:after="100" w:afterAutospacing="1"/>
              <w:ind w:left="0"/>
              <w:rPr>
                <w:rFonts w:ascii="Arial" w:eastAsia="Calibri" w:hAnsi="Arial" w:cs="Arial"/>
                <w:bCs/>
                <w:sz w:val="24"/>
                <w:szCs w:val="24"/>
              </w:rPr>
            </w:pPr>
            <w:r w:rsidRPr="00052C23">
              <w:rPr>
                <w:rFonts w:ascii="Arial" w:eastAsia="Calibri" w:hAnsi="Arial" w:cs="Arial"/>
                <w:bCs/>
                <w:sz w:val="24"/>
                <w:szCs w:val="24"/>
              </w:rPr>
              <w:t>Western Cape</w:t>
            </w:r>
          </w:p>
        </w:tc>
        <w:tc>
          <w:tcPr>
            <w:tcW w:w="2137" w:type="dxa"/>
            <w:vAlign w:val="center"/>
          </w:tcPr>
          <w:p w:rsidR="000E1D3E" w:rsidRPr="00052C23" w:rsidRDefault="000E1D3E" w:rsidP="00251569">
            <w:pPr>
              <w:ind w:left="630" w:hanging="630"/>
              <w:rPr>
                <w:rFonts w:ascii="Arial" w:hAnsi="Arial" w:cs="Arial"/>
                <w:bCs/>
                <w:color w:val="000000"/>
                <w:sz w:val="24"/>
                <w:szCs w:val="24"/>
              </w:rPr>
            </w:pPr>
            <w:r w:rsidRPr="00052C23">
              <w:rPr>
                <w:rFonts w:ascii="Arial" w:hAnsi="Arial" w:cs="Arial"/>
                <w:bCs/>
                <w:color w:val="000000"/>
                <w:sz w:val="24"/>
                <w:szCs w:val="24"/>
              </w:rPr>
              <w:t>11 874</w:t>
            </w: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0E1D3E" w:rsidRPr="00052C23" w:rsidRDefault="000E1D3E" w:rsidP="00251569">
            <w:pPr>
              <w:ind w:left="630" w:hanging="630"/>
              <w:rPr>
                <w:rFonts w:ascii="Arial" w:hAnsi="Arial" w:cs="Arial"/>
                <w:bCs/>
                <w:color w:val="000000"/>
                <w:sz w:val="24"/>
                <w:szCs w:val="24"/>
              </w:rPr>
            </w:pPr>
            <w:r w:rsidRPr="00052C23">
              <w:rPr>
                <w:rFonts w:ascii="Arial" w:hAnsi="Arial" w:cs="Arial"/>
                <w:bCs/>
                <w:color w:val="000000"/>
                <w:sz w:val="24"/>
                <w:szCs w:val="24"/>
              </w:rPr>
              <w:t>30 093</w:t>
            </w: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0E1D3E" w:rsidRPr="00052C23" w:rsidRDefault="000E1D3E" w:rsidP="00251569">
            <w:pPr>
              <w:ind w:left="630" w:hanging="630"/>
              <w:rPr>
                <w:rFonts w:ascii="Arial" w:hAnsi="Arial" w:cs="Arial"/>
                <w:bCs/>
                <w:color w:val="000000"/>
                <w:sz w:val="24"/>
                <w:szCs w:val="24"/>
              </w:rPr>
            </w:pPr>
            <w:r w:rsidRPr="00052C23">
              <w:rPr>
                <w:rFonts w:ascii="Arial" w:hAnsi="Arial" w:cs="Arial"/>
                <w:bCs/>
                <w:color w:val="000000"/>
                <w:sz w:val="24"/>
                <w:szCs w:val="24"/>
              </w:rPr>
              <w:t>35 822</w:t>
            </w:r>
          </w:p>
        </w:tc>
      </w:tr>
      <w:tr w:rsidR="000E1D3E" w:rsidRPr="00052C23" w:rsidTr="00251569">
        <w:tc>
          <w:tcPr>
            <w:tcW w:w="2109" w:type="dxa"/>
          </w:tcPr>
          <w:p w:rsidR="000E1D3E" w:rsidRPr="00052C23" w:rsidRDefault="000E1D3E" w:rsidP="00251569">
            <w:pPr>
              <w:pStyle w:val="ListParagraph"/>
              <w:tabs>
                <w:tab w:val="left" w:pos="355"/>
                <w:tab w:val="left" w:pos="752"/>
              </w:tabs>
              <w:spacing w:before="100" w:beforeAutospacing="1" w:after="100" w:afterAutospacing="1"/>
              <w:ind w:left="0"/>
              <w:rPr>
                <w:rFonts w:ascii="Arial" w:eastAsia="Calibri" w:hAnsi="Arial" w:cs="Arial"/>
                <w:b/>
                <w:bCs/>
                <w:sz w:val="24"/>
                <w:szCs w:val="24"/>
              </w:rPr>
            </w:pPr>
            <w:r w:rsidRPr="00052C23">
              <w:rPr>
                <w:rFonts w:ascii="Arial" w:eastAsia="Calibri" w:hAnsi="Arial" w:cs="Arial"/>
                <w:b/>
                <w:bCs/>
                <w:sz w:val="24"/>
                <w:szCs w:val="24"/>
              </w:rPr>
              <w:t>Total</w:t>
            </w:r>
          </w:p>
        </w:tc>
        <w:tc>
          <w:tcPr>
            <w:tcW w:w="2137" w:type="dxa"/>
            <w:vAlign w:val="center"/>
          </w:tcPr>
          <w:p w:rsidR="000E1D3E" w:rsidRPr="00052C23" w:rsidRDefault="000E1D3E" w:rsidP="00251569">
            <w:pPr>
              <w:ind w:left="630" w:hanging="630"/>
              <w:rPr>
                <w:rFonts w:ascii="Arial" w:hAnsi="Arial" w:cs="Arial"/>
                <w:b/>
                <w:bCs/>
                <w:color w:val="000000"/>
                <w:sz w:val="24"/>
                <w:szCs w:val="24"/>
              </w:rPr>
            </w:pPr>
            <w:r w:rsidRPr="00052C23">
              <w:rPr>
                <w:rFonts w:ascii="Arial" w:hAnsi="Arial" w:cs="Arial"/>
                <w:b/>
                <w:bCs/>
                <w:color w:val="000000"/>
                <w:sz w:val="24"/>
                <w:szCs w:val="24"/>
              </w:rPr>
              <w:t>72 000</w:t>
            </w: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0E1D3E" w:rsidRPr="00052C23" w:rsidRDefault="000E1D3E" w:rsidP="00251569">
            <w:pPr>
              <w:ind w:left="630" w:hanging="630"/>
              <w:rPr>
                <w:rFonts w:ascii="Arial" w:hAnsi="Arial" w:cs="Arial"/>
                <w:b/>
                <w:bCs/>
                <w:color w:val="000000"/>
                <w:sz w:val="24"/>
                <w:szCs w:val="24"/>
              </w:rPr>
            </w:pPr>
            <w:r w:rsidRPr="00052C23">
              <w:rPr>
                <w:rFonts w:ascii="Arial" w:hAnsi="Arial" w:cs="Arial"/>
                <w:b/>
                <w:bCs/>
                <w:color w:val="000000"/>
                <w:sz w:val="24"/>
                <w:szCs w:val="24"/>
              </w:rPr>
              <w:t>185 471</w:t>
            </w: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0E1D3E" w:rsidRPr="00052C23" w:rsidRDefault="000E1D3E" w:rsidP="00251569">
            <w:pPr>
              <w:ind w:left="630" w:hanging="630"/>
              <w:rPr>
                <w:rFonts w:ascii="Arial" w:hAnsi="Arial" w:cs="Arial"/>
                <w:b/>
                <w:bCs/>
                <w:color w:val="000000"/>
                <w:sz w:val="24"/>
                <w:szCs w:val="24"/>
              </w:rPr>
            </w:pPr>
            <w:r w:rsidRPr="00052C23">
              <w:rPr>
                <w:rFonts w:ascii="Arial" w:hAnsi="Arial" w:cs="Arial"/>
                <w:b/>
                <w:bCs/>
                <w:color w:val="000000"/>
                <w:sz w:val="24"/>
                <w:szCs w:val="24"/>
              </w:rPr>
              <w:t>220 785</w:t>
            </w:r>
          </w:p>
        </w:tc>
      </w:tr>
    </w:tbl>
    <w:p w:rsidR="000E1D3E" w:rsidRPr="00052C23" w:rsidRDefault="000E1D3E" w:rsidP="000E1D3E">
      <w:pPr>
        <w:tabs>
          <w:tab w:val="left" w:pos="355"/>
          <w:tab w:val="left" w:pos="752"/>
        </w:tabs>
        <w:spacing w:before="100" w:beforeAutospacing="1" w:after="100" w:afterAutospacing="1"/>
        <w:ind w:left="709" w:hanging="709"/>
        <w:rPr>
          <w:rFonts w:ascii="Arial" w:eastAsia="Calibri" w:hAnsi="Arial" w:cs="Arial"/>
          <w:bCs/>
          <w:sz w:val="24"/>
          <w:szCs w:val="24"/>
        </w:rPr>
      </w:pPr>
      <w:r w:rsidRPr="00052C23">
        <w:rPr>
          <w:rFonts w:ascii="Arial" w:eastAsia="Calibri" w:hAnsi="Arial" w:cs="Arial"/>
          <w:bCs/>
          <w:sz w:val="24"/>
          <w:szCs w:val="24"/>
        </w:rPr>
        <w:tab/>
        <w:t>(b)</w:t>
      </w:r>
      <w:r w:rsidRPr="00052C23">
        <w:rPr>
          <w:rFonts w:ascii="Arial" w:eastAsia="Calibri" w:hAnsi="Arial" w:cs="Arial"/>
          <w:bCs/>
          <w:sz w:val="24"/>
          <w:szCs w:val="24"/>
        </w:rPr>
        <w:tab/>
      </w:r>
      <w:r w:rsidRPr="00052C23">
        <w:rPr>
          <w:rFonts w:ascii="Arial" w:eastAsia="Calibri" w:hAnsi="Arial" w:cs="Arial"/>
          <w:bCs/>
          <w:sz w:val="24"/>
          <w:szCs w:val="24"/>
        </w:rPr>
        <w:tab/>
        <w:t>Provinces will distribute the grant in accordance with the following guidelines as stipulated in the Grant Framework:</w:t>
      </w:r>
    </w:p>
    <w:p w:rsidR="000E1D3E" w:rsidRPr="00052C23" w:rsidRDefault="000E1D3E" w:rsidP="000E1D3E">
      <w:pPr>
        <w:pStyle w:val="ListParagraph"/>
        <w:numPr>
          <w:ilvl w:val="0"/>
          <w:numId w:val="3"/>
        </w:numPr>
        <w:tabs>
          <w:tab w:val="left" w:pos="709"/>
          <w:tab w:val="left" w:pos="752"/>
          <w:tab w:val="left" w:pos="1335"/>
        </w:tabs>
        <w:spacing w:before="240" w:after="240"/>
        <w:ind w:left="714" w:hanging="357"/>
        <w:contextualSpacing w:val="0"/>
        <w:rPr>
          <w:rFonts w:ascii="Arial" w:eastAsia="Calibri" w:hAnsi="Arial" w:cs="Arial"/>
          <w:sz w:val="24"/>
          <w:szCs w:val="24"/>
        </w:rPr>
      </w:pPr>
      <w:r w:rsidRPr="00052C23">
        <w:rPr>
          <w:rFonts w:ascii="Arial" w:eastAsia="Calibri" w:hAnsi="Arial" w:cs="Arial"/>
          <w:sz w:val="24"/>
          <w:szCs w:val="24"/>
        </w:rPr>
        <w:t>13% for training of teachers and the 31 Outreach Teams;</w:t>
      </w:r>
    </w:p>
    <w:p w:rsidR="000E1D3E" w:rsidRPr="00052C23" w:rsidRDefault="000E1D3E" w:rsidP="000E1D3E">
      <w:pPr>
        <w:pStyle w:val="ListParagraph"/>
        <w:numPr>
          <w:ilvl w:val="0"/>
          <w:numId w:val="3"/>
        </w:numPr>
        <w:tabs>
          <w:tab w:val="left" w:pos="355"/>
          <w:tab w:val="left" w:pos="752"/>
          <w:tab w:val="left" w:pos="1335"/>
        </w:tabs>
        <w:spacing w:before="240" w:after="240"/>
        <w:ind w:left="714" w:hanging="357"/>
        <w:contextualSpacing w:val="0"/>
        <w:rPr>
          <w:rFonts w:ascii="Arial" w:eastAsia="Calibri" w:hAnsi="Arial" w:cs="Arial"/>
          <w:sz w:val="24"/>
          <w:szCs w:val="24"/>
        </w:rPr>
      </w:pPr>
      <w:r w:rsidRPr="00052C23">
        <w:rPr>
          <w:rFonts w:ascii="Arial" w:eastAsia="Calibri" w:hAnsi="Arial" w:cs="Arial"/>
          <w:sz w:val="24"/>
          <w:szCs w:val="24"/>
        </w:rPr>
        <w:t>11% for Learning and Teaching Support Materials, toolkits and equipment for centres and designated schools;</w:t>
      </w:r>
    </w:p>
    <w:p w:rsidR="000E1D3E" w:rsidRPr="00052C23" w:rsidRDefault="000E1D3E" w:rsidP="000E1D3E">
      <w:pPr>
        <w:pStyle w:val="ListParagraph"/>
        <w:numPr>
          <w:ilvl w:val="0"/>
          <w:numId w:val="3"/>
        </w:numPr>
        <w:tabs>
          <w:tab w:val="left" w:pos="355"/>
          <w:tab w:val="left" w:pos="752"/>
          <w:tab w:val="left" w:pos="1335"/>
        </w:tabs>
        <w:spacing w:before="240" w:after="240"/>
        <w:ind w:left="714" w:hanging="357"/>
        <w:contextualSpacing w:val="0"/>
        <w:rPr>
          <w:rFonts w:ascii="Arial" w:eastAsia="Calibri" w:hAnsi="Arial" w:cs="Arial"/>
          <w:sz w:val="24"/>
          <w:szCs w:val="24"/>
        </w:rPr>
      </w:pPr>
      <w:r w:rsidRPr="00052C23">
        <w:rPr>
          <w:rFonts w:ascii="Arial" w:eastAsia="Calibri" w:hAnsi="Arial" w:cs="Arial"/>
          <w:sz w:val="24"/>
          <w:szCs w:val="24"/>
        </w:rPr>
        <w:t>56% for compensation of itinerant teams and provincial co-ordinators; as well as</w:t>
      </w:r>
    </w:p>
    <w:p w:rsidR="000E1D3E" w:rsidRPr="00052C23" w:rsidRDefault="000E1D3E" w:rsidP="000E1D3E">
      <w:pPr>
        <w:pStyle w:val="ListParagraph"/>
        <w:numPr>
          <w:ilvl w:val="0"/>
          <w:numId w:val="3"/>
        </w:numPr>
        <w:tabs>
          <w:tab w:val="left" w:pos="355"/>
          <w:tab w:val="left" w:pos="752"/>
          <w:tab w:val="left" w:pos="1335"/>
        </w:tabs>
        <w:spacing w:before="240" w:after="240"/>
        <w:ind w:left="714" w:hanging="357"/>
        <w:contextualSpacing w:val="0"/>
        <w:rPr>
          <w:rFonts w:ascii="Arial" w:eastAsia="Calibri" w:hAnsi="Arial" w:cs="Arial"/>
          <w:sz w:val="24"/>
          <w:szCs w:val="24"/>
        </w:rPr>
      </w:pPr>
      <w:r w:rsidRPr="00052C23">
        <w:rPr>
          <w:rFonts w:ascii="Arial" w:eastAsia="Calibri" w:hAnsi="Arial" w:cs="Arial"/>
          <w:sz w:val="24"/>
          <w:szCs w:val="24"/>
        </w:rPr>
        <w:lastRenderedPageBreak/>
        <w:t>20% for administration including travel, vehicles, accommodation and subsistence.</w:t>
      </w:r>
    </w:p>
    <w:p w:rsidR="000E1D3E" w:rsidRPr="00052C23" w:rsidRDefault="000E1D3E" w:rsidP="000E1D3E">
      <w:pPr>
        <w:tabs>
          <w:tab w:val="left" w:pos="397"/>
          <w:tab w:val="left" w:pos="794"/>
        </w:tabs>
        <w:spacing w:before="100" w:beforeAutospacing="1" w:after="100" w:afterAutospacing="1"/>
        <w:rPr>
          <w:rFonts w:ascii="Arial" w:eastAsia="Calibri" w:hAnsi="Arial" w:cs="Arial"/>
          <w:bCs/>
          <w:sz w:val="24"/>
          <w:szCs w:val="24"/>
          <w:highlight w:val="yellow"/>
        </w:rPr>
      </w:pPr>
      <w:r w:rsidRPr="00052C23">
        <w:rPr>
          <w:rFonts w:ascii="Arial" w:eastAsia="Calibri" w:hAnsi="Arial" w:cs="Arial"/>
          <w:sz w:val="24"/>
          <w:szCs w:val="24"/>
        </w:rPr>
        <w:t xml:space="preserve"> </w:t>
      </w:r>
      <w:r w:rsidRPr="00052C23">
        <w:rPr>
          <w:rFonts w:ascii="Arial" w:eastAsia="Calibri" w:hAnsi="Arial" w:cs="Arial"/>
          <w:bCs/>
          <w:sz w:val="24"/>
          <w:szCs w:val="24"/>
        </w:rPr>
        <w:t>(2)</w:t>
      </w:r>
      <w:r w:rsidRPr="00052C23">
        <w:rPr>
          <w:rFonts w:ascii="Arial" w:eastAsia="Calibri" w:hAnsi="Arial" w:cs="Arial"/>
          <w:bCs/>
          <w:sz w:val="24"/>
          <w:szCs w:val="24"/>
        </w:rPr>
        <w:tab/>
        <w:t>(a)</w:t>
      </w:r>
      <w:r w:rsidRPr="00052C23">
        <w:rPr>
          <w:rFonts w:ascii="Arial" w:eastAsia="Calibri" w:hAnsi="Arial" w:cs="Arial"/>
          <w:bCs/>
          <w:sz w:val="24"/>
          <w:szCs w:val="24"/>
        </w:rPr>
        <w:tab/>
      </w:r>
      <w:r w:rsidRPr="00052C23">
        <w:rPr>
          <w:rFonts w:ascii="Arial" w:eastAsia="Calibri" w:hAnsi="Arial" w:cs="Arial"/>
          <w:sz w:val="24"/>
          <w:szCs w:val="24"/>
        </w:rPr>
        <w:t>The Grant will be used to benefit learners in the following ways:</w:t>
      </w:r>
    </w:p>
    <w:p w:rsidR="000E1D3E" w:rsidRPr="00052C23" w:rsidRDefault="000E1D3E" w:rsidP="000E1D3E">
      <w:pPr>
        <w:pStyle w:val="ListParagraph"/>
        <w:numPr>
          <w:ilvl w:val="0"/>
          <w:numId w:val="1"/>
        </w:numPr>
        <w:tabs>
          <w:tab w:val="left" w:pos="0"/>
        </w:tabs>
        <w:spacing w:before="120" w:after="120"/>
        <w:ind w:left="714" w:hanging="357"/>
        <w:contextualSpacing w:val="0"/>
        <w:jc w:val="both"/>
        <w:rPr>
          <w:rFonts w:ascii="Arial" w:eastAsia="Calibri" w:hAnsi="Arial" w:cs="Arial"/>
          <w:sz w:val="24"/>
          <w:szCs w:val="24"/>
        </w:rPr>
      </w:pPr>
      <w:r w:rsidRPr="00052C23">
        <w:rPr>
          <w:rFonts w:ascii="Arial" w:eastAsia="Calibri" w:hAnsi="Arial" w:cs="Arial"/>
          <w:sz w:val="24"/>
          <w:szCs w:val="24"/>
        </w:rPr>
        <w:t xml:space="preserve">To provide therapeutic and psycho-social intervention to learners and their families in targeted 186 schools and 280 care centres by appointing and training 155 specialised staff, who will provide the therapeutic intervention and procuring equipment as well as learning teaching support materials (LTSM) to be used by the staff; </w:t>
      </w:r>
    </w:p>
    <w:p w:rsidR="000E1D3E" w:rsidRPr="00052C23" w:rsidRDefault="000E1D3E" w:rsidP="000E1D3E">
      <w:pPr>
        <w:pStyle w:val="ListParagraph"/>
        <w:numPr>
          <w:ilvl w:val="0"/>
          <w:numId w:val="1"/>
        </w:numPr>
        <w:tabs>
          <w:tab w:val="left" w:pos="0"/>
        </w:tabs>
        <w:spacing w:before="120" w:after="120"/>
        <w:ind w:left="714" w:hanging="357"/>
        <w:contextualSpacing w:val="0"/>
        <w:jc w:val="both"/>
        <w:rPr>
          <w:rFonts w:ascii="Arial" w:eastAsia="Calibri" w:hAnsi="Arial" w:cs="Arial"/>
          <w:sz w:val="24"/>
          <w:szCs w:val="24"/>
        </w:rPr>
      </w:pPr>
      <w:r w:rsidRPr="00052C23">
        <w:rPr>
          <w:rFonts w:ascii="Arial" w:eastAsia="Calibri" w:hAnsi="Arial" w:cs="Arial"/>
          <w:sz w:val="24"/>
          <w:szCs w:val="24"/>
        </w:rPr>
        <w:t xml:space="preserve">To track, provide learner-specific support and follow up on their progress by creating a comprehensive and reliable database of learners in the targeted schools and care centres; </w:t>
      </w:r>
    </w:p>
    <w:p w:rsidR="000E1D3E" w:rsidRPr="00052C23" w:rsidRDefault="000E1D3E" w:rsidP="000E1D3E">
      <w:pPr>
        <w:pStyle w:val="ListParagraph"/>
        <w:numPr>
          <w:ilvl w:val="0"/>
          <w:numId w:val="1"/>
        </w:numPr>
        <w:tabs>
          <w:tab w:val="left" w:pos="0"/>
        </w:tabs>
        <w:spacing w:before="120" w:after="120"/>
        <w:ind w:left="714" w:hanging="357"/>
        <w:contextualSpacing w:val="0"/>
        <w:jc w:val="both"/>
        <w:rPr>
          <w:rFonts w:ascii="Arial" w:eastAsia="Calibri" w:hAnsi="Arial" w:cs="Arial"/>
          <w:sz w:val="24"/>
          <w:szCs w:val="24"/>
        </w:rPr>
      </w:pPr>
      <w:r w:rsidRPr="00052C23">
        <w:rPr>
          <w:rFonts w:ascii="Arial" w:eastAsia="Calibri" w:hAnsi="Arial" w:cs="Arial"/>
          <w:sz w:val="24"/>
          <w:szCs w:val="24"/>
        </w:rPr>
        <w:t>To provide quality education and support to learners by further developing the professional capacity, knowledge and skills of caregivers and teachers in the 280 care centres, 186</w:t>
      </w:r>
      <w:r w:rsidRPr="00052C23">
        <w:rPr>
          <w:rFonts w:ascii="Arial" w:eastAsia="Calibri" w:hAnsi="Arial" w:cs="Arial"/>
          <w:color w:val="FF0000"/>
          <w:sz w:val="24"/>
          <w:szCs w:val="24"/>
        </w:rPr>
        <w:t xml:space="preserve"> </w:t>
      </w:r>
      <w:r w:rsidRPr="00052C23">
        <w:rPr>
          <w:rFonts w:ascii="Arial" w:eastAsia="Calibri" w:hAnsi="Arial" w:cs="Arial"/>
          <w:sz w:val="24"/>
          <w:szCs w:val="24"/>
        </w:rPr>
        <w:t>schools;</w:t>
      </w:r>
    </w:p>
    <w:p w:rsidR="000E1D3E" w:rsidRPr="00052C23" w:rsidRDefault="000E1D3E" w:rsidP="000E1D3E">
      <w:pPr>
        <w:pStyle w:val="ListParagraph"/>
        <w:numPr>
          <w:ilvl w:val="0"/>
          <w:numId w:val="1"/>
        </w:numPr>
        <w:tabs>
          <w:tab w:val="left" w:pos="0"/>
        </w:tabs>
        <w:spacing w:before="120" w:after="120"/>
        <w:ind w:left="714" w:hanging="357"/>
        <w:contextualSpacing w:val="0"/>
        <w:jc w:val="both"/>
        <w:rPr>
          <w:rFonts w:ascii="Arial" w:eastAsia="Calibri" w:hAnsi="Arial" w:cs="Arial"/>
          <w:sz w:val="24"/>
          <w:szCs w:val="24"/>
        </w:rPr>
      </w:pPr>
      <w:r w:rsidRPr="00052C23">
        <w:rPr>
          <w:rFonts w:ascii="Arial" w:eastAsia="Calibri" w:hAnsi="Arial" w:cs="Arial"/>
          <w:sz w:val="24"/>
          <w:szCs w:val="24"/>
        </w:rPr>
        <w:t>To facilitate leaners’ access to various government services</w:t>
      </w:r>
      <w:r w:rsidRPr="00052C23">
        <w:rPr>
          <w:rFonts w:ascii="Arial" w:eastAsia="Calibri" w:hAnsi="Arial" w:cs="Arial"/>
          <w:color w:val="FF0000"/>
          <w:sz w:val="24"/>
          <w:szCs w:val="24"/>
        </w:rPr>
        <w:t xml:space="preserve"> </w:t>
      </w:r>
      <w:r w:rsidRPr="00052C23">
        <w:rPr>
          <w:rFonts w:ascii="Arial" w:eastAsia="Calibri" w:hAnsi="Arial" w:cs="Arial"/>
          <w:sz w:val="24"/>
          <w:szCs w:val="24"/>
        </w:rPr>
        <w:t>and other intervention programmes through working collaboratively with other government departments and non-governmental organisations (NGO); and</w:t>
      </w:r>
    </w:p>
    <w:p w:rsidR="000E1D3E" w:rsidRPr="00052C23" w:rsidRDefault="000E1D3E" w:rsidP="000E1D3E">
      <w:pPr>
        <w:pStyle w:val="ListParagraph"/>
        <w:numPr>
          <w:ilvl w:val="0"/>
          <w:numId w:val="1"/>
        </w:numPr>
        <w:tabs>
          <w:tab w:val="left" w:pos="0"/>
        </w:tabs>
        <w:spacing w:before="120" w:after="120"/>
        <w:ind w:left="714" w:hanging="357"/>
        <w:contextualSpacing w:val="0"/>
        <w:jc w:val="both"/>
        <w:rPr>
          <w:rFonts w:ascii="Arial" w:eastAsia="Calibri" w:hAnsi="Arial" w:cs="Arial"/>
          <w:sz w:val="24"/>
          <w:szCs w:val="24"/>
        </w:rPr>
      </w:pPr>
      <w:r w:rsidRPr="00052C23">
        <w:rPr>
          <w:rFonts w:ascii="Arial" w:eastAsia="Calibri" w:hAnsi="Arial" w:cs="Arial"/>
          <w:sz w:val="24"/>
          <w:szCs w:val="24"/>
        </w:rPr>
        <w:t>To advocate for learners’ rights to access public-funded quality education through documenting and reporting on the Grant’s achievements.</w:t>
      </w:r>
    </w:p>
    <w:p w:rsidR="000E1D3E" w:rsidRPr="00052C23" w:rsidRDefault="000E1D3E" w:rsidP="000E1D3E">
      <w:pPr>
        <w:shd w:val="clear" w:color="auto" w:fill="FFFFFF" w:themeFill="background1"/>
        <w:tabs>
          <w:tab w:val="left" w:pos="338"/>
          <w:tab w:val="left" w:pos="757"/>
        </w:tabs>
        <w:spacing w:before="100" w:beforeAutospacing="1" w:after="100" w:afterAutospacing="1"/>
        <w:rPr>
          <w:rFonts w:ascii="Arial" w:eastAsia="Calibri" w:hAnsi="Arial" w:cs="Arial"/>
          <w:bCs/>
          <w:sz w:val="24"/>
          <w:szCs w:val="24"/>
        </w:rPr>
      </w:pPr>
      <w:r w:rsidRPr="00052C23">
        <w:rPr>
          <w:rFonts w:ascii="Arial" w:eastAsia="Calibri" w:hAnsi="Arial" w:cs="Arial"/>
          <w:bCs/>
          <w:sz w:val="24"/>
          <w:szCs w:val="24"/>
        </w:rPr>
        <w:tab/>
        <w:t>(b)</w:t>
      </w:r>
      <w:r w:rsidRPr="00052C23">
        <w:rPr>
          <w:rFonts w:ascii="Arial" w:eastAsia="Calibri" w:hAnsi="Arial" w:cs="Arial"/>
          <w:bCs/>
          <w:sz w:val="24"/>
          <w:szCs w:val="24"/>
        </w:rPr>
        <w:tab/>
      </w:r>
      <w:r w:rsidRPr="00052C23">
        <w:rPr>
          <w:rFonts w:ascii="Arial" w:eastAsia="Calibri" w:hAnsi="Arial" w:cs="Arial"/>
          <w:sz w:val="24"/>
          <w:szCs w:val="24"/>
        </w:rPr>
        <w:t>The Grant will be used to benefit teachers in the following ways:</w:t>
      </w:r>
    </w:p>
    <w:p w:rsidR="000E1D3E" w:rsidRPr="00052C23" w:rsidRDefault="000E1D3E" w:rsidP="000E1D3E">
      <w:pPr>
        <w:pStyle w:val="ListParagraph"/>
        <w:numPr>
          <w:ilvl w:val="0"/>
          <w:numId w:val="2"/>
        </w:numPr>
        <w:shd w:val="clear" w:color="auto" w:fill="FFFFFF" w:themeFill="background1"/>
        <w:tabs>
          <w:tab w:val="left" w:pos="338"/>
          <w:tab w:val="left" w:pos="757"/>
        </w:tabs>
        <w:spacing w:before="240" w:after="240"/>
        <w:ind w:left="714" w:hanging="357"/>
        <w:contextualSpacing w:val="0"/>
        <w:jc w:val="both"/>
        <w:rPr>
          <w:rFonts w:ascii="Arial" w:eastAsia="Calibri" w:hAnsi="Arial" w:cs="Arial"/>
          <w:sz w:val="24"/>
          <w:szCs w:val="24"/>
        </w:rPr>
      </w:pPr>
      <w:r w:rsidRPr="00052C23">
        <w:rPr>
          <w:rFonts w:ascii="Arial" w:eastAsia="Calibri" w:hAnsi="Arial" w:cs="Arial"/>
          <w:sz w:val="24"/>
          <w:szCs w:val="24"/>
        </w:rPr>
        <w:t>To provide accredited training programmes to teachers in 186</w:t>
      </w:r>
      <w:r w:rsidRPr="00052C23">
        <w:rPr>
          <w:rFonts w:ascii="Arial" w:eastAsia="Calibri" w:hAnsi="Arial" w:cs="Arial"/>
          <w:color w:val="FF0000"/>
          <w:sz w:val="24"/>
          <w:szCs w:val="24"/>
        </w:rPr>
        <w:t xml:space="preserve"> </w:t>
      </w:r>
      <w:r w:rsidRPr="00052C23">
        <w:rPr>
          <w:rFonts w:ascii="Arial" w:eastAsia="Calibri" w:hAnsi="Arial" w:cs="Arial"/>
          <w:sz w:val="24"/>
          <w:szCs w:val="24"/>
        </w:rPr>
        <w:t>schools, caregivers in 280 care centres and 155 therapists, on disability and on how to implement the Learning Programme for Learners with Severe to Profound Intellectual Disability;</w:t>
      </w:r>
    </w:p>
    <w:p w:rsidR="000E1D3E" w:rsidRPr="00052C23" w:rsidRDefault="000E1D3E" w:rsidP="000E1D3E">
      <w:pPr>
        <w:pStyle w:val="ListParagraph"/>
        <w:numPr>
          <w:ilvl w:val="0"/>
          <w:numId w:val="2"/>
        </w:numPr>
        <w:shd w:val="clear" w:color="auto" w:fill="FFFFFF" w:themeFill="background1"/>
        <w:tabs>
          <w:tab w:val="left" w:pos="338"/>
          <w:tab w:val="left" w:pos="757"/>
        </w:tabs>
        <w:spacing w:before="240" w:after="240"/>
        <w:ind w:left="714" w:hanging="357"/>
        <w:contextualSpacing w:val="0"/>
        <w:jc w:val="both"/>
        <w:rPr>
          <w:rFonts w:ascii="Arial" w:eastAsia="Calibri" w:hAnsi="Arial" w:cs="Arial"/>
          <w:sz w:val="24"/>
          <w:szCs w:val="24"/>
        </w:rPr>
      </w:pPr>
      <w:r w:rsidRPr="00052C23">
        <w:rPr>
          <w:rFonts w:ascii="Arial" w:eastAsia="Calibri" w:hAnsi="Arial" w:cs="Arial"/>
          <w:sz w:val="24"/>
          <w:szCs w:val="24"/>
        </w:rPr>
        <w:t>To develop teachers’ and caregivers’ professional practice in managing learners with severe to profound intellectual disability, through the provision of onsite training and support by a team of therapists and special needs teachers; and</w:t>
      </w:r>
    </w:p>
    <w:p w:rsidR="000E1D3E" w:rsidRPr="00052C23" w:rsidRDefault="000E1D3E" w:rsidP="000E1D3E">
      <w:pPr>
        <w:pStyle w:val="ListParagraph"/>
        <w:numPr>
          <w:ilvl w:val="0"/>
          <w:numId w:val="2"/>
        </w:numPr>
        <w:shd w:val="clear" w:color="auto" w:fill="FFFFFF" w:themeFill="background1"/>
        <w:tabs>
          <w:tab w:val="left" w:pos="338"/>
          <w:tab w:val="left" w:pos="757"/>
        </w:tabs>
        <w:spacing w:before="240" w:after="240"/>
        <w:ind w:left="714" w:hanging="357"/>
        <w:contextualSpacing w:val="0"/>
        <w:jc w:val="both"/>
        <w:rPr>
          <w:rFonts w:ascii="Arial" w:eastAsia="Calibri" w:hAnsi="Arial" w:cs="Arial"/>
          <w:sz w:val="24"/>
          <w:szCs w:val="24"/>
        </w:rPr>
      </w:pPr>
      <w:r w:rsidRPr="00052C23">
        <w:rPr>
          <w:rFonts w:ascii="Arial" w:eastAsia="Calibri" w:hAnsi="Arial" w:cs="Arial"/>
          <w:sz w:val="24"/>
          <w:szCs w:val="24"/>
        </w:rPr>
        <w:t xml:space="preserve">To provide caregivers in 280 targeted care centres an opportunity to acquire a Level 5 qualification, which is currently being developed by the DBE in collaboration with the University of Cape Town. </w:t>
      </w:r>
    </w:p>
    <w:p w:rsidR="000E1D3E" w:rsidRPr="00052C23" w:rsidRDefault="000E1D3E" w:rsidP="000E1D3E">
      <w:pPr>
        <w:tabs>
          <w:tab w:val="left" w:pos="397"/>
          <w:tab w:val="left" w:pos="752"/>
        </w:tabs>
        <w:spacing w:before="100" w:beforeAutospacing="1" w:after="100" w:afterAutospacing="1"/>
        <w:ind w:left="752" w:hanging="752"/>
        <w:jc w:val="both"/>
        <w:rPr>
          <w:rFonts w:ascii="Arial" w:eastAsia="Calibri" w:hAnsi="Arial" w:cs="Arial"/>
          <w:bCs/>
          <w:sz w:val="24"/>
          <w:szCs w:val="24"/>
          <w:highlight w:val="yellow"/>
        </w:rPr>
      </w:pPr>
      <w:r w:rsidRPr="00052C23">
        <w:rPr>
          <w:rFonts w:ascii="Arial" w:eastAsia="Calibri" w:hAnsi="Arial" w:cs="Arial"/>
          <w:bCs/>
          <w:sz w:val="24"/>
          <w:szCs w:val="24"/>
        </w:rPr>
        <w:t>(3)</w:t>
      </w:r>
      <w:r w:rsidRPr="00052C23">
        <w:rPr>
          <w:rFonts w:ascii="Arial" w:eastAsia="Calibri" w:hAnsi="Arial" w:cs="Arial"/>
          <w:bCs/>
          <w:sz w:val="24"/>
          <w:szCs w:val="24"/>
        </w:rPr>
        <w:tab/>
      </w:r>
      <w:r w:rsidRPr="00052C23">
        <w:rPr>
          <w:rFonts w:ascii="Arial" w:eastAsia="Calibri" w:hAnsi="Arial" w:cs="Arial"/>
          <w:bCs/>
          <w:sz w:val="24"/>
          <w:szCs w:val="24"/>
        </w:rPr>
        <w:tab/>
      </w:r>
      <w:r w:rsidRPr="00052C23">
        <w:rPr>
          <w:rFonts w:ascii="Arial" w:eastAsia="Calibri" w:hAnsi="Arial" w:cs="Arial"/>
          <w:sz w:val="24"/>
          <w:szCs w:val="24"/>
        </w:rPr>
        <w:t>Yes. The grant was prompted by the judgement of the Western Cape High Court in 2010, in the case of the Western Cape Forum for Intellectual Disability against the Government of South Africa and the Government of the Province of the Western Cape (</w:t>
      </w:r>
      <w:r w:rsidRPr="00052C23">
        <w:rPr>
          <w:rFonts w:ascii="Arial" w:hAnsi="Arial" w:cs="Arial"/>
          <w:b/>
          <w:sz w:val="24"/>
          <w:szCs w:val="24"/>
          <w:lang w:eastAsia="en-GB"/>
        </w:rPr>
        <w:t xml:space="preserve">Case No: 18678/2007). </w:t>
      </w:r>
      <w:bookmarkStart w:id="0" w:name="_GoBack"/>
      <w:bookmarkEnd w:id="0"/>
    </w:p>
    <w:sectPr w:rsidR="000E1D3E" w:rsidRPr="00052C23" w:rsidSect="006352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A0207"/>
    <w:multiLevelType w:val="hybridMultilevel"/>
    <w:tmpl w:val="E7229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A253850"/>
    <w:multiLevelType w:val="hybridMultilevel"/>
    <w:tmpl w:val="382653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5DEB3798"/>
    <w:multiLevelType w:val="hybridMultilevel"/>
    <w:tmpl w:val="FE3CEA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1DB1BFA"/>
    <w:multiLevelType w:val="hybridMultilevel"/>
    <w:tmpl w:val="214A5E42"/>
    <w:lvl w:ilvl="0" w:tplc="F5960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6D7B63"/>
    <w:rsid w:val="00015890"/>
    <w:rsid w:val="0005396A"/>
    <w:rsid w:val="000A2AAC"/>
    <w:rsid w:val="000C6DB7"/>
    <w:rsid w:val="000D4D43"/>
    <w:rsid w:val="000E1D3E"/>
    <w:rsid w:val="00107FEC"/>
    <w:rsid w:val="001309C5"/>
    <w:rsid w:val="001363D0"/>
    <w:rsid w:val="001415B1"/>
    <w:rsid w:val="00170990"/>
    <w:rsid w:val="00183BCF"/>
    <w:rsid w:val="0020126E"/>
    <w:rsid w:val="00226801"/>
    <w:rsid w:val="00236728"/>
    <w:rsid w:val="0025587B"/>
    <w:rsid w:val="0027063B"/>
    <w:rsid w:val="00281D19"/>
    <w:rsid w:val="002C32A6"/>
    <w:rsid w:val="002D630C"/>
    <w:rsid w:val="00310F5F"/>
    <w:rsid w:val="00341226"/>
    <w:rsid w:val="00343876"/>
    <w:rsid w:val="00360E26"/>
    <w:rsid w:val="0037043F"/>
    <w:rsid w:val="003A0310"/>
    <w:rsid w:val="003B39A7"/>
    <w:rsid w:val="003F26D9"/>
    <w:rsid w:val="00400D7D"/>
    <w:rsid w:val="00405587"/>
    <w:rsid w:val="004319E6"/>
    <w:rsid w:val="00445162"/>
    <w:rsid w:val="00445915"/>
    <w:rsid w:val="004532C0"/>
    <w:rsid w:val="004A2F02"/>
    <w:rsid w:val="004B34AC"/>
    <w:rsid w:val="004E39FB"/>
    <w:rsid w:val="00534A58"/>
    <w:rsid w:val="005676F7"/>
    <w:rsid w:val="00570560"/>
    <w:rsid w:val="005827AF"/>
    <w:rsid w:val="0059663A"/>
    <w:rsid w:val="005C1F82"/>
    <w:rsid w:val="005C4AB6"/>
    <w:rsid w:val="00607436"/>
    <w:rsid w:val="00613299"/>
    <w:rsid w:val="00613631"/>
    <w:rsid w:val="00615A3B"/>
    <w:rsid w:val="0063526E"/>
    <w:rsid w:val="00666324"/>
    <w:rsid w:val="00667A76"/>
    <w:rsid w:val="00692B11"/>
    <w:rsid w:val="006C1F10"/>
    <w:rsid w:val="006D7B63"/>
    <w:rsid w:val="006F297B"/>
    <w:rsid w:val="00720CC4"/>
    <w:rsid w:val="007A4190"/>
    <w:rsid w:val="007F25CB"/>
    <w:rsid w:val="00830D56"/>
    <w:rsid w:val="00830FC7"/>
    <w:rsid w:val="00833C4A"/>
    <w:rsid w:val="00836FDD"/>
    <w:rsid w:val="00857A1D"/>
    <w:rsid w:val="008E742B"/>
    <w:rsid w:val="00910CC5"/>
    <w:rsid w:val="009434F5"/>
    <w:rsid w:val="00975403"/>
    <w:rsid w:val="009B6115"/>
    <w:rsid w:val="009C2773"/>
    <w:rsid w:val="009D302C"/>
    <w:rsid w:val="00A20079"/>
    <w:rsid w:val="00A368CB"/>
    <w:rsid w:val="00A451EB"/>
    <w:rsid w:val="00A603D7"/>
    <w:rsid w:val="00A62005"/>
    <w:rsid w:val="00A666AB"/>
    <w:rsid w:val="00AE1828"/>
    <w:rsid w:val="00B641D8"/>
    <w:rsid w:val="00B6783D"/>
    <w:rsid w:val="00B81D4D"/>
    <w:rsid w:val="00BF7743"/>
    <w:rsid w:val="00C00DC4"/>
    <w:rsid w:val="00C90C8F"/>
    <w:rsid w:val="00CE34C8"/>
    <w:rsid w:val="00D13D42"/>
    <w:rsid w:val="00D34C31"/>
    <w:rsid w:val="00D6328E"/>
    <w:rsid w:val="00D713FC"/>
    <w:rsid w:val="00D9276C"/>
    <w:rsid w:val="00D927EA"/>
    <w:rsid w:val="00D94B1F"/>
    <w:rsid w:val="00D97E99"/>
    <w:rsid w:val="00DB1D30"/>
    <w:rsid w:val="00E02A6D"/>
    <w:rsid w:val="00E34908"/>
    <w:rsid w:val="00E67F6F"/>
    <w:rsid w:val="00EA485B"/>
    <w:rsid w:val="00EC7032"/>
    <w:rsid w:val="00F11816"/>
    <w:rsid w:val="00F5012D"/>
    <w:rsid w:val="00F574BB"/>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Bullet List,Recommendation,List Paragraph1,List Paragraph 1,References,Heading1,Indent Paragraph"/>
    <w:basedOn w:val="Normal"/>
    <w:link w:val="ListParagraphChar"/>
    <w:uiPriority w:val="34"/>
    <w:qFormat/>
    <w:rsid w:val="000E1D3E"/>
    <w:pPr>
      <w:ind w:left="720"/>
      <w:contextualSpacing/>
    </w:pPr>
  </w:style>
  <w:style w:type="table" w:styleId="TableGrid">
    <w:name w:val="Table Grid"/>
    <w:basedOn w:val="TableNormal"/>
    <w:uiPriority w:val="59"/>
    <w:rsid w:val="000E1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Table of contents numbered Char,Bullet List Char,Recommendation Char,List Paragraph1 Char,List Paragraph 1 Char,References Char,Heading1 Char,Indent Paragraph Char"/>
    <w:link w:val="ListParagraph"/>
    <w:uiPriority w:val="34"/>
    <w:rsid w:val="000E1D3E"/>
  </w:style>
  <w:style w:type="paragraph" w:styleId="NoSpacing">
    <w:name w:val="No Spacing"/>
    <w:uiPriority w:val="1"/>
    <w:qFormat/>
    <w:rsid w:val="000E1D3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PUMZA</cp:lastModifiedBy>
  <cp:revision>2</cp:revision>
  <dcterms:created xsi:type="dcterms:W3CDTF">2017-09-11T11:32:00Z</dcterms:created>
  <dcterms:modified xsi:type="dcterms:W3CDTF">2017-09-11T11:32:00Z</dcterms:modified>
</cp:coreProperties>
</file>