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9E" w:rsidRDefault="00456F7E">
      <w:r>
        <w:rPr>
          <w:noProof/>
          <w:lang w:val="en-ZA" w:eastAsia="en-ZA"/>
        </w:rPr>
        <w:drawing>
          <wp:anchor distT="0" distB="0" distL="114300" distR="114300" simplePos="0" relativeHeight="251657728" behindDoc="0" locked="0" layoutInCell="1" allowOverlap="1">
            <wp:simplePos x="0" y="0"/>
            <wp:positionH relativeFrom="column">
              <wp:posOffset>1050925</wp:posOffset>
            </wp:positionH>
            <wp:positionV relativeFrom="paragraph">
              <wp:posOffset>-379730</wp:posOffset>
            </wp:positionV>
            <wp:extent cx="3365500" cy="1968500"/>
            <wp:effectExtent l="19050" t="0" r="6350" b="0"/>
            <wp:wrapSquare wrapText="bothSides"/>
            <wp:docPr id="2" name="Picture 1"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3019E" w:rsidRDefault="0093019E"/>
    <w:p w:rsidR="0093019E" w:rsidRDefault="0093019E"/>
    <w:p w:rsidR="0093019E" w:rsidRDefault="0093019E"/>
    <w:p w:rsidR="0093019E" w:rsidRDefault="0093019E"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WRITTEN 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B70FB4">
        <w:rPr>
          <w:rFonts w:ascii="Arial" w:hAnsi="Arial" w:cs="Arial"/>
          <w:b/>
          <w:bCs/>
          <w:sz w:val="24"/>
          <w:szCs w:val="24"/>
          <w:lang w:val="en-GB"/>
        </w:rPr>
        <w:t>2233</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B70FB4">
        <w:rPr>
          <w:rFonts w:ascii="Arial" w:hAnsi="Arial" w:cs="Arial"/>
          <w:b/>
          <w:sz w:val="24"/>
          <w:szCs w:val="24"/>
        </w:rPr>
        <w:t>12</w:t>
      </w:r>
      <w:r w:rsidRPr="00984D31">
        <w:rPr>
          <w:rFonts w:ascii="Arial" w:hAnsi="Arial" w:cs="Arial"/>
          <w:b/>
          <w:sz w:val="24"/>
          <w:szCs w:val="24"/>
        </w:rPr>
        <w:t xml:space="preserve"> JUNE 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B70FB4">
        <w:rPr>
          <w:rFonts w:ascii="Arial" w:hAnsi="Arial" w:cs="Arial"/>
          <w:b/>
          <w:sz w:val="24"/>
          <w:szCs w:val="24"/>
        </w:rPr>
        <w:t>26</w:t>
      </w:r>
      <w:r w:rsidRPr="00984D31">
        <w:rPr>
          <w:rFonts w:ascii="Arial" w:hAnsi="Arial" w:cs="Arial"/>
          <w:b/>
          <w:sz w:val="24"/>
          <w:szCs w:val="24"/>
        </w:rPr>
        <w:t xml:space="preserve"> </w:t>
      </w:r>
      <w:r w:rsidR="00780449">
        <w:rPr>
          <w:rFonts w:ascii="Arial" w:hAnsi="Arial" w:cs="Arial"/>
          <w:b/>
          <w:sz w:val="24"/>
          <w:szCs w:val="24"/>
        </w:rPr>
        <w:t>JU</w:t>
      </w:r>
      <w:r w:rsidR="00B70FB4">
        <w:rPr>
          <w:rFonts w:ascii="Arial" w:hAnsi="Arial" w:cs="Arial"/>
          <w:b/>
          <w:sz w:val="24"/>
          <w:szCs w:val="24"/>
        </w:rPr>
        <w:t>NE</w:t>
      </w:r>
      <w:r w:rsidRPr="00984D31">
        <w:rPr>
          <w:rFonts w:ascii="Arial" w:hAnsi="Arial" w:cs="Arial"/>
          <w:b/>
          <w:sz w:val="24"/>
          <w:szCs w:val="24"/>
        </w:rPr>
        <w:t xml:space="preserve"> 2015</w:t>
      </w:r>
    </w:p>
    <w:p w:rsidR="00984D31" w:rsidRDefault="00984D31" w:rsidP="00984D31">
      <w:pPr>
        <w:ind w:left="-180"/>
        <w:rPr>
          <w:rFonts w:ascii="Arial" w:hAnsi="Arial" w:cs="Arial"/>
          <w:b/>
        </w:rPr>
      </w:pPr>
    </w:p>
    <w:p w:rsidR="00984D31" w:rsidRPr="006026CA" w:rsidRDefault="00780449" w:rsidP="006026CA">
      <w:pPr>
        <w:spacing w:line="360" w:lineRule="auto"/>
        <w:ind w:left="720"/>
        <w:jc w:val="both"/>
        <w:rPr>
          <w:rFonts w:ascii="Arial" w:hAnsi="Arial" w:cs="Arial"/>
          <w:b/>
          <w:sz w:val="24"/>
          <w:szCs w:val="24"/>
        </w:rPr>
      </w:pPr>
      <w:smartTag w:uri="urn:schemas-microsoft-com:office:smarttags" w:element="place">
        <w:smartTag w:uri="urn:schemas-microsoft-com:office:smarttags" w:element="City">
          <w:r>
            <w:rPr>
              <w:rFonts w:ascii="Arial" w:hAnsi="Arial" w:cs="Arial"/>
              <w:b/>
              <w:sz w:val="24"/>
              <w:szCs w:val="24"/>
            </w:rPr>
            <w:t>Mr</w:t>
          </w:r>
        </w:smartTag>
        <w:r>
          <w:rPr>
            <w:rFonts w:ascii="Arial" w:hAnsi="Arial" w:cs="Arial"/>
            <w:b/>
            <w:sz w:val="24"/>
            <w:szCs w:val="24"/>
          </w:rPr>
          <w:t xml:space="preserve"> </w:t>
        </w:r>
        <w:smartTag w:uri="urn:schemas-microsoft-com:office:smarttags" w:element="State">
          <w:r>
            <w:rPr>
              <w:rFonts w:ascii="Arial" w:hAnsi="Arial" w:cs="Arial"/>
              <w:b/>
              <w:sz w:val="24"/>
              <w:szCs w:val="24"/>
            </w:rPr>
            <w:t>S</w:t>
          </w:r>
          <w:r w:rsidR="00B70FB4">
            <w:rPr>
              <w:rFonts w:ascii="Arial" w:hAnsi="Arial" w:cs="Arial"/>
              <w:b/>
              <w:sz w:val="24"/>
              <w:szCs w:val="24"/>
            </w:rPr>
            <w:t>C</w:t>
          </w:r>
        </w:smartTag>
      </w:smartTag>
      <w:r>
        <w:rPr>
          <w:rFonts w:ascii="Arial" w:hAnsi="Arial" w:cs="Arial"/>
          <w:b/>
          <w:sz w:val="24"/>
          <w:szCs w:val="24"/>
        </w:rPr>
        <w:t xml:space="preserve"> </w:t>
      </w:r>
      <w:r w:rsidR="00B70FB4">
        <w:rPr>
          <w:rFonts w:ascii="Arial" w:hAnsi="Arial" w:cs="Arial"/>
          <w:b/>
          <w:sz w:val="24"/>
          <w:szCs w:val="24"/>
        </w:rPr>
        <w:t xml:space="preserve">Motau </w:t>
      </w:r>
      <w:r>
        <w:rPr>
          <w:rFonts w:ascii="Arial" w:hAnsi="Arial" w:cs="Arial"/>
          <w:b/>
          <w:sz w:val="24"/>
          <w:szCs w:val="24"/>
        </w:rPr>
        <w:t xml:space="preserve">(DA) </w:t>
      </w:r>
      <w:r w:rsidR="006026CA" w:rsidRPr="006026CA">
        <w:rPr>
          <w:rFonts w:ascii="Arial" w:hAnsi="Arial" w:cs="Arial"/>
          <w:b/>
          <w:sz w:val="24"/>
          <w:szCs w:val="24"/>
        </w:rPr>
        <w:t>to ask the Minister of Justice and Correctional Services:</w:t>
      </w:r>
    </w:p>
    <w:p w:rsidR="00780449" w:rsidRPr="00780449" w:rsidRDefault="00B70FB4" w:rsidP="00B70FB4">
      <w:pPr>
        <w:tabs>
          <w:tab w:val="left" w:pos="0"/>
          <w:tab w:val="right" w:pos="9000"/>
        </w:tabs>
        <w:spacing w:before="100" w:beforeAutospacing="1" w:after="100" w:afterAutospacing="1" w:line="480" w:lineRule="auto"/>
        <w:ind w:left="720"/>
        <w:jc w:val="both"/>
        <w:rPr>
          <w:rFonts w:ascii="Arial" w:hAnsi="Arial" w:cs="Arial"/>
          <w:sz w:val="24"/>
          <w:szCs w:val="24"/>
        </w:rPr>
      </w:pPr>
      <w:r>
        <w:rPr>
          <w:rFonts w:ascii="Arial" w:hAnsi="Arial" w:cs="Arial"/>
          <w:sz w:val="24"/>
          <w:szCs w:val="24"/>
        </w:rPr>
        <w:t>Whether (a) his department and (b) any entities reporting to him has paid out the remainder of any employee’s contract before the contractually stipulated date of termination of the contract since the 2008/2009 financial year up to the latest specified date for which information is available; if so, (i) what amount has (aa) his department and (bb) entities reporting to him spent on each such payout, (ii) to whom were these payouts made and (iii) what were the reasons for the early termination of the contracts in each specified case</w:t>
      </w:r>
      <w:r w:rsidR="005F5560">
        <w:rPr>
          <w:rFonts w:ascii="Arial" w:hAnsi="Arial" w:cs="Arial"/>
          <w:sz w:val="24"/>
          <w:szCs w:val="24"/>
        </w:rPr>
        <w:t>?</w:t>
      </w:r>
      <w:r>
        <w:rPr>
          <w:rFonts w:ascii="Arial" w:hAnsi="Arial" w:cs="Arial"/>
          <w:sz w:val="24"/>
          <w:szCs w:val="24"/>
        </w:rPr>
        <w:t xml:space="preserve">    NW2592E</w:t>
      </w:r>
    </w:p>
    <w:p w:rsidR="00984D31" w:rsidRPr="006026CA" w:rsidRDefault="00984D31" w:rsidP="006026CA">
      <w:pPr>
        <w:tabs>
          <w:tab w:val="right" w:pos="9000"/>
        </w:tabs>
        <w:spacing w:before="100" w:beforeAutospacing="1" w:after="100" w:afterAutospacing="1" w:line="480" w:lineRule="auto"/>
        <w:ind w:left="709"/>
        <w:jc w:val="both"/>
        <w:rPr>
          <w:rFonts w:ascii="Arial" w:hAnsi="Arial" w:cs="Arial"/>
          <w:b/>
          <w:sz w:val="24"/>
          <w:szCs w:val="24"/>
        </w:rPr>
      </w:pPr>
      <w:r w:rsidRPr="006026CA">
        <w:rPr>
          <w:rFonts w:ascii="Arial" w:hAnsi="Arial" w:cs="Arial"/>
          <w:b/>
          <w:sz w:val="24"/>
          <w:szCs w:val="24"/>
        </w:rPr>
        <w:t>REPLY:</w:t>
      </w:r>
    </w:p>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p w:rsidR="006026CA" w:rsidRPr="006026CA" w:rsidRDefault="006026CA" w:rsidP="006026CA">
                  <w:pPr>
                    <w:tabs>
                      <w:tab w:val="right" w:pos="9000"/>
                    </w:tabs>
                    <w:spacing w:before="100" w:beforeAutospacing="1" w:after="100" w:afterAutospacing="1" w:line="480" w:lineRule="auto"/>
                    <w:ind w:left="709"/>
                    <w:jc w:val="both"/>
                    <w:rPr>
                      <w:rFonts w:ascii="Arial" w:hAnsi="Arial" w:cs="Arial"/>
                      <w:sz w:val="24"/>
                      <w:szCs w:val="24"/>
                    </w:rPr>
                  </w:pPr>
                </w:p>
              </w:tc>
            </w:tr>
          </w:tbl>
          <w:p w:rsidR="006026CA" w:rsidRPr="006026CA" w:rsidRDefault="006026CA" w:rsidP="006026CA">
            <w:pPr>
              <w:tabs>
                <w:tab w:val="right" w:pos="9000"/>
              </w:tabs>
              <w:spacing w:before="100" w:beforeAutospacing="1" w:after="100" w:afterAutospacing="1" w:line="480" w:lineRule="auto"/>
              <w:ind w:left="709"/>
              <w:jc w:val="both"/>
              <w:rPr>
                <w:rFonts w:ascii="Arial" w:hAnsi="Arial" w:cs="Arial"/>
                <w:sz w:val="24"/>
                <w:szCs w:val="24"/>
              </w:rPr>
            </w:pPr>
          </w:p>
        </w:tc>
      </w:tr>
    </w:tbl>
    <w:p w:rsidR="00984D31" w:rsidRDefault="00127770" w:rsidP="003126C1">
      <w:pPr>
        <w:spacing w:line="360" w:lineRule="auto"/>
        <w:ind w:left="720"/>
        <w:jc w:val="both"/>
        <w:rPr>
          <w:rFonts w:ascii="Arial" w:hAnsi="Arial" w:cs="Arial"/>
          <w:sz w:val="24"/>
          <w:szCs w:val="24"/>
        </w:rPr>
      </w:pPr>
      <w:r>
        <w:rPr>
          <w:rFonts w:ascii="Arial" w:hAnsi="Arial" w:cs="Arial"/>
          <w:sz w:val="24"/>
          <w:szCs w:val="24"/>
        </w:rPr>
        <w:t>The Minister wishes</w:t>
      </w:r>
      <w:r w:rsidR="005F5560">
        <w:rPr>
          <w:rFonts w:ascii="Arial" w:hAnsi="Arial" w:cs="Arial"/>
          <w:sz w:val="24"/>
          <w:szCs w:val="24"/>
        </w:rPr>
        <w:t xml:space="preserve"> to inform</w:t>
      </w:r>
      <w:r>
        <w:rPr>
          <w:rFonts w:ascii="Arial" w:hAnsi="Arial" w:cs="Arial"/>
          <w:sz w:val="24"/>
          <w:szCs w:val="24"/>
        </w:rPr>
        <w:t xml:space="preserve"> the Honorable member that:</w:t>
      </w:r>
    </w:p>
    <w:p w:rsidR="00127770" w:rsidRPr="0093019E" w:rsidRDefault="00127770" w:rsidP="00FF6B71">
      <w:pPr>
        <w:tabs>
          <w:tab w:val="left" w:pos="1260"/>
        </w:tabs>
        <w:spacing w:line="360" w:lineRule="auto"/>
        <w:ind w:left="1260" w:hanging="540"/>
        <w:jc w:val="both"/>
        <w:rPr>
          <w:rFonts w:ascii="Arial" w:hAnsi="Arial" w:cs="Arial"/>
          <w:sz w:val="24"/>
          <w:szCs w:val="24"/>
        </w:rPr>
      </w:pPr>
      <w:r w:rsidRPr="00FF6B71">
        <w:rPr>
          <w:rFonts w:ascii="Arial" w:hAnsi="Arial" w:cs="Arial"/>
          <w:sz w:val="24"/>
          <w:szCs w:val="24"/>
        </w:rPr>
        <w:lastRenderedPageBreak/>
        <w:t>(a)</w:t>
      </w:r>
      <w:r w:rsidR="00FF6B71" w:rsidRPr="00FF6B71">
        <w:rPr>
          <w:rFonts w:ascii="Arial" w:hAnsi="Arial" w:cs="Arial"/>
          <w:sz w:val="24"/>
          <w:szCs w:val="24"/>
        </w:rPr>
        <w:t xml:space="preserve"> </w:t>
      </w:r>
      <w:r w:rsidR="00FF6B71" w:rsidRPr="00FF6B71">
        <w:rPr>
          <w:rFonts w:ascii="Arial" w:hAnsi="Arial" w:cs="Arial"/>
          <w:sz w:val="24"/>
          <w:szCs w:val="24"/>
        </w:rPr>
        <w:tab/>
        <w:t xml:space="preserve">The Department of Justice and </w:t>
      </w:r>
      <w:r w:rsidR="005F5560">
        <w:rPr>
          <w:rFonts w:ascii="Arial" w:hAnsi="Arial" w:cs="Arial"/>
          <w:sz w:val="24"/>
          <w:szCs w:val="24"/>
        </w:rPr>
        <w:t>Constitutional Development</w:t>
      </w:r>
      <w:r w:rsidR="00FF6B71" w:rsidRPr="00FF6B71">
        <w:rPr>
          <w:rFonts w:ascii="Arial" w:hAnsi="Arial" w:cs="Arial"/>
          <w:sz w:val="24"/>
          <w:szCs w:val="24"/>
        </w:rPr>
        <w:t xml:space="preserve"> has no </w:t>
      </w:r>
      <w:r w:rsidR="00FF6B71" w:rsidRPr="0093019E">
        <w:rPr>
          <w:rFonts w:ascii="Arial" w:hAnsi="Arial" w:cs="Arial"/>
          <w:sz w:val="24"/>
          <w:szCs w:val="24"/>
        </w:rPr>
        <w:t xml:space="preserve">instance where the remainder of any employee’s contract </w:t>
      </w:r>
      <w:r w:rsidR="005F5560" w:rsidRPr="0093019E">
        <w:rPr>
          <w:rFonts w:ascii="Arial" w:hAnsi="Arial" w:cs="Arial"/>
          <w:sz w:val="24"/>
          <w:szCs w:val="24"/>
        </w:rPr>
        <w:t>was</w:t>
      </w:r>
      <w:r w:rsidR="00FF6B71" w:rsidRPr="0093019E">
        <w:rPr>
          <w:rFonts w:ascii="Arial" w:hAnsi="Arial" w:cs="Arial"/>
          <w:sz w:val="24"/>
          <w:szCs w:val="24"/>
        </w:rPr>
        <w:t xml:space="preserve"> paid out before the contractually stipulated date of termination of the contract since the 2008-09 financial year to date. </w:t>
      </w:r>
    </w:p>
    <w:p w:rsidR="00127770" w:rsidRPr="0093019E" w:rsidRDefault="00127770" w:rsidP="00586EC0">
      <w:pPr>
        <w:tabs>
          <w:tab w:val="left" w:pos="1080"/>
        </w:tabs>
        <w:spacing w:line="360" w:lineRule="auto"/>
        <w:ind w:left="1260" w:hanging="540"/>
        <w:jc w:val="both"/>
        <w:rPr>
          <w:rFonts w:ascii="Arial" w:hAnsi="Arial" w:cs="Arial"/>
          <w:sz w:val="24"/>
          <w:szCs w:val="24"/>
        </w:rPr>
      </w:pPr>
      <w:r w:rsidRPr="0093019E">
        <w:rPr>
          <w:rFonts w:ascii="Arial" w:hAnsi="Arial" w:cs="Arial"/>
          <w:sz w:val="24"/>
          <w:szCs w:val="24"/>
        </w:rPr>
        <w:t xml:space="preserve">(b) </w:t>
      </w:r>
      <w:r w:rsidR="00586EC0" w:rsidRPr="0093019E">
        <w:rPr>
          <w:rFonts w:ascii="Arial" w:hAnsi="Arial" w:cs="Arial"/>
          <w:sz w:val="24"/>
          <w:szCs w:val="24"/>
        </w:rPr>
        <w:t xml:space="preserve"> </w:t>
      </w:r>
      <w:r w:rsidR="00586EC0" w:rsidRPr="0093019E">
        <w:rPr>
          <w:rFonts w:ascii="Arial" w:hAnsi="Arial" w:cs="Arial"/>
          <w:sz w:val="24"/>
          <w:szCs w:val="24"/>
        </w:rPr>
        <w:tab/>
      </w:r>
      <w:r w:rsidR="00935DF7" w:rsidRPr="0093019E">
        <w:rPr>
          <w:rFonts w:ascii="Arial" w:hAnsi="Arial" w:cs="Arial"/>
          <w:sz w:val="24"/>
          <w:szCs w:val="24"/>
        </w:rPr>
        <w:t xml:space="preserve">(i) </w:t>
      </w:r>
      <w:r w:rsidRPr="0093019E">
        <w:rPr>
          <w:rFonts w:ascii="Arial" w:hAnsi="Arial" w:cs="Arial"/>
          <w:sz w:val="24"/>
          <w:szCs w:val="24"/>
        </w:rPr>
        <w:t xml:space="preserve">Yes, </w:t>
      </w:r>
      <w:r w:rsidR="005F5560" w:rsidRPr="0093019E">
        <w:rPr>
          <w:rFonts w:ascii="Arial" w:hAnsi="Arial" w:cs="Arial"/>
          <w:sz w:val="24"/>
          <w:szCs w:val="24"/>
        </w:rPr>
        <w:t>out of the e</w:t>
      </w:r>
      <w:r w:rsidRPr="0093019E">
        <w:rPr>
          <w:rFonts w:ascii="Arial" w:hAnsi="Arial" w:cs="Arial"/>
          <w:sz w:val="24"/>
          <w:szCs w:val="24"/>
        </w:rPr>
        <w:t>ntities reporting to the Minister of Justice and Correctional Services</w:t>
      </w:r>
      <w:r w:rsidR="005F5560" w:rsidRPr="0093019E">
        <w:rPr>
          <w:rFonts w:ascii="Arial" w:hAnsi="Arial" w:cs="Arial"/>
          <w:sz w:val="24"/>
          <w:szCs w:val="24"/>
        </w:rPr>
        <w:t>, the National Prosecuting Authority</w:t>
      </w:r>
      <w:r w:rsidRPr="0093019E">
        <w:rPr>
          <w:rFonts w:ascii="Arial" w:hAnsi="Arial" w:cs="Arial"/>
          <w:sz w:val="24"/>
          <w:szCs w:val="24"/>
        </w:rPr>
        <w:t xml:space="preserve"> </w:t>
      </w:r>
      <w:r w:rsidR="00047ACB" w:rsidRPr="0093019E">
        <w:rPr>
          <w:rFonts w:ascii="Arial" w:hAnsi="Arial" w:cs="Arial"/>
          <w:sz w:val="24"/>
          <w:szCs w:val="24"/>
        </w:rPr>
        <w:t>has</w:t>
      </w:r>
      <w:r w:rsidRPr="0093019E">
        <w:rPr>
          <w:rFonts w:ascii="Arial" w:hAnsi="Arial" w:cs="Arial"/>
          <w:sz w:val="24"/>
          <w:szCs w:val="24"/>
        </w:rPr>
        <w:t xml:space="preserve"> paid out employee contracts before the contractually stipulated date of termination of the contract. The details are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520"/>
        <w:gridCol w:w="4095"/>
      </w:tblGrid>
      <w:tr w:rsidR="00935DF7" w:rsidRPr="0093019E" w:rsidTr="00FA412C">
        <w:tc>
          <w:tcPr>
            <w:tcW w:w="1908" w:type="dxa"/>
            <w:shd w:val="clear" w:color="auto" w:fill="auto"/>
          </w:tcPr>
          <w:p w:rsidR="00935DF7" w:rsidRPr="0093019E" w:rsidRDefault="00935DF7" w:rsidP="00FA412C">
            <w:pPr>
              <w:spacing w:line="360" w:lineRule="auto"/>
              <w:rPr>
                <w:rFonts w:ascii="Arial" w:hAnsi="Arial" w:cs="Arial"/>
                <w:b/>
                <w:sz w:val="24"/>
                <w:szCs w:val="24"/>
              </w:rPr>
            </w:pPr>
            <w:r w:rsidRPr="0093019E">
              <w:rPr>
                <w:rFonts w:ascii="Arial" w:hAnsi="Arial" w:cs="Arial"/>
                <w:b/>
                <w:sz w:val="24"/>
                <w:szCs w:val="24"/>
              </w:rPr>
              <w:t>(bb) (i) Payout Amount</w:t>
            </w:r>
          </w:p>
        </w:tc>
        <w:tc>
          <w:tcPr>
            <w:tcW w:w="2520" w:type="dxa"/>
            <w:shd w:val="clear" w:color="auto" w:fill="auto"/>
          </w:tcPr>
          <w:p w:rsidR="00935DF7" w:rsidRPr="0093019E" w:rsidRDefault="00935DF7" w:rsidP="00FA412C">
            <w:pPr>
              <w:spacing w:line="360" w:lineRule="auto"/>
              <w:jc w:val="both"/>
              <w:rPr>
                <w:rFonts w:ascii="Arial" w:hAnsi="Arial" w:cs="Arial"/>
                <w:b/>
                <w:sz w:val="24"/>
                <w:szCs w:val="24"/>
              </w:rPr>
            </w:pPr>
            <w:r w:rsidRPr="0093019E">
              <w:rPr>
                <w:rFonts w:ascii="Arial" w:hAnsi="Arial" w:cs="Arial"/>
                <w:b/>
                <w:sz w:val="24"/>
                <w:szCs w:val="24"/>
              </w:rPr>
              <w:t>(ii) To Whom</w:t>
            </w:r>
          </w:p>
        </w:tc>
        <w:tc>
          <w:tcPr>
            <w:tcW w:w="4095" w:type="dxa"/>
            <w:shd w:val="clear" w:color="auto" w:fill="auto"/>
          </w:tcPr>
          <w:p w:rsidR="00935DF7" w:rsidRPr="0093019E" w:rsidRDefault="00935DF7" w:rsidP="00FA412C">
            <w:pPr>
              <w:spacing w:line="360" w:lineRule="auto"/>
              <w:rPr>
                <w:rFonts w:ascii="Arial" w:hAnsi="Arial" w:cs="Arial"/>
                <w:b/>
                <w:sz w:val="24"/>
                <w:szCs w:val="24"/>
              </w:rPr>
            </w:pPr>
            <w:r w:rsidRPr="0093019E">
              <w:rPr>
                <w:rFonts w:ascii="Arial" w:hAnsi="Arial" w:cs="Arial"/>
                <w:b/>
                <w:sz w:val="24"/>
                <w:szCs w:val="24"/>
              </w:rPr>
              <w:t>(iii) Reason for early termination</w:t>
            </w:r>
          </w:p>
        </w:tc>
      </w:tr>
      <w:tr w:rsidR="00935DF7" w:rsidRPr="0093019E" w:rsidTr="00FA412C">
        <w:tc>
          <w:tcPr>
            <w:tcW w:w="1908" w:type="dxa"/>
            <w:shd w:val="clear" w:color="auto" w:fill="auto"/>
          </w:tcPr>
          <w:p w:rsidR="00935DF7" w:rsidRPr="0093019E" w:rsidRDefault="00935DF7" w:rsidP="00FA412C">
            <w:pPr>
              <w:spacing w:line="360" w:lineRule="auto"/>
              <w:jc w:val="both"/>
              <w:rPr>
                <w:rFonts w:ascii="Arial" w:hAnsi="Arial" w:cs="Arial"/>
                <w:sz w:val="24"/>
                <w:szCs w:val="24"/>
              </w:rPr>
            </w:pPr>
            <w:r w:rsidRPr="0093019E">
              <w:rPr>
                <w:rFonts w:ascii="Arial" w:hAnsi="Arial" w:cs="Arial"/>
                <w:sz w:val="24"/>
                <w:szCs w:val="24"/>
              </w:rPr>
              <w:t>R7,500,000</w:t>
            </w:r>
          </w:p>
        </w:tc>
        <w:tc>
          <w:tcPr>
            <w:tcW w:w="2520" w:type="dxa"/>
            <w:shd w:val="clear" w:color="auto" w:fill="auto"/>
          </w:tcPr>
          <w:p w:rsidR="00935DF7" w:rsidRPr="0093019E" w:rsidRDefault="00935DF7" w:rsidP="00FA412C">
            <w:pPr>
              <w:spacing w:line="360" w:lineRule="auto"/>
              <w:rPr>
                <w:rFonts w:ascii="Arial" w:hAnsi="Arial" w:cs="Arial"/>
                <w:sz w:val="24"/>
                <w:szCs w:val="24"/>
              </w:rPr>
            </w:pPr>
            <w:r w:rsidRPr="0093019E">
              <w:rPr>
                <w:rFonts w:ascii="Arial" w:hAnsi="Arial" w:cs="Arial"/>
                <w:sz w:val="24"/>
                <w:szCs w:val="24"/>
              </w:rPr>
              <w:t>Mr Vusi Pikoli, NDPP 2005 – 2009</w:t>
            </w:r>
          </w:p>
        </w:tc>
        <w:tc>
          <w:tcPr>
            <w:tcW w:w="4095" w:type="dxa"/>
            <w:shd w:val="clear" w:color="auto" w:fill="auto"/>
          </w:tcPr>
          <w:p w:rsidR="00935DF7" w:rsidRPr="0093019E" w:rsidRDefault="00935DF7" w:rsidP="00FA412C">
            <w:pPr>
              <w:spacing w:line="360" w:lineRule="auto"/>
              <w:jc w:val="both"/>
              <w:rPr>
                <w:rFonts w:ascii="Arial" w:hAnsi="Arial" w:cs="Arial"/>
                <w:sz w:val="24"/>
                <w:szCs w:val="24"/>
              </w:rPr>
            </w:pPr>
            <w:r w:rsidRPr="0093019E">
              <w:rPr>
                <w:rFonts w:ascii="Arial" w:hAnsi="Arial" w:cs="Arial"/>
                <w:sz w:val="24"/>
                <w:szCs w:val="24"/>
              </w:rPr>
              <w:t>Payment made as a result of settlement agreements reached between the NDPP and the Presidency.</w:t>
            </w:r>
          </w:p>
        </w:tc>
      </w:tr>
      <w:tr w:rsidR="00935DF7" w:rsidRPr="0093019E" w:rsidTr="00FA412C">
        <w:tc>
          <w:tcPr>
            <w:tcW w:w="1908" w:type="dxa"/>
            <w:shd w:val="clear" w:color="auto" w:fill="auto"/>
          </w:tcPr>
          <w:p w:rsidR="00935DF7" w:rsidRPr="0093019E" w:rsidRDefault="00935DF7" w:rsidP="00FA412C">
            <w:pPr>
              <w:spacing w:line="360" w:lineRule="auto"/>
              <w:jc w:val="both"/>
              <w:rPr>
                <w:rFonts w:ascii="Arial" w:hAnsi="Arial" w:cs="Arial"/>
                <w:sz w:val="24"/>
                <w:szCs w:val="24"/>
              </w:rPr>
            </w:pPr>
            <w:r w:rsidRPr="0093019E">
              <w:rPr>
                <w:rFonts w:ascii="Arial" w:hAnsi="Arial" w:cs="Arial"/>
                <w:sz w:val="24"/>
                <w:szCs w:val="24"/>
              </w:rPr>
              <w:t>R17,357,233</w:t>
            </w:r>
          </w:p>
        </w:tc>
        <w:tc>
          <w:tcPr>
            <w:tcW w:w="2520" w:type="dxa"/>
            <w:shd w:val="clear" w:color="auto" w:fill="auto"/>
          </w:tcPr>
          <w:p w:rsidR="00935DF7" w:rsidRPr="0093019E" w:rsidRDefault="00935DF7" w:rsidP="00FA412C">
            <w:pPr>
              <w:spacing w:line="360" w:lineRule="auto"/>
              <w:rPr>
                <w:rFonts w:ascii="Arial" w:hAnsi="Arial" w:cs="Arial"/>
                <w:sz w:val="24"/>
                <w:szCs w:val="24"/>
              </w:rPr>
            </w:pPr>
            <w:r w:rsidRPr="0093019E">
              <w:rPr>
                <w:rFonts w:ascii="Arial" w:hAnsi="Arial" w:cs="Arial"/>
                <w:sz w:val="24"/>
                <w:szCs w:val="24"/>
              </w:rPr>
              <w:t>Mr Mxolisi Nxasana, NDPP 2013 – 2015</w:t>
            </w:r>
          </w:p>
        </w:tc>
        <w:tc>
          <w:tcPr>
            <w:tcW w:w="4095" w:type="dxa"/>
            <w:shd w:val="clear" w:color="auto" w:fill="auto"/>
          </w:tcPr>
          <w:p w:rsidR="00935DF7" w:rsidRPr="0093019E" w:rsidRDefault="00935DF7" w:rsidP="00FA412C">
            <w:pPr>
              <w:spacing w:line="360" w:lineRule="auto"/>
              <w:jc w:val="both"/>
              <w:rPr>
                <w:rFonts w:ascii="Arial" w:hAnsi="Arial" w:cs="Arial"/>
                <w:sz w:val="24"/>
                <w:szCs w:val="24"/>
              </w:rPr>
            </w:pPr>
            <w:r w:rsidRPr="0093019E">
              <w:rPr>
                <w:rFonts w:ascii="Arial" w:hAnsi="Arial" w:cs="Arial"/>
                <w:sz w:val="24"/>
                <w:szCs w:val="24"/>
              </w:rPr>
              <w:t>Payment made as a result of settlement agreements reached between the NDPP and the Presidency.</w:t>
            </w:r>
          </w:p>
        </w:tc>
      </w:tr>
    </w:tbl>
    <w:p w:rsidR="00935DF7" w:rsidRPr="0093019E" w:rsidRDefault="00935DF7" w:rsidP="00586EC0">
      <w:pPr>
        <w:tabs>
          <w:tab w:val="left" w:pos="1080"/>
        </w:tabs>
        <w:spacing w:line="360" w:lineRule="auto"/>
        <w:ind w:left="1260" w:hanging="540"/>
        <w:jc w:val="both"/>
        <w:rPr>
          <w:rFonts w:ascii="Arial" w:hAnsi="Arial" w:cs="Arial"/>
          <w:sz w:val="24"/>
          <w:szCs w:val="24"/>
        </w:rPr>
      </w:pPr>
    </w:p>
    <w:p w:rsidR="003F5CB6" w:rsidRPr="0093019E" w:rsidRDefault="00935DF7" w:rsidP="00935DF7">
      <w:pPr>
        <w:tabs>
          <w:tab w:val="left" w:pos="1080"/>
        </w:tabs>
        <w:spacing w:line="360" w:lineRule="auto"/>
        <w:ind w:left="1260" w:hanging="540"/>
        <w:jc w:val="both"/>
        <w:rPr>
          <w:rFonts w:ascii="Arial" w:hAnsi="Arial" w:cs="Arial"/>
          <w:sz w:val="24"/>
          <w:szCs w:val="24"/>
        </w:rPr>
      </w:pPr>
      <w:r w:rsidRPr="0093019E">
        <w:rPr>
          <w:rFonts w:ascii="Arial" w:hAnsi="Arial" w:cs="Arial"/>
          <w:sz w:val="24"/>
          <w:szCs w:val="24"/>
        </w:rPr>
        <w:t>(b)</w:t>
      </w:r>
      <w:r w:rsidRPr="0093019E">
        <w:rPr>
          <w:rFonts w:ascii="Arial" w:hAnsi="Arial" w:cs="Arial"/>
          <w:sz w:val="24"/>
          <w:szCs w:val="24"/>
        </w:rPr>
        <w:tab/>
        <w:t xml:space="preserve"> </w:t>
      </w:r>
      <w:r w:rsidR="00586EC0" w:rsidRPr="0093019E">
        <w:rPr>
          <w:rFonts w:ascii="Arial" w:hAnsi="Arial" w:cs="Arial"/>
          <w:sz w:val="24"/>
          <w:szCs w:val="24"/>
        </w:rPr>
        <w:t>(</w:t>
      </w:r>
      <w:r w:rsidRPr="0093019E">
        <w:rPr>
          <w:rFonts w:ascii="Arial" w:hAnsi="Arial" w:cs="Arial"/>
          <w:sz w:val="24"/>
          <w:szCs w:val="24"/>
        </w:rPr>
        <w:t>ii)</w:t>
      </w:r>
      <w:r w:rsidR="003F5CB6" w:rsidRPr="0093019E">
        <w:rPr>
          <w:rFonts w:ascii="Arial" w:hAnsi="Arial" w:cs="Arial"/>
          <w:b/>
          <w:sz w:val="24"/>
          <w:szCs w:val="24"/>
        </w:rPr>
        <w:t>Legal Aid SA</w:t>
      </w:r>
      <w:r w:rsidRPr="0093019E">
        <w:rPr>
          <w:rFonts w:ascii="Arial" w:hAnsi="Arial" w:cs="Arial"/>
          <w:b/>
          <w:sz w:val="24"/>
          <w:szCs w:val="24"/>
        </w:rPr>
        <w:t xml:space="preserve">, the Office of the Chief Justice and the Special Investigating Unit </w:t>
      </w:r>
      <w:r w:rsidR="003F5CB6" w:rsidRPr="0093019E">
        <w:rPr>
          <w:rFonts w:ascii="Arial" w:hAnsi="Arial" w:cs="Arial"/>
          <w:sz w:val="24"/>
          <w:szCs w:val="24"/>
        </w:rPr>
        <w:t xml:space="preserve"> </w:t>
      </w:r>
      <w:r w:rsidRPr="0093019E">
        <w:rPr>
          <w:rFonts w:ascii="Arial" w:hAnsi="Arial" w:cs="Arial"/>
          <w:sz w:val="24"/>
          <w:szCs w:val="24"/>
        </w:rPr>
        <w:t xml:space="preserve">have confirmed </w:t>
      </w:r>
      <w:r w:rsidR="003F5CB6" w:rsidRPr="0093019E">
        <w:rPr>
          <w:rFonts w:ascii="Arial" w:hAnsi="Arial" w:cs="Arial"/>
          <w:sz w:val="24"/>
          <w:szCs w:val="24"/>
        </w:rPr>
        <w:t>that there were no employees that were paid out their contract before the contractually stipulated date of termination of the contract.</w:t>
      </w:r>
    </w:p>
    <w:p w:rsidR="0093019E" w:rsidRPr="0093019E" w:rsidRDefault="0093019E" w:rsidP="0093019E">
      <w:pPr>
        <w:spacing w:line="480" w:lineRule="auto"/>
        <w:rPr>
          <w:rFonts w:ascii="Arial" w:hAnsi="Arial" w:cs="Arial"/>
          <w:sz w:val="24"/>
          <w:szCs w:val="24"/>
        </w:rPr>
      </w:pPr>
      <w:r w:rsidRPr="0093019E">
        <w:rPr>
          <w:rFonts w:ascii="Arial" w:hAnsi="Arial" w:cs="Arial"/>
          <w:sz w:val="24"/>
          <w:szCs w:val="24"/>
        </w:rPr>
        <w:t xml:space="preserve">The Department of Correctional Services or its entities does not have any employees whose contracts were terminated before the expiry of such contracts, and no paid outs made for the remainder of their contracts.  </w:t>
      </w:r>
    </w:p>
    <w:p w:rsidR="00127770" w:rsidRPr="00811774" w:rsidRDefault="0093019E" w:rsidP="00D56257">
      <w:pPr>
        <w:tabs>
          <w:tab w:val="left" w:pos="540"/>
          <w:tab w:val="left" w:pos="630"/>
        </w:tabs>
        <w:spacing w:line="360" w:lineRule="auto"/>
        <w:jc w:val="both"/>
        <w:rPr>
          <w:rFonts w:ascii="Arial" w:hAnsi="Arial" w:cs="Arial"/>
          <w:sz w:val="24"/>
          <w:szCs w:val="24"/>
        </w:rPr>
      </w:pPr>
      <w:r w:rsidRPr="0093019E">
        <w:rPr>
          <w:rFonts w:ascii="Arial" w:hAnsi="Arial" w:cs="Arial"/>
          <w:sz w:val="24"/>
          <w:szCs w:val="24"/>
        </w:rPr>
        <w:t xml:space="preserve">The Office of the Chief Justice was proclaimed as a National Department in 2010. From 2010 to 2015, the Office of the Chief Justice has not paid out the remainder of </w:t>
      </w:r>
      <w:r w:rsidRPr="0093019E">
        <w:rPr>
          <w:rFonts w:ascii="Arial" w:hAnsi="Arial" w:cs="Arial"/>
          <w:sz w:val="24"/>
          <w:szCs w:val="24"/>
        </w:rPr>
        <w:lastRenderedPageBreak/>
        <w:t>any employees’ contract before the contractually stipulated date of termination of their contracts.</w:t>
      </w:r>
    </w:p>
    <w:sectPr w:rsidR="00127770" w:rsidRPr="00811774"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2A" w:rsidRDefault="006F772A" w:rsidP="00831541">
      <w:pPr>
        <w:spacing w:after="0" w:line="240" w:lineRule="auto"/>
      </w:pPr>
      <w:r>
        <w:separator/>
      </w:r>
    </w:p>
  </w:endnote>
  <w:endnote w:type="continuationSeparator" w:id="0">
    <w:p w:rsidR="006F772A" w:rsidRDefault="006F772A"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74" w:rsidRDefault="00831541">
    <w:pPr>
      <w:pStyle w:val="Footer"/>
    </w:pPr>
    <w:r>
      <w:t xml:space="preserve">PQ </w:t>
    </w:r>
    <w:r w:rsidR="003126C1">
      <w:t>2233-20150626</w:t>
    </w:r>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2A" w:rsidRDefault="006F772A" w:rsidP="00831541">
      <w:pPr>
        <w:spacing w:after="0" w:line="240" w:lineRule="auto"/>
      </w:pPr>
      <w:r>
        <w:separator/>
      </w:r>
    </w:p>
  </w:footnote>
  <w:footnote w:type="continuationSeparator" w:id="0">
    <w:p w:rsidR="006F772A" w:rsidRDefault="006F772A"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B360E"/>
    <w:multiLevelType w:val="hybridMultilevel"/>
    <w:tmpl w:val="FACE3D94"/>
    <w:lvl w:ilvl="0" w:tplc="7DC2F73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36C33"/>
    <w:multiLevelType w:val="hybridMultilevel"/>
    <w:tmpl w:val="78A4CF72"/>
    <w:lvl w:ilvl="0" w:tplc="58D2CC5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52246EE4"/>
    <w:multiLevelType w:val="hybridMultilevel"/>
    <w:tmpl w:val="797CF91A"/>
    <w:lvl w:ilvl="0" w:tplc="AFC477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47ACB"/>
    <w:rsid w:val="000A7CAE"/>
    <w:rsid w:val="00127770"/>
    <w:rsid w:val="001D154F"/>
    <w:rsid w:val="001E68A7"/>
    <w:rsid w:val="002760DF"/>
    <w:rsid w:val="002823DF"/>
    <w:rsid w:val="003126C1"/>
    <w:rsid w:val="00371909"/>
    <w:rsid w:val="0037656D"/>
    <w:rsid w:val="003D7FE9"/>
    <w:rsid w:val="003E3210"/>
    <w:rsid w:val="003F5CB6"/>
    <w:rsid w:val="00456F7E"/>
    <w:rsid w:val="004B5E4A"/>
    <w:rsid w:val="004D29DA"/>
    <w:rsid w:val="00586EC0"/>
    <w:rsid w:val="005F5560"/>
    <w:rsid w:val="006026CA"/>
    <w:rsid w:val="006B0EC2"/>
    <w:rsid w:val="006F772A"/>
    <w:rsid w:val="00780449"/>
    <w:rsid w:val="007A1268"/>
    <w:rsid w:val="007F1DBC"/>
    <w:rsid w:val="00800F82"/>
    <w:rsid w:val="00811774"/>
    <w:rsid w:val="00831541"/>
    <w:rsid w:val="00835845"/>
    <w:rsid w:val="008E58EC"/>
    <w:rsid w:val="008E7214"/>
    <w:rsid w:val="008F0809"/>
    <w:rsid w:val="0093019E"/>
    <w:rsid w:val="00935DF7"/>
    <w:rsid w:val="00970024"/>
    <w:rsid w:val="00984D31"/>
    <w:rsid w:val="009B1BBA"/>
    <w:rsid w:val="00B4750C"/>
    <w:rsid w:val="00B70FB4"/>
    <w:rsid w:val="00BA75D7"/>
    <w:rsid w:val="00C2570B"/>
    <w:rsid w:val="00CB303C"/>
    <w:rsid w:val="00D56257"/>
    <w:rsid w:val="00E74CA7"/>
    <w:rsid w:val="00F44396"/>
    <w:rsid w:val="00F76608"/>
    <w:rsid w:val="00F80F17"/>
    <w:rsid w:val="00FA412C"/>
    <w:rsid w:val="00FC3F77"/>
    <w:rsid w:val="00FD6F1F"/>
    <w:rsid w:val="00FF6B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811774"/>
    <w:pPr>
      <w:spacing w:after="0" w:line="240" w:lineRule="auto"/>
      <w:ind w:left="720"/>
    </w:pPr>
    <w:rPr>
      <w:lang w:val="en-ZA" w:eastAsia="en-ZA"/>
    </w:rPr>
  </w:style>
  <w:style w:type="table" w:styleId="TableGrid">
    <w:name w:val="Table Grid"/>
    <w:basedOn w:val="TableNormal"/>
    <w:uiPriority w:val="59"/>
    <w:rsid w:val="0012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15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2015-06-30T14:47:00Z</cp:lastPrinted>
  <dcterms:created xsi:type="dcterms:W3CDTF">2015-08-11T08:39:00Z</dcterms:created>
  <dcterms:modified xsi:type="dcterms:W3CDTF">2015-08-11T08:39:00Z</dcterms:modified>
</cp:coreProperties>
</file>