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F0" w:rsidRDefault="00E157F0" w:rsidP="00E157F0">
      <w:pPr>
        <w:jc w:val="center"/>
      </w:pPr>
    </w:p>
    <w:p w:rsidR="00E157F0" w:rsidRDefault="00E157F0" w:rsidP="00E157F0">
      <w:pPr>
        <w:jc w:val="center"/>
      </w:pPr>
    </w:p>
    <w:tbl>
      <w:tblPr>
        <w:tblW w:w="0" w:type="auto"/>
        <w:tblLook w:val="0000"/>
      </w:tblPr>
      <w:tblGrid>
        <w:gridCol w:w="8625"/>
      </w:tblGrid>
      <w:tr w:rsidR="00E157F0" w:rsidRPr="00B83122" w:rsidTr="00A84B7A">
        <w:trPr>
          <w:trHeight w:val="63"/>
        </w:trPr>
        <w:tc>
          <w:tcPr>
            <w:tcW w:w="8625" w:type="dxa"/>
          </w:tcPr>
          <w:p w:rsidR="00E157F0" w:rsidRPr="00B83122" w:rsidRDefault="00E157F0" w:rsidP="00A84B7A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57F0" w:rsidRPr="00B83122" w:rsidTr="00A84B7A">
        <w:trPr>
          <w:trHeight w:val="1111"/>
        </w:trPr>
        <w:tc>
          <w:tcPr>
            <w:tcW w:w="8625" w:type="dxa"/>
          </w:tcPr>
          <w:p w:rsidR="00E157F0" w:rsidRDefault="00E157F0" w:rsidP="00A84B7A">
            <w:pPr>
              <w:pStyle w:val="NoSpacing"/>
              <w:rPr>
                <w:rFonts w:eastAsia="Times New Roman"/>
                <w:lang w:val="en-GB"/>
              </w:rPr>
            </w:pPr>
          </w:p>
          <w:p w:rsidR="00E157F0" w:rsidRPr="002A4230" w:rsidRDefault="00E157F0" w:rsidP="00A84B7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E157F0" w:rsidRPr="00B83122" w:rsidRDefault="00E157F0" w:rsidP="00A84B7A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E157F0" w:rsidRPr="00B83122" w:rsidRDefault="00E157F0" w:rsidP="00A84B7A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E157F0" w:rsidRPr="00B83122" w:rsidRDefault="000D185D" w:rsidP="00A84B7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zh-TW"/>
              </w:rPr>
              <w:pict>
                <v:line id="Straight Connector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E157F0" w:rsidRPr="000E1425" w:rsidRDefault="00E157F0" w:rsidP="00E157F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E157F0" w:rsidRPr="000E1425" w:rsidRDefault="00E157F0" w:rsidP="00E157F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157F0" w:rsidRPr="000E1425" w:rsidRDefault="00E157F0" w:rsidP="00E157F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E157F0" w:rsidRPr="000E1425" w:rsidRDefault="00E157F0" w:rsidP="00E157F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157F0" w:rsidRPr="001349C2" w:rsidRDefault="00E157F0" w:rsidP="00E157F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223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E157F0" w:rsidRDefault="00E157F0" w:rsidP="00E157F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E157F0" w:rsidRDefault="00E157F0" w:rsidP="00E157F0">
      <w:pPr>
        <w:pStyle w:val="Default"/>
        <w:rPr>
          <w:b/>
          <w:bCs/>
          <w:sz w:val="23"/>
          <w:szCs w:val="23"/>
        </w:rPr>
      </w:pPr>
    </w:p>
    <w:p w:rsidR="00E157F0" w:rsidRPr="00E157F0" w:rsidRDefault="00E157F0" w:rsidP="00321C9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E157F0">
        <w:rPr>
          <w:rFonts w:ascii="Arial" w:hAnsi="Arial" w:cs="Arial"/>
          <w:b/>
          <w:noProof/>
          <w:sz w:val="24"/>
          <w:szCs w:val="24"/>
          <w:lang w:val="af-ZA"/>
        </w:rPr>
        <w:t>Ms P T van Damme (DA) to ask the Minister of Telecommunications, Postal Services and Communications:</w:t>
      </w:r>
    </w:p>
    <w:p w:rsidR="0049443F" w:rsidRDefault="00E157F0" w:rsidP="00321C99">
      <w:pPr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E157F0">
        <w:rPr>
          <w:rFonts w:ascii="Arial" w:hAnsi="Arial" w:cs="Arial"/>
          <w:sz w:val="24"/>
          <w:szCs w:val="24"/>
        </w:rPr>
        <w:t xml:space="preserve">Whether, with reference to a memo purportedly sent by the Group Executive: Human Resources of the SA Broadcasting Corporation (SABC) on 27 September 2018, which suspended with immediate effect submissions for the creation and/or filling of positions, </w:t>
      </w:r>
      <w:r w:rsidRPr="00E157F0">
        <w:rPr>
          <w:rFonts w:ascii="Arial" w:eastAsia="Calibri" w:hAnsi="Arial" w:cs="Arial"/>
          <w:sz w:val="24"/>
          <w:szCs w:val="24"/>
        </w:rPr>
        <w:t>advertising</w:t>
      </w:r>
      <w:r w:rsidRPr="00E157F0">
        <w:rPr>
          <w:rFonts w:ascii="Arial" w:hAnsi="Arial" w:cs="Arial"/>
          <w:sz w:val="24"/>
          <w:szCs w:val="24"/>
        </w:rPr>
        <w:t xml:space="preserve"> of positions and all new offers of employment, the SABC hired any staff following the circulation of the memo; if so, (a) who was hired, (b) on what salary and (c) who allowed the deviation from the memo</w:t>
      </w:r>
      <w:r w:rsidRPr="00E157F0">
        <w:rPr>
          <w:rFonts w:ascii="Arial" w:hAnsi="Arial" w:cs="Arial"/>
          <w:sz w:val="24"/>
          <w:szCs w:val="24"/>
          <w:lang w:val="en-GB"/>
        </w:rPr>
        <w:t>?</w:t>
      </w:r>
      <w:r w:rsidRPr="00E157F0">
        <w:rPr>
          <w:rFonts w:ascii="Arial" w:hAnsi="Arial" w:cs="Arial"/>
          <w:sz w:val="24"/>
          <w:szCs w:val="24"/>
          <w:lang w:val="en-GB"/>
        </w:rPr>
        <w:tab/>
      </w:r>
      <w:bookmarkStart w:id="0" w:name="_GoBack"/>
      <w:bookmarkEnd w:id="0"/>
    </w:p>
    <w:p w:rsidR="00E157F0" w:rsidRPr="00E157F0" w:rsidRDefault="00E157F0" w:rsidP="0049443F">
      <w:pPr>
        <w:snapToGrid w:val="0"/>
        <w:spacing w:after="0"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157F0">
        <w:rPr>
          <w:rFonts w:ascii="Arial" w:hAnsi="Arial" w:cs="Arial"/>
          <w:sz w:val="24"/>
          <w:szCs w:val="24"/>
        </w:rPr>
        <w:t>NW233E</w:t>
      </w:r>
    </w:p>
    <w:p w:rsidR="00DB2374" w:rsidRDefault="00DB2374" w:rsidP="00834743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</w:p>
    <w:p w:rsidR="00834743" w:rsidRDefault="00834743" w:rsidP="00834743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  <w:r w:rsidRPr="00593CAE">
        <w:rPr>
          <w:rFonts w:ascii="Arial" w:hAnsi="Arial" w:cs="Arial"/>
          <w:b/>
          <w:sz w:val="24"/>
          <w:szCs w:val="24"/>
        </w:rPr>
        <w:t>REPLY</w:t>
      </w:r>
    </w:p>
    <w:p w:rsidR="00834743" w:rsidRDefault="00834743" w:rsidP="00834743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1A5058">
        <w:rPr>
          <w:rFonts w:ascii="Arial" w:hAnsi="Arial" w:cs="Arial"/>
          <w:sz w:val="24"/>
          <w:szCs w:val="24"/>
        </w:rPr>
        <w:t xml:space="preserve">I have been advised by </w:t>
      </w:r>
      <w:r w:rsidR="0062053D">
        <w:rPr>
          <w:rFonts w:ascii="Arial" w:hAnsi="Arial" w:cs="Arial"/>
          <w:sz w:val="24"/>
          <w:szCs w:val="24"/>
        </w:rPr>
        <w:t>the d</w:t>
      </w:r>
      <w:r w:rsidRPr="001A5058">
        <w:rPr>
          <w:rFonts w:ascii="Arial" w:hAnsi="Arial" w:cs="Arial"/>
          <w:sz w:val="24"/>
          <w:szCs w:val="24"/>
        </w:rPr>
        <w:t>epartment as follows:</w:t>
      </w:r>
    </w:p>
    <w:p w:rsidR="00DB2374" w:rsidRDefault="00DB2374" w:rsidP="0062053D">
      <w:pPr>
        <w:tabs>
          <w:tab w:val="left" w:pos="18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443F" w:rsidRDefault="0049443F" w:rsidP="0062053D">
      <w:pPr>
        <w:tabs>
          <w:tab w:val="left" w:pos="18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443F" w:rsidRDefault="0049443F" w:rsidP="0062053D">
      <w:pPr>
        <w:tabs>
          <w:tab w:val="left" w:pos="18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4743" w:rsidRDefault="00834743" w:rsidP="0062053D">
      <w:pPr>
        <w:tabs>
          <w:tab w:val="left" w:pos="18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Pr="000367D9">
        <w:rPr>
          <w:rFonts w:ascii="Arial" w:hAnsi="Arial" w:cs="Arial"/>
          <w:sz w:val="24"/>
          <w:szCs w:val="24"/>
        </w:rPr>
        <w:t xml:space="preserve">publication of the memo </w:t>
      </w:r>
      <w:r>
        <w:rPr>
          <w:rFonts w:ascii="Arial" w:hAnsi="Arial" w:cs="Arial"/>
          <w:sz w:val="24"/>
          <w:szCs w:val="24"/>
        </w:rPr>
        <w:t xml:space="preserve">all vacancies were frozen, except for appointments </w:t>
      </w:r>
      <w:r w:rsidR="0062053D">
        <w:rPr>
          <w:rFonts w:ascii="Arial" w:hAnsi="Arial" w:cs="Arial"/>
          <w:sz w:val="24"/>
          <w:szCs w:val="24"/>
        </w:rPr>
        <w:t>relating to</w:t>
      </w:r>
      <w:r>
        <w:rPr>
          <w:rFonts w:ascii="Arial" w:hAnsi="Arial" w:cs="Arial"/>
          <w:sz w:val="24"/>
          <w:szCs w:val="24"/>
        </w:rPr>
        <w:t xml:space="preserve"> core and critical functions.  </w:t>
      </w:r>
    </w:p>
    <w:p w:rsidR="00834743" w:rsidRPr="00834743" w:rsidRDefault="00834743" w:rsidP="0062053D">
      <w:pPr>
        <w:pStyle w:val="ListParagraph"/>
        <w:numPr>
          <w:ilvl w:val="0"/>
          <w:numId w:val="1"/>
        </w:numPr>
        <w:tabs>
          <w:tab w:val="left" w:pos="1845"/>
        </w:tabs>
        <w:snapToGrid w:val="0"/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844A8">
        <w:rPr>
          <w:rFonts w:ascii="Arial" w:hAnsi="Arial" w:cs="Arial"/>
          <w:sz w:val="24"/>
          <w:szCs w:val="24"/>
        </w:rPr>
        <w:t>In this regard four appointments were made, effective 1 October 2018. Of the four, two are internal transfers</w:t>
      </w:r>
      <w:r w:rsidR="0032655C">
        <w:rPr>
          <w:rFonts w:ascii="Arial" w:hAnsi="Arial" w:cs="Arial"/>
          <w:sz w:val="24"/>
          <w:szCs w:val="24"/>
        </w:rPr>
        <w:t>, an Accountant and a Senior Producer</w:t>
      </w:r>
      <w:r w:rsidRPr="008844A8">
        <w:rPr>
          <w:rFonts w:ascii="Arial" w:hAnsi="Arial" w:cs="Arial"/>
          <w:sz w:val="24"/>
          <w:szCs w:val="24"/>
        </w:rPr>
        <w:t xml:space="preserve"> and from the remaining two, one is a Climatologist and the</w:t>
      </w:r>
      <w:r w:rsidR="0062053D">
        <w:rPr>
          <w:rFonts w:ascii="Arial" w:hAnsi="Arial" w:cs="Arial"/>
          <w:sz w:val="24"/>
          <w:szCs w:val="24"/>
        </w:rPr>
        <w:t xml:space="preserve"> other is an Account E</w:t>
      </w:r>
      <w:r>
        <w:rPr>
          <w:rFonts w:ascii="Arial" w:hAnsi="Arial" w:cs="Arial"/>
          <w:sz w:val="24"/>
          <w:szCs w:val="24"/>
        </w:rPr>
        <w:t>xecutive.</w:t>
      </w:r>
    </w:p>
    <w:p w:rsidR="00834743" w:rsidRPr="001A5058" w:rsidRDefault="00834743" w:rsidP="0062053D">
      <w:pPr>
        <w:pStyle w:val="ListParagraph"/>
        <w:numPr>
          <w:ilvl w:val="0"/>
          <w:numId w:val="1"/>
        </w:numPr>
        <w:tabs>
          <w:tab w:val="left" w:pos="1845"/>
        </w:tabs>
        <w:snapToGrid w:val="0"/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A5058">
        <w:rPr>
          <w:rFonts w:ascii="Arial" w:hAnsi="Arial" w:cs="Arial"/>
          <w:sz w:val="24"/>
          <w:szCs w:val="24"/>
        </w:rPr>
        <w:t>All appointments were done in line with the SA</w:t>
      </w:r>
      <w:r w:rsidR="0062053D">
        <w:rPr>
          <w:rFonts w:ascii="Arial" w:hAnsi="Arial" w:cs="Arial"/>
          <w:sz w:val="24"/>
          <w:szCs w:val="24"/>
        </w:rPr>
        <w:t>BC’s Recruitment and Selection P</w:t>
      </w:r>
      <w:r w:rsidRPr="001A5058">
        <w:rPr>
          <w:rFonts w:ascii="Arial" w:hAnsi="Arial" w:cs="Arial"/>
          <w:sz w:val="24"/>
          <w:szCs w:val="24"/>
        </w:rPr>
        <w:t>olicy and salaries were dete</w:t>
      </w:r>
      <w:r w:rsidR="0062053D">
        <w:rPr>
          <w:rFonts w:ascii="Arial" w:hAnsi="Arial" w:cs="Arial"/>
          <w:sz w:val="24"/>
          <w:szCs w:val="24"/>
        </w:rPr>
        <w:t>rmined in line with the SABC’s r</w:t>
      </w:r>
      <w:r w:rsidRPr="001A5058">
        <w:rPr>
          <w:rFonts w:ascii="Arial" w:hAnsi="Arial" w:cs="Arial"/>
          <w:sz w:val="24"/>
          <w:szCs w:val="24"/>
        </w:rPr>
        <w:t>emuneration guidelines.</w:t>
      </w:r>
    </w:p>
    <w:p w:rsidR="00834743" w:rsidRDefault="00834743" w:rsidP="0062053D">
      <w:pPr>
        <w:pStyle w:val="ListParagraph"/>
        <w:numPr>
          <w:ilvl w:val="0"/>
          <w:numId w:val="1"/>
        </w:numPr>
        <w:tabs>
          <w:tab w:val="left" w:pos="1845"/>
        </w:tabs>
        <w:snapToGrid w:val="0"/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67A55">
        <w:rPr>
          <w:rFonts w:ascii="Arial" w:hAnsi="Arial" w:cs="Arial"/>
          <w:sz w:val="24"/>
          <w:szCs w:val="24"/>
        </w:rPr>
        <w:t>Vacancy Committee which was established to deal with critical appointments took the decision</w:t>
      </w:r>
      <w:r>
        <w:rPr>
          <w:rFonts w:ascii="Arial" w:hAnsi="Arial" w:cs="Arial"/>
          <w:sz w:val="24"/>
          <w:szCs w:val="24"/>
        </w:rPr>
        <w:t>.</w:t>
      </w:r>
      <w:r w:rsidR="00541FC2">
        <w:rPr>
          <w:rFonts w:ascii="Arial" w:hAnsi="Arial" w:cs="Arial"/>
          <w:sz w:val="24"/>
          <w:szCs w:val="24"/>
        </w:rPr>
        <w:t xml:space="preserve"> All requests to deviate from the memo are sent to the Vacancy Committee who then determines the merits of the request and take a decision if recruitment can go ahead.  Once a decision is taken HR manages the recruitment process in conjunction with the relevant line manager.</w:t>
      </w:r>
    </w:p>
    <w:p w:rsidR="00834743" w:rsidRPr="00867A55" w:rsidRDefault="00834743" w:rsidP="00834743">
      <w:pPr>
        <w:pStyle w:val="ListParagraph"/>
        <w:tabs>
          <w:tab w:val="left" w:pos="184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157F0" w:rsidRPr="00F45438" w:rsidRDefault="00E157F0" w:rsidP="00E157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57F0" w:rsidRDefault="00E157F0" w:rsidP="00E157F0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</w:p>
    <w:p w:rsidR="00DB2374" w:rsidRPr="00B30CB1" w:rsidRDefault="00DB2374" w:rsidP="00E157F0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</w:p>
    <w:p w:rsidR="00E157F0" w:rsidRPr="00B30CB1" w:rsidRDefault="00E157F0" w:rsidP="00E157F0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  <w:r w:rsidRPr="00B30CB1">
        <w:rPr>
          <w:rFonts w:ascii="Arial" w:eastAsia="Calibri" w:hAnsi="Arial" w:cs="Arial"/>
          <w:b/>
          <w:lang w:val="en-ZA"/>
        </w:rPr>
        <w:t>_____________________________</w:t>
      </w:r>
    </w:p>
    <w:p w:rsidR="00E157F0" w:rsidRPr="00B30CB1" w:rsidRDefault="00E157F0" w:rsidP="00E157F0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  <w:r w:rsidRPr="00B30CB1">
        <w:rPr>
          <w:rFonts w:ascii="Arial" w:eastAsia="Calibri" w:hAnsi="Arial" w:cs="Arial"/>
          <w:b/>
          <w:lang w:val="en-ZA"/>
        </w:rPr>
        <w:t>Ms. Stella Ndabeni-Abrahams, MP</w:t>
      </w:r>
    </w:p>
    <w:p w:rsidR="00E157F0" w:rsidRPr="007136C8" w:rsidRDefault="00E157F0" w:rsidP="00E157F0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  <w:r w:rsidRPr="007136C8">
        <w:rPr>
          <w:rFonts w:ascii="Arial" w:eastAsia="Calibri" w:hAnsi="Arial" w:cs="Arial"/>
          <w:b/>
          <w:lang w:val="en-ZA"/>
        </w:rPr>
        <w:t xml:space="preserve">Minister </w:t>
      </w:r>
    </w:p>
    <w:p w:rsidR="00E157F0" w:rsidRDefault="00E157F0" w:rsidP="0062053D">
      <w:r w:rsidRPr="00173062">
        <w:rPr>
          <w:rFonts w:ascii="Arial" w:hAnsi="Arial" w:cs="Arial"/>
          <w:b/>
          <w:lang w:val="en-GB"/>
        </w:rPr>
        <w:t>Date:</w:t>
      </w:r>
    </w:p>
    <w:p w:rsidR="00E157F0" w:rsidRDefault="00E157F0" w:rsidP="00E157F0"/>
    <w:sectPr w:rsidR="00E157F0" w:rsidSect="00261C4F">
      <w:footerReference w:type="default" r:id="rId8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CF" w:rsidRDefault="00FD61CF" w:rsidP="00E157F0">
      <w:pPr>
        <w:spacing w:after="0" w:line="240" w:lineRule="auto"/>
      </w:pPr>
      <w:r>
        <w:separator/>
      </w:r>
    </w:p>
  </w:endnote>
  <w:endnote w:type="continuationSeparator" w:id="0">
    <w:p w:rsidR="00FD61CF" w:rsidRDefault="00FD61CF" w:rsidP="00E1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03" w:rsidRPr="00F41D03" w:rsidRDefault="00B55221" w:rsidP="00F41D03">
    <w:pPr>
      <w:spacing w:before="100" w:beforeAutospacing="1" w:after="100" w:afterAutospacing="1"/>
      <w:ind w:left="720" w:hanging="720"/>
      <w:jc w:val="both"/>
      <w:outlineLvl w:val="0"/>
      <w:rPr>
        <w:rFonts w:ascii="Arial" w:eastAsia="Times New Roman" w:hAnsi="Arial" w:cs="Arial"/>
        <w:color w:val="808080" w:themeColor="background1" w:themeShade="80"/>
        <w:sz w:val="24"/>
        <w:szCs w:val="24"/>
      </w:rPr>
    </w:pPr>
  </w:p>
  <w:p w:rsidR="00865EEC" w:rsidRPr="00865EEC" w:rsidRDefault="00D078B6" w:rsidP="00E157F0">
    <w:pPr>
      <w:spacing w:before="100" w:beforeAutospacing="1" w:after="100" w:afterAutospacing="1" w:line="240" w:lineRule="auto"/>
      <w:ind w:hanging="90"/>
      <w:jc w:val="both"/>
      <w:outlineLvl w:val="0"/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</w:pPr>
    <w:r w:rsidRPr="00F142BD">
      <w:rPr>
        <w:b/>
        <w:caps/>
        <w:color w:val="808080" w:themeColor="background1" w:themeShade="80"/>
      </w:rPr>
      <w:t xml:space="preserve"> </w:t>
    </w:r>
    <w:r w:rsidRPr="00865EEC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</w:t>
    </w:r>
    <w:r w:rsidR="00E157F0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>Parliamentary 223</w:t>
    </w:r>
    <w:r w:rsidRPr="00865EEC"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  <w:t>.Ms P T van Damme (DA) to ask the Minister of Minister of Telecommunications, Postal Services and Communications:</w:t>
    </w:r>
  </w:p>
  <w:p w:rsidR="00230B65" w:rsidRPr="00230B65" w:rsidRDefault="00B55221" w:rsidP="00230B6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noProof/>
        <w:sz w:val="24"/>
        <w:szCs w:val="24"/>
        <w:lang w:val="af-ZA"/>
      </w:rPr>
    </w:pPr>
  </w:p>
  <w:p w:rsidR="001B5BA1" w:rsidRPr="00F142BD" w:rsidRDefault="00B55221" w:rsidP="00F41D03">
    <w:pPr>
      <w:spacing w:before="100" w:beforeAutospacing="1" w:after="100" w:afterAutospacing="1" w:line="240" w:lineRule="auto"/>
      <w:jc w:val="both"/>
      <w:outlineLvl w:val="0"/>
      <w:rPr>
        <w:b/>
        <w:caps/>
        <w:color w:val="808080" w:themeColor="background1" w:themeShade="80"/>
      </w:rPr>
    </w:pPr>
  </w:p>
  <w:p w:rsidR="006E27B1" w:rsidRPr="00115D84" w:rsidRDefault="000D185D" w:rsidP="000C4D6F">
    <w:pPr>
      <w:shd w:val="clear" w:color="auto" w:fill="FFFFFF" w:themeFill="background1"/>
      <w:tabs>
        <w:tab w:val="left" w:pos="3870"/>
      </w:tabs>
      <w:spacing w:before="100" w:beforeAutospacing="1" w:after="100" w:afterAutospacing="1" w:line="240" w:lineRule="auto"/>
      <w:jc w:val="both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="00D078B6"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B55221">
      <w:rPr>
        <w:caps/>
        <w:noProof/>
        <w:color w:val="808080" w:themeColor="background1" w:themeShade="80"/>
      </w:rPr>
      <w:t>2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B55221" w:rsidP="0096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CF" w:rsidRDefault="00FD61CF" w:rsidP="00E157F0">
      <w:pPr>
        <w:spacing w:after="0" w:line="240" w:lineRule="auto"/>
      </w:pPr>
      <w:r>
        <w:separator/>
      </w:r>
    </w:p>
  </w:footnote>
  <w:footnote w:type="continuationSeparator" w:id="0">
    <w:p w:rsidR="00FD61CF" w:rsidRDefault="00FD61CF" w:rsidP="00E1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4D"/>
    <w:multiLevelType w:val="hybridMultilevel"/>
    <w:tmpl w:val="5658E67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57F0"/>
    <w:rsid w:val="00007F55"/>
    <w:rsid w:val="000D185D"/>
    <w:rsid w:val="002575EE"/>
    <w:rsid w:val="002F6993"/>
    <w:rsid w:val="00321C99"/>
    <w:rsid w:val="0032655C"/>
    <w:rsid w:val="0049443F"/>
    <w:rsid w:val="004B6FA7"/>
    <w:rsid w:val="00541FC2"/>
    <w:rsid w:val="0062053D"/>
    <w:rsid w:val="006F43DD"/>
    <w:rsid w:val="007136C8"/>
    <w:rsid w:val="007623A6"/>
    <w:rsid w:val="007B3C3A"/>
    <w:rsid w:val="00817B85"/>
    <w:rsid w:val="00834743"/>
    <w:rsid w:val="00923313"/>
    <w:rsid w:val="00A34754"/>
    <w:rsid w:val="00B0459F"/>
    <w:rsid w:val="00B052CF"/>
    <w:rsid w:val="00B30CB1"/>
    <w:rsid w:val="00B55221"/>
    <w:rsid w:val="00B56CF1"/>
    <w:rsid w:val="00D078B6"/>
    <w:rsid w:val="00DB2374"/>
    <w:rsid w:val="00DD3FE4"/>
    <w:rsid w:val="00E157F0"/>
    <w:rsid w:val="00F2269B"/>
    <w:rsid w:val="00FD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7F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157F0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E15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57F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5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dcterms:created xsi:type="dcterms:W3CDTF">2019-03-29T08:33:00Z</dcterms:created>
  <dcterms:modified xsi:type="dcterms:W3CDTF">2019-03-29T08:33:00Z</dcterms:modified>
</cp:coreProperties>
</file>