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1" w:rsidRDefault="007B3991" w:rsidP="007B3991">
      <w:pP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7B3991" w:rsidRDefault="007C6597" w:rsidP="007B3991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eastAsia="Calibri" w:cs="Arial"/>
          <w:b/>
          <w:noProof/>
          <w:lang w:val="en-ZA"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91" w:rsidRPr="00CA5FFD" w:rsidRDefault="007B3991" w:rsidP="007B3991">
      <w:pPr>
        <w:jc w:val="center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JUSTICE AND CORRECTIONAL SERVICES</w:t>
      </w:r>
    </w:p>
    <w:p w:rsidR="007B3991" w:rsidRPr="00CA5FFD" w:rsidRDefault="007B3991" w:rsidP="007B3991">
      <w:pPr>
        <w:jc w:val="center"/>
        <w:outlineLvl w:val="0"/>
        <w:rPr>
          <w:rFonts w:ascii="Arial" w:hAnsi="Arial" w:cs="Arial"/>
          <w:b/>
          <w:lang w:val="en-ZA"/>
        </w:rPr>
      </w:pPr>
      <w:r w:rsidRPr="00CA5FFD">
        <w:rPr>
          <w:rFonts w:ascii="Arial" w:hAnsi="Arial" w:cs="Arial"/>
          <w:b/>
          <w:lang w:val="en-ZA"/>
        </w:rPr>
        <w:t>REPUBLIC OF SOUTH AFRICA</w:t>
      </w:r>
    </w:p>
    <w:p w:rsidR="007B3991" w:rsidRPr="00CA5FFD" w:rsidRDefault="007B3991" w:rsidP="007B3991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7B3991" w:rsidRDefault="00130BDB" w:rsidP="007B39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B3991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7B3991" w:rsidRDefault="007B3991" w:rsidP="007B39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B3991"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7B3991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7B3991" w:rsidRDefault="007B3991" w:rsidP="007B39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B3991"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7B3991">
        <w:rPr>
          <w:rFonts w:ascii="Arial" w:eastAsia="Calibri" w:hAnsi="Arial" w:cs="Arial"/>
          <w:b/>
          <w:bCs/>
          <w:lang w:val="en-GB"/>
        </w:rPr>
        <w:t xml:space="preserve">QUESTION </w:t>
      </w:r>
      <w:r w:rsidRPr="007B3991">
        <w:rPr>
          <w:rFonts w:ascii="Arial" w:eastAsia="Calibri" w:hAnsi="Arial" w:cs="Arial"/>
          <w:b/>
          <w:bCs/>
          <w:lang w:val="en-GB"/>
        </w:rPr>
        <w:t xml:space="preserve">NO: </w:t>
      </w:r>
      <w:r w:rsidR="0087112C" w:rsidRPr="007B3991">
        <w:rPr>
          <w:rFonts w:ascii="Arial" w:eastAsia="Calibri" w:hAnsi="Arial" w:cs="Arial"/>
          <w:b/>
          <w:bCs/>
          <w:lang w:val="en-GB"/>
        </w:rPr>
        <w:t>2</w:t>
      </w:r>
      <w:r w:rsidR="008325B5" w:rsidRPr="007B3991">
        <w:rPr>
          <w:rFonts w:ascii="Arial" w:eastAsia="Calibri" w:hAnsi="Arial" w:cs="Arial"/>
          <w:b/>
          <w:bCs/>
          <w:lang w:val="en-GB"/>
        </w:rPr>
        <w:t>2</w:t>
      </w:r>
      <w:r w:rsidR="0054494B" w:rsidRPr="007B3991">
        <w:rPr>
          <w:rFonts w:ascii="Arial" w:eastAsia="Calibri" w:hAnsi="Arial" w:cs="Arial"/>
          <w:b/>
          <w:bCs/>
          <w:lang w:val="en-GB"/>
        </w:rPr>
        <w:t>29</w:t>
      </w:r>
    </w:p>
    <w:p w:rsidR="00130BDB" w:rsidRPr="007B3991" w:rsidRDefault="00130BDB" w:rsidP="007B39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B3991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7255CC" w:rsidRPr="007B3991">
        <w:rPr>
          <w:rFonts w:ascii="Arial" w:eastAsia="Calibri" w:hAnsi="Arial" w:cs="Arial"/>
          <w:b/>
          <w:bCs/>
          <w:lang w:val="en-GB"/>
        </w:rPr>
        <w:t>0</w:t>
      </w:r>
      <w:r w:rsidR="006D5FFB" w:rsidRPr="007B3991">
        <w:rPr>
          <w:rFonts w:ascii="Arial" w:eastAsia="Calibri" w:hAnsi="Arial" w:cs="Arial"/>
          <w:b/>
          <w:bCs/>
          <w:lang w:val="en-GB"/>
        </w:rPr>
        <w:t>2</w:t>
      </w:r>
      <w:r w:rsidR="007B3991" w:rsidRPr="007B3991">
        <w:rPr>
          <w:rFonts w:ascii="Arial" w:eastAsia="Calibri" w:hAnsi="Arial" w:cs="Arial"/>
          <w:b/>
          <w:bCs/>
          <w:lang w:val="en-GB"/>
        </w:rPr>
        <w:t xml:space="preserve"> JUNE </w:t>
      </w:r>
      <w:r w:rsidRPr="007B3991">
        <w:rPr>
          <w:rFonts w:ascii="Arial" w:eastAsia="Calibri" w:hAnsi="Arial" w:cs="Arial"/>
          <w:b/>
          <w:bCs/>
          <w:lang w:val="en-GB"/>
        </w:rPr>
        <w:t>20</w:t>
      </w:r>
      <w:r w:rsidR="003F2E8D" w:rsidRPr="007B3991">
        <w:rPr>
          <w:rFonts w:ascii="Arial" w:eastAsia="Calibri" w:hAnsi="Arial" w:cs="Arial"/>
          <w:b/>
          <w:bCs/>
          <w:lang w:val="en-GB"/>
        </w:rPr>
        <w:t>2</w:t>
      </w:r>
      <w:r w:rsidR="0089351C" w:rsidRPr="007B3991">
        <w:rPr>
          <w:rFonts w:ascii="Arial" w:eastAsia="Calibri" w:hAnsi="Arial" w:cs="Arial"/>
          <w:b/>
          <w:bCs/>
          <w:lang w:val="en-GB"/>
        </w:rPr>
        <w:t>3</w:t>
      </w:r>
    </w:p>
    <w:p w:rsidR="007B3991" w:rsidRPr="007B3991" w:rsidRDefault="007B3991" w:rsidP="007B39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7B3991">
        <w:rPr>
          <w:rFonts w:ascii="Arial" w:eastAsia="Calibri" w:hAnsi="Arial" w:cs="Arial"/>
          <w:b/>
          <w:bCs/>
          <w:lang w:val="en-GB"/>
        </w:rPr>
        <w:t>DATE OF SUBMISSION: 19 JUNE 2023</w:t>
      </w:r>
    </w:p>
    <w:p w:rsidR="007B3991" w:rsidRDefault="007B3991" w:rsidP="002A4A62">
      <w:pPr>
        <w:spacing w:before="120" w:after="120" w:line="360" w:lineRule="auto"/>
        <w:jc w:val="both"/>
        <w:rPr>
          <w:rFonts w:ascii="Arial" w:eastAsia="Calibri" w:hAnsi="Arial" w:cs="Arial"/>
          <w:b/>
          <w:bCs/>
          <w:u w:val="single"/>
          <w:lang w:val="en-GB"/>
        </w:rPr>
      </w:pPr>
    </w:p>
    <w:p w:rsidR="002A4A62" w:rsidRPr="002A4A62" w:rsidRDefault="002A4A62" w:rsidP="002A4A62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2A4A62">
        <w:rPr>
          <w:rFonts w:ascii="Arial" w:hAnsi="Arial" w:cs="Arial"/>
          <w:b/>
          <w:lang w:val="en-ZA"/>
        </w:rPr>
        <w:t>Mrs T P Msane (EFF) to ask the Minister of Justice and Correctional Services</w:t>
      </w:r>
      <w:r w:rsidRPr="002A4A62">
        <w:rPr>
          <w:rFonts w:ascii="Arial" w:hAnsi="Arial" w:cs="Arial"/>
          <w:b/>
          <w:lang w:val="en-ZA"/>
        </w:rPr>
        <w:fldChar w:fldCharType="begin"/>
      </w:r>
      <w:r w:rsidRPr="002A4A62">
        <w:rPr>
          <w:rFonts w:ascii="Arial" w:hAnsi="Arial" w:cs="Arial"/>
          <w:b/>
          <w:lang w:val="en-ZA"/>
        </w:rPr>
        <w:instrText xml:space="preserve"> XE "Minister of Justice and Correctional Services" </w:instrText>
      </w:r>
      <w:r w:rsidRPr="002A4A62">
        <w:rPr>
          <w:rFonts w:ascii="Arial" w:hAnsi="Arial" w:cs="Arial"/>
          <w:b/>
          <w:lang w:val="en-ZA"/>
        </w:rPr>
        <w:fldChar w:fldCharType="end"/>
      </w:r>
      <w:r w:rsidRPr="002A4A62">
        <w:rPr>
          <w:rFonts w:ascii="Arial" w:hAnsi="Arial" w:cs="Arial"/>
          <w:b/>
          <w:lang w:val="en-ZA"/>
        </w:rPr>
        <w:t xml:space="preserve">: </w:t>
      </w:r>
    </w:p>
    <w:p w:rsidR="002A4A62" w:rsidRDefault="002A4A62" w:rsidP="002A4A62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2A4A62">
        <w:rPr>
          <w:rFonts w:ascii="Arial" w:hAnsi="Arial" w:cs="Arial"/>
          <w:lang w:val="en-ZA"/>
        </w:rPr>
        <w:t>What total number of (a) courts do not have full-time interpreters and (b) cases get postponed due to the lack of availability of interpreters in the courts of the Republic in each of the past three years?</w:t>
      </w:r>
    </w:p>
    <w:p w:rsidR="002A4A62" w:rsidRPr="002A4A62" w:rsidRDefault="002A4A62" w:rsidP="002A4A62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2A4A62">
        <w:rPr>
          <w:rFonts w:ascii="Arial" w:hAnsi="Arial" w:cs="Arial"/>
          <w:b/>
          <w:lang w:val="en-ZA"/>
        </w:rPr>
        <w:t>NW2527E</w:t>
      </w:r>
    </w:p>
    <w:p w:rsidR="00641A50" w:rsidRDefault="00983C6B" w:rsidP="007255CC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B759FD" w:rsidRDefault="00B759FD" w:rsidP="007255CC">
      <w:pPr>
        <w:spacing w:before="120" w:after="120" w:line="360" w:lineRule="auto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36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769"/>
        <w:gridCol w:w="2373"/>
        <w:gridCol w:w="2410"/>
        <w:gridCol w:w="2551"/>
      </w:tblGrid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>No.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>Province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 xml:space="preserve">No. </w:t>
            </w:r>
            <w:r>
              <w:rPr>
                <w:rFonts w:ascii="Arial" w:eastAsia="Calibri" w:hAnsi="Arial" w:cs="Arial"/>
                <w:b/>
                <w:lang w:val="en-ZA"/>
              </w:rPr>
              <w:t>o</w:t>
            </w:r>
            <w:r w:rsidRPr="0084438D">
              <w:rPr>
                <w:rFonts w:ascii="Arial" w:eastAsia="Calibri" w:hAnsi="Arial" w:cs="Arial"/>
                <w:b/>
                <w:lang w:val="en-ZA"/>
              </w:rPr>
              <w:t xml:space="preserve">f Courts Without </w:t>
            </w:r>
            <w:r>
              <w:rPr>
                <w:rFonts w:ascii="Arial" w:eastAsia="Calibri" w:hAnsi="Arial" w:cs="Arial"/>
                <w:b/>
                <w:lang w:val="en-ZA"/>
              </w:rPr>
              <w:t>a</w:t>
            </w:r>
            <w:r w:rsidRPr="0084438D">
              <w:rPr>
                <w:rFonts w:ascii="Arial" w:eastAsia="Calibri" w:hAnsi="Arial" w:cs="Arial"/>
                <w:b/>
                <w:lang w:val="en-ZA"/>
              </w:rPr>
              <w:t xml:space="preserve"> Full-Time Court Interpreter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 xml:space="preserve">Reasons </w:t>
            </w:r>
            <w:r>
              <w:rPr>
                <w:rFonts w:ascii="Arial" w:eastAsia="Calibri" w:hAnsi="Arial" w:cs="Arial"/>
                <w:b/>
                <w:lang w:val="en-ZA"/>
              </w:rPr>
              <w:t>f</w:t>
            </w:r>
            <w:r w:rsidRPr="0084438D">
              <w:rPr>
                <w:rFonts w:ascii="Arial" w:eastAsia="Calibri" w:hAnsi="Arial" w:cs="Arial"/>
                <w:b/>
                <w:lang w:val="en-ZA"/>
              </w:rPr>
              <w:t>or Non-Provision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>Contingency Plan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Eastern Cape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Vacancy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Recruitment Underway/Casual Interpreter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Free-State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Gauteng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Kwa</w:t>
            </w:r>
            <w:r w:rsidR="0084438D">
              <w:rPr>
                <w:rFonts w:ascii="Arial" w:eastAsia="Calibri" w:hAnsi="Arial" w:cs="Arial"/>
                <w:lang w:val="en-ZA"/>
              </w:rPr>
              <w:t>-Z</w:t>
            </w:r>
            <w:r w:rsidRPr="0084438D">
              <w:rPr>
                <w:rFonts w:ascii="Arial" w:eastAsia="Calibri" w:hAnsi="Arial" w:cs="Arial"/>
                <w:lang w:val="en-ZA"/>
              </w:rPr>
              <w:t>ulu</w:t>
            </w:r>
            <w:r w:rsidR="0084438D">
              <w:rPr>
                <w:rFonts w:ascii="Arial" w:eastAsia="Calibri" w:hAnsi="Arial" w:cs="Arial"/>
                <w:lang w:val="en-ZA"/>
              </w:rPr>
              <w:t xml:space="preserve"> </w:t>
            </w:r>
            <w:r w:rsidRPr="0084438D">
              <w:rPr>
                <w:rFonts w:ascii="Arial" w:eastAsia="Calibri" w:hAnsi="Arial" w:cs="Arial"/>
                <w:lang w:val="en-ZA"/>
              </w:rPr>
              <w:t>Natal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Limpopo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</w:tr>
      <w:tr w:rsidR="00F32ED6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Mpumalanga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N/A</w:t>
            </w:r>
          </w:p>
        </w:tc>
      </w:tr>
      <w:tr w:rsidR="00BA7032" w:rsidRPr="0084438D" w:rsidTr="0084438D">
        <w:tc>
          <w:tcPr>
            <w:tcW w:w="644" w:type="dxa"/>
            <w:shd w:val="clear" w:color="auto" w:fill="auto"/>
          </w:tcPr>
          <w:p w:rsidR="00BA7032" w:rsidRPr="0084438D" w:rsidRDefault="00F32ED6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North West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A periodical court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Recruitment Underway/Casual Interpreter</w:t>
            </w:r>
          </w:p>
        </w:tc>
      </w:tr>
      <w:tr w:rsidR="00F32ED6" w:rsidRPr="0084438D" w:rsidTr="0084438D">
        <w:tc>
          <w:tcPr>
            <w:tcW w:w="644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Northern Cape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Periodical courts that sits once per week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Serviced by the m</w:t>
            </w:r>
            <w:r w:rsidR="00F32ED6" w:rsidRPr="0084438D">
              <w:rPr>
                <w:rFonts w:ascii="Arial" w:eastAsia="Calibri" w:hAnsi="Arial" w:cs="Arial"/>
                <w:lang w:val="en-ZA"/>
              </w:rPr>
              <w:t>ain c</w:t>
            </w:r>
            <w:r w:rsidRPr="0084438D">
              <w:rPr>
                <w:rFonts w:ascii="Arial" w:eastAsia="Calibri" w:hAnsi="Arial" w:cs="Arial"/>
                <w:lang w:val="en-ZA"/>
              </w:rPr>
              <w:t>ourts</w:t>
            </w:r>
          </w:p>
        </w:tc>
      </w:tr>
      <w:tr w:rsidR="00F32ED6" w:rsidRPr="0084438D" w:rsidTr="0084438D">
        <w:tc>
          <w:tcPr>
            <w:tcW w:w="644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Western Cape</w:t>
            </w:r>
          </w:p>
        </w:tc>
        <w:tc>
          <w:tcPr>
            <w:tcW w:w="2373" w:type="dxa"/>
            <w:shd w:val="clear" w:color="auto" w:fill="auto"/>
          </w:tcPr>
          <w:p w:rsidR="00BA7032" w:rsidRPr="0084438D" w:rsidRDefault="00E50FD3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Periodical courts that sit once or twice a week, and proclamation of new courts due to re-demarcation</w:t>
            </w:r>
          </w:p>
        </w:tc>
        <w:tc>
          <w:tcPr>
            <w:tcW w:w="2551" w:type="dxa"/>
            <w:shd w:val="clear" w:color="auto" w:fill="auto"/>
          </w:tcPr>
          <w:p w:rsidR="00BA7032" w:rsidRPr="0084438D" w:rsidRDefault="00BA7032" w:rsidP="0084438D">
            <w:pPr>
              <w:spacing w:line="276" w:lineRule="auto"/>
              <w:rPr>
                <w:rFonts w:ascii="Arial" w:eastAsia="Calibri" w:hAnsi="Arial" w:cs="Arial"/>
                <w:lang w:val="en-ZA"/>
              </w:rPr>
            </w:pPr>
            <w:r w:rsidRPr="0084438D">
              <w:rPr>
                <w:rFonts w:ascii="Arial" w:eastAsia="Calibri" w:hAnsi="Arial" w:cs="Arial"/>
                <w:lang w:val="en-ZA"/>
              </w:rPr>
              <w:t>C</w:t>
            </w:r>
            <w:r w:rsidR="00F32ED6" w:rsidRPr="0084438D">
              <w:rPr>
                <w:rFonts w:ascii="Arial" w:eastAsia="Calibri" w:hAnsi="Arial" w:cs="Arial"/>
                <w:lang w:val="en-ZA"/>
              </w:rPr>
              <w:t>asual</w:t>
            </w:r>
            <w:r w:rsidRPr="0084438D">
              <w:rPr>
                <w:rFonts w:ascii="Arial" w:eastAsia="Calibri" w:hAnsi="Arial" w:cs="Arial"/>
                <w:lang w:val="en-ZA"/>
              </w:rPr>
              <w:t xml:space="preserve"> </w:t>
            </w:r>
            <w:r w:rsidR="00F32ED6" w:rsidRPr="0084438D">
              <w:rPr>
                <w:rFonts w:ascii="Arial" w:eastAsia="Calibri" w:hAnsi="Arial" w:cs="Arial"/>
                <w:lang w:val="en-ZA"/>
              </w:rPr>
              <w:t>Interpreters</w:t>
            </w:r>
          </w:p>
        </w:tc>
      </w:tr>
      <w:tr w:rsidR="0084438D" w:rsidRPr="0084438D" w:rsidTr="0084438D">
        <w:tc>
          <w:tcPr>
            <w:tcW w:w="2413" w:type="dxa"/>
            <w:gridSpan w:val="2"/>
            <w:shd w:val="clear" w:color="auto" w:fill="auto"/>
          </w:tcPr>
          <w:p w:rsidR="0084438D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>Grand total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84438D" w:rsidRPr="0084438D" w:rsidRDefault="0084438D" w:rsidP="0084438D">
            <w:pPr>
              <w:spacing w:line="276" w:lineRule="auto"/>
              <w:rPr>
                <w:rFonts w:ascii="Arial" w:eastAsia="Calibri" w:hAnsi="Arial" w:cs="Arial"/>
                <w:b/>
                <w:lang w:val="en-ZA"/>
              </w:rPr>
            </w:pPr>
            <w:r w:rsidRPr="0084438D">
              <w:rPr>
                <w:rFonts w:ascii="Arial" w:eastAsia="Calibri" w:hAnsi="Arial" w:cs="Arial"/>
                <w:b/>
                <w:lang w:val="en-ZA"/>
              </w:rPr>
              <w:t>15</w:t>
            </w:r>
          </w:p>
        </w:tc>
      </w:tr>
    </w:tbl>
    <w:p w:rsidR="00BA7032" w:rsidRPr="00BA7032" w:rsidRDefault="0084438D" w:rsidP="0084438D">
      <w:pPr>
        <w:numPr>
          <w:ilvl w:val="0"/>
          <w:numId w:val="9"/>
        </w:numPr>
        <w:spacing w:after="20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  <w:r w:rsidRPr="0084438D">
        <w:rPr>
          <w:rFonts w:ascii="Arial" w:hAnsi="Arial" w:cs="Arial"/>
          <w:sz w:val="22"/>
          <w:szCs w:val="22"/>
          <w:lang w:val="en-ZA"/>
        </w:rPr>
        <w:t>The table below provides details on the number of courts that do not have full-time interpreters:</w:t>
      </w:r>
    </w:p>
    <w:p w:rsidR="00BA7032" w:rsidRPr="00BA7032" w:rsidRDefault="00BA7032" w:rsidP="00BA7032">
      <w:pPr>
        <w:spacing w:after="200" w:line="276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BA7032" w:rsidRPr="00BA7032" w:rsidRDefault="00BA7032" w:rsidP="00BA7032">
      <w:pPr>
        <w:spacing w:after="200" w:line="276" w:lineRule="auto"/>
        <w:rPr>
          <w:rFonts w:ascii="Calibri" w:eastAsia="Calibri" w:hAnsi="Calibri"/>
          <w:sz w:val="22"/>
          <w:szCs w:val="22"/>
          <w:lang w:val="en-ZA"/>
        </w:rPr>
      </w:pPr>
    </w:p>
    <w:p w:rsidR="00BA7032" w:rsidRPr="00BA7032" w:rsidRDefault="00BA7032" w:rsidP="00BA7032">
      <w:pPr>
        <w:spacing w:after="200" w:line="276" w:lineRule="auto"/>
        <w:rPr>
          <w:rFonts w:ascii="Calibri" w:eastAsia="Calibri" w:hAnsi="Calibri"/>
          <w:sz w:val="22"/>
          <w:szCs w:val="22"/>
          <w:lang w:val="en-ZA"/>
        </w:rPr>
      </w:pPr>
    </w:p>
    <w:p w:rsidR="00BA7032" w:rsidRDefault="00BA7032" w:rsidP="007255CC">
      <w:pPr>
        <w:spacing w:before="120" w:after="120" w:line="360" w:lineRule="auto"/>
        <w:rPr>
          <w:rFonts w:ascii="Arial" w:hAnsi="Arial" w:cs="Arial"/>
          <w:b/>
        </w:rPr>
      </w:pPr>
    </w:p>
    <w:p w:rsidR="00B759FD" w:rsidRPr="0084438D" w:rsidRDefault="0084438D" w:rsidP="0084438D">
      <w:pPr>
        <w:numPr>
          <w:ilvl w:val="0"/>
          <w:numId w:val="9"/>
        </w:numPr>
        <w:spacing w:after="20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Details of c</w:t>
      </w:r>
      <w:r w:rsidR="00B759FD" w:rsidRPr="0084438D">
        <w:rPr>
          <w:rFonts w:ascii="Arial" w:hAnsi="Arial" w:cs="Arial"/>
          <w:bCs/>
        </w:rPr>
        <w:t xml:space="preserve">ases </w:t>
      </w:r>
      <w:r>
        <w:rPr>
          <w:rFonts w:ascii="Arial" w:hAnsi="Arial" w:cs="Arial"/>
          <w:bCs/>
        </w:rPr>
        <w:t xml:space="preserve">that </w:t>
      </w:r>
      <w:r w:rsidR="00B759FD" w:rsidRPr="0084438D">
        <w:rPr>
          <w:rFonts w:ascii="Arial" w:hAnsi="Arial" w:cs="Arial"/>
          <w:bCs/>
        </w:rPr>
        <w:t xml:space="preserve">get postponed due to the lack of availability of interpreters in the courts of the Republic in each of the past three </w:t>
      </w:r>
      <w:r>
        <w:rPr>
          <w:rFonts w:ascii="Arial" w:hAnsi="Arial" w:cs="Arial"/>
          <w:bCs/>
        </w:rPr>
        <w:t xml:space="preserve">(3) </w:t>
      </w:r>
      <w:r w:rsidR="00B759FD" w:rsidRPr="0084438D">
        <w:rPr>
          <w:rFonts w:ascii="Arial" w:hAnsi="Arial" w:cs="Arial"/>
          <w:bCs/>
        </w:rPr>
        <w:t>years</w:t>
      </w:r>
      <w:r>
        <w:rPr>
          <w:rFonts w:ascii="Arial" w:hAnsi="Arial" w:cs="Arial"/>
          <w:bCs/>
        </w:rPr>
        <w:t xml:space="preserve"> are tabulated below:</w:t>
      </w:r>
    </w:p>
    <w:tbl>
      <w:tblPr>
        <w:tblW w:w="9440" w:type="dxa"/>
        <w:tblInd w:w="113" w:type="dxa"/>
        <w:tblLook w:val="04A0"/>
      </w:tblPr>
      <w:tblGrid>
        <w:gridCol w:w="5563"/>
        <w:gridCol w:w="3877"/>
      </w:tblGrid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As at the end of March 2020/21 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District Courts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Admin Regions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 (Eastern Cape A) Port Elizabeth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2 (Eastern Cape B) Mthatha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3 (Free State A) Bloemfontein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4 (Free State B) Welkom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05A (Gauteng) Johannesburg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6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A) Durban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7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B) Pietermaritzburg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08 (Mpumalanga) Nelspruit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09 (North</w:t>
            </w:r>
            <w:r w:rsidR="009A1BEF">
              <w:rPr>
                <w:rFonts w:ascii="Arial" w:hAnsi="Arial" w:cs="Arial"/>
                <w:color w:val="000000"/>
              </w:rPr>
              <w:t xml:space="preserve"> W</w:t>
            </w:r>
            <w:r w:rsidRPr="0084438D">
              <w:rPr>
                <w:rFonts w:ascii="Arial" w:hAnsi="Arial" w:cs="Arial"/>
                <w:color w:val="000000"/>
              </w:rPr>
              <w:t>est) Mmabatho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10 (Northern Cape) Kimberley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11 (Limpopo) Polokwane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12 (Western Cape A) Cape Town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13 (Western Cape B) Wynberg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Regional Courts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Province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8D" w:rsidRDefault="0084438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4438D" w:rsidRDefault="0084438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As at the end of March 2021/22 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District Courts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Admin Regions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 w:rsidRP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 (Eastern Cape A) Port Elizabeth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2 (Eastern Cape B) Mthatha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3 (Free State A) Bloemfontein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4 (Free State B) Welkom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05 (Gauteng) Pretoria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05A (Gauteng) Johannesburg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6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A) Durban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7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B) Pietermaritzburg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08 (Mpumalanga) Nelspruit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09 (North</w:t>
            </w:r>
            <w:r w:rsidR="009A1BEF">
              <w:rPr>
                <w:rFonts w:ascii="Arial" w:hAnsi="Arial" w:cs="Arial"/>
                <w:color w:val="000000"/>
              </w:rPr>
              <w:t xml:space="preserve"> W</w:t>
            </w:r>
            <w:r w:rsidRPr="0084438D">
              <w:rPr>
                <w:rFonts w:ascii="Arial" w:hAnsi="Arial" w:cs="Arial"/>
                <w:color w:val="000000"/>
              </w:rPr>
              <w:t>est) Mmabatho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11 (Limpopo) Polokwane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12 (Western Cape A) Cape Town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13 (Western Cape B) Wynberg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Regional Courts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Province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 w:rsidRP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Limpopo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</w:tr>
    </w:tbl>
    <w:p w:rsidR="00B759FD" w:rsidRPr="0084438D" w:rsidRDefault="00B759FD" w:rsidP="007255CC">
      <w:pPr>
        <w:spacing w:before="120" w:after="120" w:line="360" w:lineRule="auto"/>
        <w:rPr>
          <w:rFonts w:ascii="Arial" w:hAnsi="Arial" w:cs="Arial"/>
          <w:sz w:val="22"/>
          <w:szCs w:val="22"/>
          <w:lang w:val="en-ZA"/>
        </w:rPr>
      </w:pPr>
    </w:p>
    <w:p w:rsidR="009A12DC" w:rsidRPr="00BB7634" w:rsidRDefault="009A12DC" w:rsidP="007255CC">
      <w:pPr>
        <w:spacing w:before="120" w:after="120" w:line="360" w:lineRule="auto"/>
        <w:rPr>
          <w:rFonts w:ascii="Arial" w:hAnsi="Arial" w:cs="Arial"/>
          <w:sz w:val="22"/>
          <w:szCs w:val="22"/>
          <w:lang w:val="en-ZA"/>
        </w:rPr>
      </w:pPr>
    </w:p>
    <w:p w:rsidR="009A12DC" w:rsidRPr="00BB7634" w:rsidRDefault="009A12DC" w:rsidP="007255CC">
      <w:pPr>
        <w:spacing w:before="120" w:after="120" w:line="360" w:lineRule="auto"/>
        <w:rPr>
          <w:rFonts w:ascii="Arial" w:hAnsi="Arial" w:cs="Arial"/>
          <w:sz w:val="22"/>
          <w:szCs w:val="22"/>
          <w:lang w:val="en-ZA"/>
        </w:rPr>
      </w:pPr>
    </w:p>
    <w:p w:rsidR="009A12DC" w:rsidRPr="00BB7634" w:rsidRDefault="009A12DC" w:rsidP="007255CC">
      <w:pPr>
        <w:spacing w:before="120" w:after="120" w:line="360" w:lineRule="auto"/>
        <w:rPr>
          <w:rFonts w:ascii="Arial" w:hAnsi="Arial" w:cs="Arial"/>
          <w:sz w:val="22"/>
          <w:szCs w:val="22"/>
          <w:lang w:val="en-ZA"/>
        </w:rPr>
      </w:pPr>
    </w:p>
    <w:tbl>
      <w:tblPr>
        <w:tblW w:w="9440" w:type="dxa"/>
        <w:tblInd w:w="113" w:type="dxa"/>
        <w:tblLook w:val="04A0"/>
      </w:tblPr>
      <w:tblGrid>
        <w:gridCol w:w="5563"/>
        <w:gridCol w:w="3877"/>
      </w:tblGrid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As at the end of March 2022/23 </w:t>
            </w:r>
          </w:p>
        </w:tc>
      </w:tr>
      <w:tr w:rsidR="00B759FD" w:rsidRPr="0084438D" w:rsidTr="00B759FD">
        <w:trPr>
          <w:trHeight w:val="290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District Courts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Admin Regions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 w:rsidRP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 (Eastern Cape A) Port Elizabeth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2 (Eastern Cape B) Mthatha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3 (Free State A) Bloemfontein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4 (Free State B) Welkom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05 (Gauteng) Pretoria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05A (Gauteng) Johannesburg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6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A) Durban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7 (Kwa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 B) Pietermaritzburg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08 (Mpumalanga) Nelspruit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09 (North</w:t>
            </w:r>
            <w:r w:rsidR="009A1BEF">
              <w:rPr>
                <w:rFonts w:ascii="Arial" w:hAnsi="Arial" w:cs="Arial"/>
                <w:color w:val="000000"/>
              </w:rPr>
              <w:t xml:space="preserve"> W</w:t>
            </w:r>
            <w:r w:rsidRPr="0084438D">
              <w:rPr>
                <w:rFonts w:ascii="Arial" w:hAnsi="Arial" w:cs="Arial"/>
                <w:color w:val="000000"/>
              </w:rPr>
              <w:t>est) Mmabatho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10 (Northern Cape) Kimberley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11 (Limpopo) Polokwane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12 (Western Cape A) Cape Town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Administrative Region 13 (Western Cape B) Wynberg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Province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 xml:space="preserve">Unavailable interpreters (local </w:t>
            </w:r>
            <w:r w:rsidR="0084438D" w:rsidRPr="0084438D">
              <w:rPr>
                <w:rFonts w:ascii="Arial" w:hAnsi="Arial" w:cs="Arial"/>
                <w:b/>
                <w:bCs/>
                <w:color w:val="000000"/>
              </w:rPr>
              <w:t xml:space="preserve">and </w:t>
            </w:r>
            <w:r w:rsidRPr="0084438D">
              <w:rPr>
                <w:rFonts w:ascii="Arial" w:hAnsi="Arial" w:cs="Arial"/>
                <w:b/>
                <w:bCs/>
                <w:color w:val="000000"/>
              </w:rPr>
              <w:t>foreign)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Eastern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Free State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Kwa</w:t>
            </w:r>
            <w:r w:rsidR="009A1BEF">
              <w:rPr>
                <w:rFonts w:ascii="Arial" w:hAnsi="Arial" w:cs="Arial"/>
                <w:color w:val="000000"/>
              </w:rPr>
              <w:t>-Z</w:t>
            </w:r>
            <w:r w:rsidRPr="0084438D">
              <w:rPr>
                <w:rFonts w:ascii="Arial" w:hAnsi="Arial" w:cs="Arial"/>
                <w:color w:val="000000"/>
              </w:rPr>
              <w:t>ulu Natal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Mpumalanga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North West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Western Cape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color w:val="000000"/>
              </w:rPr>
            </w:pPr>
            <w:r w:rsidRPr="0084438D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759FD" w:rsidRPr="0084438D" w:rsidTr="00B759FD">
        <w:trPr>
          <w:trHeight w:val="290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FD" w:rsidRPr="0084438D" w:rsidRDefault="00B759FD" w:rsidP="00B759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4438D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</w:tr>
    </w:tbl>
    <w:p w:rsidR="00B759FD" w:rsidRPr="00BB7634" w:rsidRDefault="00B759FD" w:rsidP="007255CC">
      <w:pPr>
        <w:spacing w:before="120" w:after="120" w:line="360" w:lineRule="auto"/>
        <w:rPr>
          <w:rFonts w:ascii="Arial" w:hAnsi="Arial" w:cs="Arial"/>
          <w:sz w:val="22"/>
          <w:szCs w:val="22"/>
          <w:lang w:val="en-ZA"/>
        </w:rPr>
      </w:pPr>
    </w:p>
    <w:sectPr w:rsidR="00B759FD" w:rsidRPr="00BB7634" w:rsidSect="00A643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A6" w:rsidRDefault="00135DA6" w:rsidP="00913892">
      <w:r>
        <w:separator/>
      </w:r>
    </w:p>
  </w:endnote>
  <w:endnote w:type="continuationSeparator" w:id="0">
    <w:p w:rsidR="00135DA6" w:rsidRDefault="00135DA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35DA6" w:rsidRPr="00135DA6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A6" w:rsidRDefault="00135DA6" w:rsidP="00913892">
      <w:r>
        <w:separator/>
      </w:r>
    </w:p>
  </w:footnote>
  <w:footnote w:type="continuationSeparator" w:id="0">
    <w:p w:rsidR="00135DA6" w:rsidRDefault="00135DA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8F2"/>
    <w:multiLevelType w:val="hybridMultilevel"/>
    <w:tmpl w:val="67802F48"/>
    <w:lvl w:ilvl="0" w:tplc="21C4BA5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D46B4"/>
    <w:multiLevelType w:val="multilevel"/>
    <w:tmpl w:val="56486F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7AB204F"/>
    <w:multiLevelType w:val="hybridMultilevel"/>
    <w:tmpl w:val="537AF7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F101E"/>
    <w:multiLevelType w:val="hybridMultilevel"/>
    <w:tmpl w:val="1346A27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41C11"/>
    <w:multiLevelType w:val="hybridMultilevel"/>
    <w:tmpl w:val="42703C4E"/>
    <w:lvl w:ilvl="0" w:tplc="BA6E80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359F513B"/>
    <w:multiLevelType w:val="hybridMultilevel"/>
    <w:tmpl w:val="F02C6E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E7E8C"/>
    <w:multiLevelType w:val="hybridMultilevel"/>
    <w:tmpl w:val="91F87FD2"/>
    <w:lvl w:ilvl="0" w:tplc="D22ED8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403"/>
    <w:multiLevelType w:val="hybridMultilevel"/>
    <w:tmpl w:val="9BFED33C"/>
    <w:lvl w:ilvl="0" w:tplc="643E0BA8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260483"/>
    <w:multiLevelType w:val="hybridMultilevel"/>
    <w:tmpl w:val="972ABDB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33F7"/>
    <w:rsid w:val="00046588"/>
    <w:rsid w:val="00052CE2"/>
    <w:rsid w:val="0005378A"/>
    <w:rsid w:val="00070401"/>
    <w:rsid w:val="0007147A"/>
    <w:rsid w:val="00072E1B"/>
    <w:rsid w:val="0007655F"/>
    <w:rsid w:val="00080B73"/>
    <w:rsid w:val="000A3DA5"/>
    <w:rsid w:val="000B4370"/>
    <w:rsid w:val="000B5E45"/>
    <w:rsid w:val="000C01D4"/>
    <w:rsid w:val="000D4F57"/>
    <w:rsid w:val="000D5A5B"/>
    <w:rsid w:val="000E06F1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35DA6"/>
    <w:rsid w:val="00144111"/>
    <w:rsid w:val="00156483"/>
    <w:rsid w:val="00167965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A79E0"/>
    <w:rsid w:val="001B00F0"/>
    <w:rsid w:val="001B36B6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45F81"/>
    <w:rsid w:val="00262ACE"/>
    <w:rsid w:val="00281574"/>
    <w:rsid w:val="00284F6A"/>
    <w:rsid w:val="002857B6"/>
    <w:rsid w:val="00286311"/>
    <w:rsid w:val="00291065"/>
    <w:rsid w:val="00291305"/>
    <w:rsid w:val="00295084"/>
    <w:rsid w:val="002A0DB1"/>
    <w:rsid w:val="002A36FB"/>
    <w:rsid w:val="002A4A62"/>
    <w:rsid w:val="002A6618"/>
    <w:rsid w:val="002B2B31"/>
    <w:rsid w:val="002B6D18"/>
    <w:rsid w:val="002C398C"/>
    <w:rsid w:val="002C719B"/>
    <w:rsid w:val="002D3F02"/>
    <w:rsid w:val="002D5BF7"/>
    <w:rsid w:val="002D7BBD"/>
    <w:rsid w:val="002E1C99"/>
    <w:rsid w:val="002E5868"/>
    <w:rsid w:val="002E7253"/>
    <w:rsid w:val="002F209D"/>
    <w:rsid w:val="002F22DD"/>
    <w:rsid w:val="002F5C8E"/>
    <w:rsid w:val="00300D63"/>
    <w:rsid w:val="003143E7"/>
    <w:rsid w:val="0031629A"/>
    <w:rsid w:val="0031652F"/>
    <w:rsid w:val="00322BA4"/>
    <w:rsid w:val="003401CA"/>
    <w:rsid w:val="0034344A"/>
    <w:rsid w:val="00346942"/>
    <w:rsid w:val="0037187E"/>
    <w:rsid w:val="003767D7"/>
    <w:rsid w:val="003771A4"/>
    <w:rsid w:val="00380696"/>
    <w:rsid w:val="00381288"/>
    <w:rsid w:val="00381B64"/>
    <w:rsid w:val="00383858"/>
    <w:rsid w:val="00386CA6"/>
    <w:rsid w:val="003A64C5"/>
    <w:rsid w:val="003A64FE"/>
    <w:rsid w:val="003A6AD0"/>
    <w:rsid w:val="003B0260"/>
    <w:rsid w:val="003B7CDE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03DF2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02FE"/>
    <w:rsid w:val="00465448"/>
    <w:rsid w:val="00465A51"/>
    <w:rsid w:val="004926BD"/>
    <w:rsid w:val="004B3807"/>
    <w:rsid w:val="004B6B6B"/>
    <w:rsid w:val="004B7462"/>
    <w:rsid w:val="004D10F8"/>
    <w:rsid w:val="004E7CD4"/>
    <w:rsid w:val="004F6FEC"/>
    <w:rsid w:val="00502868"/>
    <w:rsid w:val="00515B6A"/>
    <w:rsid w:val="005160F8"/>
    <w:rsid w:val="0054211D"/>
    <w:rsid w:val="0054494B"/>
    <w:rsid w:val="005454FB"/>
    <w:rsid w:val="00551AAE"/>
    <w:rsid w:val="005601A1"/>
    <w:rsid w:val="00572F09"/>
    <w:rsid w:val="005772C1"/>
    <w:rsid w:val="005835BC"/>
    <w:rsid w:val="005856A7"/>
    <w:rsid w:val="00585897"/>
    <w:rsid w:val="005A42CF"/>
    <w:rsid w:val="005A4412"/>
    <w:rsid w:val="005B6209"/>
    <w:rsid w:val="005D1EEF"/>
    <w:rsid w:val="005E365A"/>
    <w:rsid w:val="005E6608"/>
    <w:rsid w:val="00603B82"/>
    <w:rsid w:val="00612214"/>
    <w:rsid w:val="00625CD7"/>
    <w:rsid w:val="00626E7A"/>
    <w:rsid w:val="00630932"/>
    <w:rsid w:val="00631F68"/>
    <w:rsid w:val="00641A50"/>
    <w:rsid w:val="00650E6E"/>
    <w:rsid w:val="0065206B"/>
    <w:rsid w:val="00653FE5"/>
    <w:rsid w:val="00661BE2"/>
    <w:rsid w:val="00670788"/>
    <w:rsid w:val="0067545A"/>
    <w:rsid w:val="00675D49"/>
    <w:rsid w:val="006959E4"/>
    <w:rsid w:val="00696341"/>
    <w:rsid w:val="006A2EB4"/>
    <w:rsid w:val="006B0F80"/>
    <w:rsid w:val="006C0567"/>
    <w:rsid w:val="006D21F9"/>
    <w:rsid w:val="006D5FFB"/>
    <w:rsid w:val="006D7E71"/>
    <w:rsid w:val="006F00BA"/>
    <w:rsid w:val="006F2454"/>
    <w:rsid w:val="006F24E0"/>
    <w:rsid w:val="006F63D7"/>
    <w:rsid w:val="007057FE"/>
    <w:rsid w:val="00706401"/>
    <w:rsid w:val="00720D4C"/>
    <w:rsid w:val="00724689"/>
    <w:rsid w:val="007255CC"/>
    <w:rsid w:val="007261FA"/>
    <w:rsid w:val="00740A5A"/>
    <w:rsid w:val="00745638"/>
    <w:rsid w:val="007540CF"/>
    <w:rsid w:val="00755C22"/>
    <w:rsid w:val="00757E02"/>
    <w:rsid w:val="00760BFE"/>
    <w:rsid w:val="00765301"/>
    <w:rsid w:val="007671DF"/>
    <w:rsid w:val="00774A06"/>
    <w:rsid w:val="00774F8F"/>
    <w:rsid w:val="00777A77"/>
    <w:rsid w:val="0078425B"/>
    <w:rsid w:val="00791471"/>
    <w:rsid w:val="007961D4"/>
    <w:rsid w:val="007B3991"/>
    <w:rsid w:val="007B77BB"/>
    <w:rsid w:val="007B7829"/>
    <w:rsid w:val="007C0AC3"/>
    <w:rsid w:val="007C1863"/>
    <w:rsid w:val="007C6597"/>
    <w:rsid w:val="007E6925"/>
    <w:rsid w:val="007E7201"/>
    <w:rsid w:val="007F2B0B"/>
    <w:rsid w:val="007F3217"/>
    <w:rsid w:val="007F7D8C"/>
    <w:rsid w:val="008169B8"/>
    <w:rsid w:val="008325B5"/>
    <w:rsid w:val="0084438D"/>
    <w:rsid w:val="00846897"/>
    <w:rsid w:val="008479E1"/>
    <w:rsid w:val="00852F22"/>
    <w:rsid w:val="00856CFA"/>
    <w:rsid w:val="00865132"/>
    <w:rsid w:val="0087112C"/>
    <w:rsid w:val="008769EF"/>
    <w:rsid w:val="00881381"/>
    <w:rsid w:val="00881AB9"/>
    <w:rsid w:val="00892846"/>
    <w:rsid w:val="0089351C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1E94"/>
    <w:rsid w:val="00913892"/>
    <w:rsid w:val="0092193B"/>
    <w:rsid w:val="009229AD"/>
    <w:rsid w:val="0094372F"/>
    <w:rsid w:val="009527B5"/>
    <w:rsid w:val="009541F2"/>
    <w:rsid w:val="009551F2"/>
    <w:rsid w:val="00973033"/>
    <w:rsid w:val="009761A7"/>
    <w:rsid w:val="00982FE2"/>
    <w:rsid w:val="00983C6B"/>
    <w:rsid w:val="009868D6"/>
    <w:rsid w:val="009872DA"/>
    <w:rsid w:val="0098762D"/>
    <w:rsid w:val="00991A82"/>
    <w:rsid w:val="009A12DC"/>
    <w:rsid w:val="009A1BEF"/>
    <w:rsid w:val="009A755B"/>
    <w:rsid w:val="009B0CAB"/>
    <w:rsid w:val="009D4F78"/>
    <w:rsid w:val="009D6016"/>
    <w:rsid w:val="009E0268"/>
    <w:rsid w:val="009E1265"/>
    <w:rsid w:val="009E1C96"/>
    <w:rsid w:val="009F17AE"/>
    <w:rsid w:val="009F1B70"/>
    <w:rsid w:val="009F2D5C"/>
    <w:rsid w:val="00A07DBE"/>
    <w:rsid w:val="00A13ABE"/>
    <w:rsid w:val="00A13BBD"/>
    <w:rsid w:val="00A14647"/>
    <w:rsid w:val="00A42301"/>
    <w:rsid w:val="00A45D5C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A4483"/>
    <w:rsid w:val="00AD7B7A"/>
    <w:rsid w:val="00AF0F1A"/>
    <w:rsid w:val="00AF24E0"/>
    <w:rsid w:val="00AF5D91"/>
    <w:rsid w:val="00B0043C"/>
    <w:rsid w:val="00B021CE"/>
    <w:rsid w:val="00B0386B"/>
    <w:rsid w:val="00B13369"/>
    <w:rsid w:val="00B170EA"/>
    <w:rsid w:val="00B26AB3"/>
    <w:rsid w:val="00B26AD2"/>
    <w:rsid w:val="00B40A2F"/>
    <w:rsid w:val="00B46E62"/>
    <w:rsid w:val="00B54B4B"/>
    <w:rsid w:val="00B553A6"/>
    <w:rsid w:val="00B56B50"/>
    <w:rsid w:val="00B635B4"/>
    <w:rsid w:val="00B67332"/>
    <w:rsid w:val="00B759FD"/>
    <w:rsid w:val="00B8345D"/>
    <w:rsid w:val="00B87F82"/>
    <w:rsid w:val="00B958BA"/>
    <w:rsid w:val="00BA3361"/>
    <w:rsid w:val="00BA3A67"/>
    <w:rsid w:val="00BA61AF"/>
    <w:rsid w:val="00BA7032"/>
    <w:rsid w:val="00BB53A8"/>
    <w:rsid w:val="00BB7634"/>
    <w:rsid w:val="00BB7991"/>
    <w:rsid w:val="00BC1021"/>
    <w:rsid w:val="00BC7AFB"/>
    <w:rsid w:val="00BD597B"/>
    <w:rsid w:val="00BD6D36"/>
    <w:rsid w:val="00BE17FF"/>
    <w:rsid w:val="00BE32B9"/>
    <w:rsid w:val="00BF02D3"/>
    <w:rsid w:val="00BF0672"/>
    <w:rsid w:val="00BF0809"/>
    <w:rsid w:val="00BF738D"/>
    <w:rsid w:val="00C15423"/>
    <w:rsid w:val="00C23814"/>
    <w:rsid w:val="00C30D6E"/>
    <w:rsid w:val="00C31057"/>
    <w:rsid w:val="00C331B7"/>
    <w:rsid w:val="00C360AA"/>
    <w:rsid w:val="00C3772F"/>
    <w:rsid w:val="00C41A50"/>
    <w:rsid w:val="00C433CC"/>
    <w:rsid w:val="00C73EF4"/>
    <w:rsid w:val="00C75ACC"/>
    <w:rsid w:val="00C770B6"/>
    <w:rsid w:val="00C77559"/>
    <w:rsid w:val="00C80C62"/>
    <w:rsid w:val="00C81ABF"/>
    <w:rsid w:val="00C84899"/>
    <w:rsid w:val="00C8589D"/>
    <w:rsid w:val="00C877EE"/>
    <w:rsid w:val="00C904B6"/>
    <w:rsid w:val="00C90886"/>
    <w:rsid w:val="00C95F59"/>
    <w:rsid w:val="00CA5CFA"/>
    <w:rsid w:val="00CB2778"/>
    <w:rsid w:val="00CB4309"/>
    <w:rsid w:val="00CC235A"/>
    <w:rsid w:val="00CC239F"/>
    <w:rsid w:val="00CC576B"/>
    <w:rsid w:val="00CC7543"/>
    <w:rsid w:val="00CD042D"/>
    <w:rsid w:val="00CD3DB4"/>
    <w:rsid w:val="00CD4D18"/>
    <w:rsid w:val="00CE0598"/>
    <w:rsid w:val="00CE3066"/>
    <w:rsid w:val="00CF1B81"/>
    <w:rsid w:val="00CF5F59"/>
    <w:rsid w:val="00D13E58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67314"/>
    <w:rsid w:val="00D74CDB"/>
    <w:rsid w:val="00D764A0"/>
    <w:rsid w:val="00D76DA7"/>
    <w:rsid w:val="00D80139"/>
    <w:rsid w:val="00D86E52"/>
    <w:rsid w:val="00D93903"/>
    <w:rsid w:val="00DA495F"/>
    <w:rsid w:val="00DB11B2"/>
    <w:rsid w:val="00DB3E1B"/>
    <w:rsid w:val="00DC255C"/>
    <w:rsid w:val="00DC592F"/>
    <w:rsid w:val="00DC7CDA"/>
    <w:rsid w:val="00DE1284"/>
    <w:rsid w:val="00DE7180"/>
    <w:rsid w:val="00DF2638"/>
    <w:rsid w:val="00E1080E"/>
    <w:rsid w:val="00E128BD"/>
    <w:rsid w:val="00E164DD"/>
    <w:rsid w:val="00E17F42"/>
    <w:rsid w:val="00E21A66"/>
    <w:rsid w:val="00E30F9B"/>
    <w:rsid w:val="00E37DD8"/>
    <w:rsid w:val="00E44AFC"/>
    <w:rsid w:val="00E50FD3"/>
    <w:rsid w:val="00E52FFC"/>
    <w:rsid w:val="00E55AFD"/>
    <w:rsid w:val="00E57229"/>
    <w:rsid w:val="00E57963"/>
    <w:rsid w:val="00EA4D5C"/>
    <w:rsid w:val="00EA53D2"/>
    <w:rsid w:val="00EA7A64"/>
    <w:rsid w:val="00EB54FA"/>
    <w:rsid w:val="00EB5C9A"/>
    <w:rsid w:val="00EB7DA1"/>
    <w:rsid w:val="00EC5379"/>
    <w:rsid w:val="00ED072E"/>
    <w:rsid w:val="00ED5CF6"/>
    <w:rsid w:val="00EE1177"/>
    <w:rsid w:val="00EE2D1D"/>
    <w:rsid w:val="00EE6AD6"/>
    <w:rsid w:val="00EF081C"/>
    <w:rsid w:val="00EF2E4B"/>
    <w:rsid w:val="00EF32C9"/>
    <w:rsid w:val="00F17FE4"/>
    <w:rsid w:val="00F20EAD"/>
    <w:rsid w:val="00F220CD"/>
    <w:rsid w:val="00F26B86"/>
    <w:rsid w:val="00F31805"/>
    <w:rsid w:val="00F32ED6"/>
    <w:rsid w:val="00F3487E"/>
    <w:rsid w:val="00F36003"/>
    <w:rsid w:val="00F400F2"/>
    <w:rsid w:val="00F475A6"/>
    <w:rsid w:val="00F5419D"/>
    <w:rsid w:val="00F55893"/>
    <w:rsid w:val="00F56A93"/>
    <w:rsid w:val="00F57120"/>
    <w:rsid w:val="00F60AFA"/>
    <w:rsid w:val="00F63F57"/>
    <w:rsid w:val="00F646C9"/>
    <w:rsid w:val="00F739F4"/>
    <w:rsid w:val="00F81277"/>
    <w:rsid w:val="00F845F2"/>
    <w:rsid w:val="00F86709"/>
    <w:rsid w:val="00F91926"/>
    <w:rsid w:val="00F95D9E"/>
    <w:rsid w:val="00FA26A6"/>
    <w:rsid w:val="00FA4D8E"/>
    <w:rsid w:val="00FC4AB0"/>
    <w:rsid w:val="00FD32ED"/>
    <w:rsid w:val="00FE25AE"/>
    <w:rsid w:val="00FE5DBA"/>
    <w:rsid w:val="00FE61B7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A70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BCA710405C45847E89218BA34F16" ma:contentTypeVersion="9" ma:contentTypeDescription="Create a new document." ma:contentTypeScope="" ma:versionID="e5f5c4c58e62fae68ffdd29a0bacbd63">
  <xsd:schema xmlns:xsd="http://www.w3.org/2001/XMLSchema" xmlns:xs="http://www.w3.org/2001/XMLSchema" xmlns:p="http://schemas.microsoft.com/office/2006/metadata/properties" xmlns:ns3="fa6004b0-8bcc-47c2-b7c1-cdf549c4d790" targetNamespace="http://schemas.microsoft.com/office/2006/metadata/properties" ma:root="true" ma:fieldsID="9ef5a1859fcc7a134a85abf3a52125d4" ns3:_="">
    <xsd:import namespace="fa6004b0-8bcc-47c2-b7c1-cdf549c4d7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04b0-8bcc-47c2-b7c1-cdf549c4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BC4C16-D04A-458B-99E0-F006CE282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E19BF-DD02-4719-99B9-1418736C7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04b0-8bcc-47c2-b7c1-cdf549c4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50C5B-8E02-415E-AB6E-816C9350A4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2023-06-08T07:09:00Z</cp:lastPrinted>
  <dcterms:created xsi:type="dcterms:W3CDTF">2023-07-20T10:50:00Z</dcterms:created>
  <dcterms:modified xsi:type="dcterms:W3CDTF">2023-07-20T10:50:00Z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0x01010041E8BCA710405C45847E89218BA34F16</vt:lpwstr>
  </property>
</Properties>
</file>