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D2" w:rsidRPr="008052E7" w:rsidRDefault="003B6614" w:rsidP="008052E7">
      <w:pPr>
        <w:jc w:val="both"/>
        <w:rPr>
          <w:b/>
          <w:lang w:val="en-ZA"/>
        </w:rPr>
      </w:pPr>
      <w:r w:rsidRPr="008052E7">
        <w:rPr>
          <w:b/>
          <w:lang w:val="en-ZA"/>
        </w:rPr>
        <w:t xml:space="preserve">NATIONAL ASSEMBLY </w:t>
      </w:r>
    </w:p>
    <w:p w:rsidR="003B6614" w:rsidRPr="008052E7" w:rsidRDefault="003B6614" w:rsidP="008052E7">
      <w:pPr>
        <w:jc w:val="both"/>
        <w:rPr>
          <w:b/>
          <w:lang w:val="en-ZA"/>
        </w:rPr>
      </w:pPr>
    </w:p>
    <w:p w:rsidR="003B6614" w:rsidRPr="008052E7" w:rsidRDefault="00E018FB" w:rsidP="008052E7">
      <w:pPr>
        <w:jc w:val="both"/>
        <w:rPr>
          <w:b/>
          <w:lang w:val="en-ZA"/>
        </w:rPr>
      </w:pPr>
      <w:r>
        <w:rPr>
          <w:b/>
          <w:lang w:val="en-ZA"/>
        </w:rPr>
        <w:t xml:space="preserve">WRITTEN </w:t>
      </w:r>
      <w:r w:rsidR="003B6614" w:rsidRPr="008052E7">
        <w:rPr>
          <w:b/>
          <w:lang w:val="en-ZA"/>
        </w:rPr>
        <w:t xml:space="preserve">EPLY </w:t>
      </w:r>
    </w:p>
    <w:p w:rsidR="008052E7" w:rsidRPr="008052E7" w:rsidRDefault="008052E7" w:rsidP="008052E7">
      <w:pPr>
        <w:jc w:val="both"/>
        <w:rPr>
          <w:b/>
          <w:lang w:val="en-ZA"/>
        </w:rPr>
      </w:pPr>
    </w:p>
    <w:p w:rsidR="003B6614" w:rsidRDefault="008052E7" w:rsidP="008052E7">
      <w:pPr>
        <w:jc w:val="both"/>
        <w:rPr>
          <w:b/>
          <w:lang w:val="en-ZA"/>
        </w:rPr>
      </w:pPr>
      <w:r>
        <w:rPr>
          <w:b/>
          <w:lang w:val="en-ZA"/>
        </w:rPr>
        <w:t>QUE</w:t>
      </w:r>
      <w:r w:rsidR="003B6614" w:rsidRPr="008052E7">
        <w:rPr>
          <w:b/>
          <w:lang w:val="en-ZA"/>
        </w:rPr>
        <w:t>STION NO 2228</w:t>
      </w:r>
    </w:p>
    <w:p w:rsidR="00E018FB" w:rsidRDefault="00E018FB" w:rsidP="008052E7">
      <w:pPr>
        <w:jc w:val="both"/>
        <w:rPr>
          <w:b/>
          <w:lang w:val="en-ZA"/>
        </w:rPr>
      </w:pPr>
    </w:p>
    <w:p w:rsidR="00E018FB" w:rsidRDefault="00E018FB" w:rsidP="008052E7">
      <w:pPr>
        <w:jc w:val="both"/>
        <w:rPr>
          <w:b/>
          <w:lang w:val="en-ZA"/>
        </w:rPr>
      </w:pPr>
      <w:r>
        <w:rPr>
          <w:b/>
          <w:lang w:val="en-ZA"/>
        </w:rPr>
        <w:t xml:space="preserve">“2228. </w:t>
      </w:r>
      <w:proofErr w:type="spellStart"/>
      <w:r>
        <w:rPr>
          <w:b/>
          <w:lang w:val="en-ZA"/>
        </w:rPr>
        <w:t>Prof.</w:t>
      </w:r>
      <w:proofErr w:type="spellEnd"/>
      <w:r>
        <w:rPr>
          <w:b/>
          <w:lang w:val="en-ZA"/>
        </w:rPr>
        <w:t xml:space="preserve"> B </w:t>
      </w:r>
      <w:proofErr w:type="spellStart"/>
      <w:r>
        <w:rPr>
          <w:b/>
          <w:lang w:val="en-ZA"/>
        </w:rPr>
        <w:t>Bozzoli</w:t>
      </w:r>
      <w:proofErr w:type="spellEnd"/>
      <w:r>
        <w:rPr>
          <w:b/>
          <w:lang w:val="en-ZA"/>
        </w:rPr>
        <w:t xml:space="preserve"> (DA) to ask the Minister of Science and Technology:</w:t>
      </w:r>
    </w:p>
    <w:p w:rsidR="00E018FB" w:rsidRDefault="00E018FB" w:rsidP="00E018FB">
      <w:pPr>
        <w:pStyle w:val="ListParagraph"/>
        <w:numPr>
          <w:ilvl w:val="0"/>
          <w:numId w:val="1"/>
        </w:numPr>
        <w:jc w:val="both"/>
        <w:rPr>
          <w:b/>
          <w:lang w:val="en-ZA"/>
        </w:rPr>
      </w:pPr>
      <w:r>
        <w:rPr>
          <w:b/>
          <w:lang w:val="en-ZA"/>
        </w:rPr>
        <w:t>With reference to the South African Research Chairs Initiative (SARCHI), (a) how many chairs have been established in the past fifteen years and (b) in each case, what are relevant details with regard to the (</w:t>
      </w:r>
      <w:proofErr w:type="spellStart"/>
      <w:r>
        <w:rPr>
          <w:b/>
          <w:lang w:val="en-ZA"/>
        </w:rPr>
        <w:t>i</w:t>
      </w:r>
      <w:proofErr w:type="spellEnd"/>
      <w:r>
        <w:rPr>
          <w:b/>
          <w:lang w:val="en-ZA"/>
        </w:rPr>
        <w:t xml:space="preserve">) chair field, (ii) university host, (iii) occupant and (iv) total cost of the chairs programme in each specified year; </w:t>
      </w:r>
    </w:p>
    <w:p w:rsidR="00E018FB" w:rsidRDefault="00E018FB" w:rsidP="00E018FB">
      <w:pPr>
        <w:pStyle w:val="ListParagraph"/>
        <w:numPr>
          <w:ilvl w:val="0"/>
          <w:numId w:val="1"/>
        </w:numPr>
        <w:jc w:val="both"/>
        <w:rPr>
          <w:b/>
          <w:lang w:val="en-ZA"/>
        </w:rPr>
      </w:pPr>
      <w:r>
        <w:rPr>
          <w:b/>
          <w:lang w:val="en-ZA"/>
        </w:rPr>
        <w:t>(a) how many chairs have (a) been renewed and (b) not been renewed at the end of each five – year cycle and (b) what were the reasons in each case?”</w:t>
      </w:r>
    </w:p>
    <w:p w:rsidR="00E018FB" w:rsidRPr="00E018FB" w:rsidRDefault="00E018FB" w:rsidP="00E018FB">
      <w:pPr>
        <w:ind w:left="7200"/>
        <w:jc w:val="both"/>
        <w:rPr>
          <w:b/>
          <w:lang w:val="en-ZA"/>
        </w:rPr>
      </w:pPr>
      <w:r>
        <w:rPr>
          <w:b/>
          <w:lang w:val="en-ZA"/>
        </w:rPr>
        <w:t>NW 2461 E</w:t>
      </w:r>
      <w:r w:rsidRPr="00E018FB">
        <w:rPr>
          <w:b/>
          <w:lang w:val="en-ZA"/>
        </w:rPr>
        <w:t xml:space="preserve"> </w:t>
      </w:r>
    </w:p>
    <w:p w:rsidR="00E018FB" w:rsidRPr="008052E7" w:rsidRDefault="00E018FB" w:rsidP="008052E7">
      <w:pPr>
        <w:jc w:val="both"/>
        <w:rPr>
          <w:b/>
          <w:lang w:val="en-ZA"/>
        </w:rPr>
      </w:pPr>
    </w:p>
    <w:p w:rsidR="008052E7" w:rsidRPr="008052E7" w:rsidRDefault="008052E7" w:rsidP="008052E7">
      <w:pPr>
        <w:jc w:val="both"/>
        <w:rPr>
          <w:b/>
          <w:lang w:val="en-ZA"/>
        </w:rPr>
      </w:pPr>
    </w:p>
    <w:p w:rsidR="003B6614" w:rsidRPr="008052E7" w:rsidRDefault="003B6614" w:rsidP="008052E7">
      <w:pPr>
        <w:jc w:val="both"/>
        <w:rPr>
          <w:b/>
          <w:lang w:val="en-ZA"/>
        </w:rPr>
      </w:pPr>
      <w:r w:rsidRPr="008052E7">
        <w:rPr>
          <w:b/>
          <w:lang w:val="en-ZA"/>
        </w:rPr>
        <w:t>REPLY</w:t>
      </w:r>
    </w:p>
    <w:p w:rsidR="003B6614" w:rsidRDefault="003B6614" w:rsidP="008052E7">
      <w:pPr>
        <w:jc w:val="both"/>
        <w:rPr>
          <w:lang w:val="en-ZA"/>
        </w:rPr>
      </w:pPr>
      <w:r>
        <w:rPr>
          <w:lang w:val="en-ZA"/>
        </w:rPr>
        <w:t xml:space="preserve">1. </w:t>
      </w:r>
      <w:r w:rsidR="00185174">
        <w:rPr>
          <w:lang w:val="en-ZA"/>
        </w:rPr>
        <w:tab/>
      </w:r>
      <w:r>
        <w:rPr>
          <w:lang w:val="en-ZA"/>
        </w:rPr>
        <w:t>(a) The South African Research Chairs Initiative (</w:t>
      </w:r>
      <w:proofErr w:type="spellStart"/>
      <w:r>
        <w:rPr>
          <w:lang w:val="en-ZA"/>
        </w:rPr>
        <w:t>SARChI</w:t>
      </w:r>
      <w:proofErr w:type="spellEnd"/>
      <w:r>
        <w:rPr>
          <w:lang w:val="en-ZA"/>
        </w:rPr>
        <w:t xml:space="preserve">) was established in 2005; and to </w:t>
      </w:r>
      <w:r w:rsidR="00185174">
        <w:rPr>
          <w:lang w:val="en-ZA"/>
        </w:rPr>
        <w:tab/>
      </w:r>
      <w:r>
        <w:rPr>
          <w:lang w:val="en-ZA"/>
        </w:rPr>
        <w:t>date, 199 research chairs have been awarded, of which 195 are filled and four are vacant.</w:t>
      </w:r>
    </w:p>
    <w:p w:rsidR="008052E7" w:rsidRDefault="00185174" w:rsidP="008052E7">
      <w:pPr>
        <w:jc w:val="both"/>
        <w:rPr>
          <w:lang w:val="en-ZA"/>
        </w:rPr>
      </w:pPr>
      <w:r>
        <w:rPr>
          <w:lang w:val="en-ZA"/>
        </w:rPr>
        <w:tab/>
      </w:r>
      <w:r w:rsidR="003B6614">
        <w:rPr>
          <w:lang w:val="en-ZA"/>
        </w:rPr>
        <w:t>(b)</w:t>
      </w:r>
      <w:r>
        <w:rPr>
          <w:lang w:val="en-ZA"/>
        </w:rPr>
        <w:tab/>
      </w:r>
      <w:r w:rsidR="003B6614">
        <w:rPr>
          <w:lang w:val="en-ZA"/>
        </w:rPr>
        <w:t>(</w:t>
      </w:r>
      <w:proofErr w:type="spellStart"/>
      <w:r w:rsidR="003B6614">
        <w:rPr>
          <w:lang w:val="en-ZA"/>
        </w:rPr>
        <w:t>i</w:t>
      </w:r>
      <w:proofErr w:type="spellEnd"/>
      <w:r w:rsidR="00E018FB">
        <w:rPr>
          <w:lang w:val="en-ZA"/>
        </w:rPr>
        <w:t>) Of</w:t>
      </w:r>
      <w:r w:rsidR="003B6614">
        <w:rPr>
          <w:lang w:val="en-ZA"/>
        </w:rPr>
        <w:t xml:space="preserve"> the 195 filled research chairs, 81 (42%) are in the natural and agricultural </w:t>
      </w:r>
      <w:r>
        <w:rPr>
          <w:lang w:val="en-ZA"/>
        </w:rPr>
        <w:tab/>
      </w:r>
      <w:r>
        <w:rPr>
          <w:lang w:val="en-ZA"/>
        </w:rPr>
        <w:tab/>
      </w:r>
      <w:r>
        <w:rPr>
          <w:lang w:val="en-ZA"/>
        </w:rPr>
        <w:tab/>
        <w:t xml:space="preserve">      </w:t>
      </w:r>
      <w:r w:rsidR="003B6614">
        <w:rPr>
          <w:lang w:val="en-ZA"/>
        </w:rPr>
        <w:t>Sciences, 59 (30%) are in the humanities and</w:t>
      </w:r>
      <w:r w:rsidR="008052E7">
        <w:rPr>
          <w:lang w:val="en-ZA"/>
        </w:rPr>
        <w:t xml:space="preserve"> social sciences</w:t>
      </w:r>
      <w:r w:rsidR="008A3B45">
        <w:rPr>
          <w:lang w:val="en-ZA"/>
        </w:rPr>
        <w:t xml:space="preserve"> 39 (20%) are in </w:t>
      </w:r>
      <w:r w:rsidR="008A3B45">
        <w:rPr>
          <w:lang w:val="en-ZA"/>
        </w:rPr>
        <w:tab/>
      </w:r>
      <w:r w:rsidR="008A3B45">
        <w:rPr>
          <w:lang w:val="en-ZA"/>
        </w:rPr>
        <w:tab/>
      </w:r>
      <w:r w:rsidR="008A3B45">
        <w:rPr>
          <w:lang w:val="en-ZA"/>
        </w:rPr>
        <w:tab/>
        <w:t xml:space="preserve">      health and</w:t>
      </w:r>
      <w:r w:rsidR="003B6614">
        <w:rPr>
          <w:lang w:val="en-ZA"/>
        </w:rPr>
        <w:t xml:space="preserve"> medic</w:t>
      </w:r>
      <w:r w:rsidR="008A3B45">
        <w:rPr>
          <w:lang w:val="en-ZA"/>
        </w:rPr>
        <w:t xml:space="preserve">al sciences, and 16 (8%) are in </w:t>
      </w:r>
      <w:r w:rsidR="003B6614">
        <w:rPr>
          <w:lang w:val="en-ZA"/>
        </w:rPr>
        <w:t xml:space="preserve">engineering </w:t>
      </w:r>
      <w:r w:rsidR="00C614CA">
        <w:rPr>
          <w:lang w:val="en-ZA"/>
        </w:rPr>
        <w:t xml:space="preserve">and applied </w:t>
      </w:r>
      <w:r w:rsidR="008A3B45">
        <w:rPr>
          <w:lang w:val="en-ZA"/>
        </w:rPr>
        <w:tab/>
      </w:r>
      <w:r w:rsidR="008A3B45">
        <w:rPr>
          <w:lang w:val="en-ZA"/>
        </w:rPr>
        <w:tab/>
      </w:r>
      <w:r w:rsidR="008A3B45">
        <w:rPr>
          <w:lang w:val="en-ZA"/>
        </w:rPr>
        <w:tab/>
        <w:t xml:space="preserve">      </w:t>
      </w:r>
      <w:r w:rsidR="00C614CA">
        <w:rPr>
          <w:lang w:val="en-ZA"/>
        </w:rPr>
        <w:t>technology fields.</w:t>
      </w:r>
    </w:p>
    <w:p w:rsidR="00C614CA" w:rsidRDefault="00EB6472" w:rsidP="008052E7">
      <w:pPr>
        <w:spacing w:before="240"/>
        <w:jc w:val="both"/>
        <w:rPr>
          <w:lang w:val="en-ZA"/>
        </w:rPr>
      </w:pPr>
      <w:r>
        <w:rPr>
          <w:lang w:val="en-ZA"/>
        </w:rPr>
        <w:tab/>
      </w:r>
      <w:r>
        <w:rPr>
          <w:lang w:val="en-ZA"/>
        </w:rPr>
        <w:tab/>
      </w:r>
      <w:r w:rsidR="00C614CA">
        <w:rPr>
          <w:lang w:val="en-ZA"/>
        </w:rPr>
        <w:t xml:space="preserve">(ii) of the 199 </w:t>
      </w:r>
      <w:r w:rsidR="00E018FB">
        <w:rPr>
          <w:lang w:val="en-ZA"/>
        </w:rPr>
        <w:t>awarded research</w:t>
      </w:r>
      <w:r w:rsidR="00C614CA">
        <w:rPr>
          <w:lang w:val="en-ZA"/>
        </w:rPr>
        <w:t xml:space="preserve"> chairs, 12 (6%) are hosted by the universities of </w:t>
      </w:r>
      <w:r>
        <w:rPr>
          <w:lang w:val="en-ZA"/>
        </w:rPr>
        <w:tab/>
      </w:r>
      <w:r>
        <w:rPr>
          <w:lang w:val="en-ZA"/>
        </w:rPr>
        <w:tab/>
        <w:t xml:space="preserve">      </w:t>
      </w:r>
      <w:r w:rsidR="00C614CA">
        <w:rPr>
          <w:lang w:val="en-ZA"/>
        </w:rPr>
        <w:t>technology (</w:t>
      </w:r>
      <w:proofErr w:type="spellStart"/>
      <w:r w:rsidR="00C614CA">
        <w:rPr>
          <w:lang w:val="en-ZA"/>
        </w:rPr>
        <w:t>UoTs</w:t>
      </w:r>
      <w:proofErr w:type="spellEnd"/>
      <w:r w:rsidR="00C614CA">
        <w:rPr>
          <w:lang w:val="en-ZA"/>
        </w:rPr>
        <w:t>), 25 (13%) by comprehensive universities</w:t>
      </w:r>
      <w:r>
        <w:rPr>
          <w:lang w:val="en-ZA"/>
        </w:rPr>
        <w:t xml:space="preserve"> and 162 (81%) </w:t>
      </w:r>
      <w:r w:rsidR="00C614CA">
        <w:rPr>
          <w:lang w:val="en-ZA"/>
        </w:rPr>
        <w:t xml:space="preserve">by </w:t>
      </w:r>
      <w:r>
        <w:rPr>
          <w:lang w:val="en-ZA"/>
        </w:rPr>
        <w:tab/>
      </w:r>
      <w:r>
        <w:rPr>
          <w:lang w:val="en-ZA"/>
        </w:rPr>
        <w:tab/>
        <w:t xml:space="preserve">      </w:t>
      </w:r>
      <w:r w:rsidR="00C614CA">
        <w:rPr>
          <w:lang w:val="en-ZA"/>
        </w:rPr>
        <w:t>traditional universities;</w:t>
      </w:r>
    </w:p>
    <w:p w:rsidR="00185174" w:rsidRDefault="00185174" w:rsidP="008052E7">
      <w:pPr>
        <w:jc w:val="both"/>
        <w:rPr>
          <w:lang w:val="en-ZA"/>
        </w:rPr>
      </w:pPr>
      <w:r>
        <w:rPr>
          <w:lang w:val="en-ZA"/>
        </w:rPr>
        <w:tab/>
      </w:r>
      <w:r w:rsidR="00EB6472">
        <w:rPr>
          <w:lang w:val="en-ZA"/>
        </w:rPr>
        <w:tab/>
      </w:r>
      <w:r w:rsidR="00C614CA">
        <w:rPr>
          <w:lang w:val="en-ZA"/>
        </w:rPr>
        <w:t xml:space="preserve">(iii) </w:t>
      </w:r>
      <w:proofErr w:type="spellStart"/>
      <w:r w:rsidR="00C614CA">
        <w:rPr>
          <w:lang w:val="en-ZA"/>
        </w:rPr>
        <w:t>SARChI</w:t>
      </w:r>
      <w:proofErr w:type="spellEnd"/>
      <w:r w:rsidR="00C614CA">
        <w:rPr>
          <w:lang w:val="en-ZA"/>
        </w:rPr>
        <w:t xml:space="preserve"> is a strategic programme of government aimed at attracting established </w:t>
      </w:r>
      <w:r>
        <w:rPr>
          <w:lang w:val="en-ZA"/>
        </w:rPr>
        <w:tab/>
      </w:r>
      <w:r w:rsidR="00EB6472">
        <w:rPr>
          <w:lang w:val="en-ZA"/>
        </w:rPr>
        <w:tab/>
        <w:t xml:space="preserve">        </w:t>
      </w:r>
      <w:r w:rsidR="00C614CA">
        <w:rPr>
          <w:lang w:val="en-ZA"/>
        </w:rPr>
        <w:t>researches from industry and abroad to</w:t>
      </w:r>
      <w:r w:rsidR="008A3B45">
        <w:rPr>
          <w:lang w:val="en-ZA"/>
        </w:rPr>
        <w:t xml:space="preserve"> the higher education sector. Of</w:t>
      </w:r>
      <w:r w:rsidR="00C614CA">
        <w:rPr>
          <w:lang w:val="en-ZA"/>
        </w:rPr>
        <w:t xml:space="preserve"> the 195 </w:t>
      </w:r>
      <w:r w:rsidR="00EB6472">
        <w:rPr>
          <w:lang w:val="en-ZA"/>
        </w:rPr>
        <w:tab/>
      </w:r>
      <w:r w:rsidR="00EB6472">
        <w:rPr>
          <w:lang w:val="en-ZA"/>
        </w:rPr>
        <w:tab/>
        <w:t xml:space="preserve">        </w:t>
      </w:r>
      <w:r w:rsidR="00C614CA">
        <w:rPr>
          <w:lang w:val="en-ZA"/>
        </w:rPr>
        <w:t xml:space="preserve">filled research </w:t>
      </w:r>
      <w:r>
        <w:rPr>
          <w:lang w:val="en-ZA"/>
        </w:rPr>
        <w:t xml:space="preserve">chairs, 152 (78%) research chairs are occupied by established </w:t>
      </w:r>
      <w:r w:rsidR="00EB6472">
        <w:rPr>
          <w:lang w:val="en-ZA"/>
        </w:rPr>
        <w:tab/>
      </w:r>
      <w:r w:rsidR="00EB6472">
        <w:rPr>
          <w:lang w:val="en-ZA"/>
        </w:rPr>
        <w:tab/>
        <w:t xml:space="preserve">        </w:t>
      </w:r>
      <w:r>
        <w:rPr>
          <w:lang w:val="en-ZA"/>
        </w:rPr>
        <w:t xml:space="preserve">researchers drawn from local higher education institutions, and 43 (22%) </w:t>
      </w:r>
      <w:r w:rsidR="00EB6472">
        <w:rPr>
          <w:lang w:val="en-ZA"/>
        </w:rPr>
        <w:tab/>
      </w:r>
      <w:r w:rsidR="00EB6472">
        <w:rPr>
          <w:lang w:val="en-ZA"/>
        </w:rPr>
        <w:tab/>
      </w:r>
      <w:r w:rsidR="00EB6472">
        <w:rPr>
          <w:lang w:val="en-ZA"/>
        </w:rPr>
        <w:tab/>
        <w:t xml:space="preserve">        </w:t>
      </w:r>
      <w:r>
        <w:rPr>
          <w:lang w:val="en-ZA"/>
        </w:rPr>
        <w:t xml:space="preserve">research chairs are occupied by established researchers attracted from </w:t>
      </w:r>
      <w:proofErr w:type="gramStart"/>
      <w:r>
        <w:rPr>
          <w:lang w:val="en-ZA"/>
        </w:rPr>
        <w:t xml:space="preserve">industry  </w:t>
      </w:r>
      <w:r w:rsidR="00EB6472">
        <w:rPr>
          <w:lang w:val="en-ZA"/>
        </w:rPr>
        <w:tab/>
      </w:r>
      <w:proofErr w:type="gramEnd"/>
      <w:r w:rsidR="00EB6472">
        <w:rPr>
          <w:lang w:val="en-ZA"/>
        </w:rPr>
        <w:tab/>
        <w:t xml:space="preserve">        </w:t>
      </w:r>
      <w:r>
        <w:rPr>
          <w:lang w:val="en-ZA"/>
        </w:rPr>
        <w:t>and abroad; and</w:t>
      </w:r>
    </w:p>
    <w:p w:rsidR="00EB6472" w:rsidRDefault="00185174" w:rsidP="008052E7">
      <w:pPr>
        <w:jc w:val="both"/>
        <w:rPr>
          <w:lang w:val="en-ZA"/>
        </w:rPr>
      </w:pPr>
      <w:r>
        <w:rPr>
          <w:lang w:val="en-ZA"/>
        </w:rPr>
        <w:tab/>
      </w:r>
      <w:r w:rsidR="00EB6472">
        <w:rPr>
          <w:lang w:val="en-ZA"/>
        </w:rPr>
        <w:tab/>
      </w:r>
      <w:r>
        <w:rPr>
          <w:lang w:val="en-ZA"/>
        </w:rPr>
        <w:t>(iv)</w:t>
      </w:r>
      <w:r w:rsidR="00EB6472">
        <w:rPr>
          <w:lang w:val="en-ZA"/>
        </w:rPr>
        <w:t xml:space="preserve"> </w:t>
      </w:r>
      <w:r>
        <w:rPr>
          <w:lang w:val="en-ZA"/>
        </w:rPr>
        <w:t xml:space="preserve">a total amount of R2 billion has been invested by the Department of Science and </w:t>
      </w:r>
      <w:r>
        <w:rPr>
          <w:lang w:val="en-ZA"/>
        </w:rPr>
        <w:tab/>
      </w:r>
      <w:r w:rsidR="00EB6472">
        <w:rPr>
          <w:lang w:val="en-ZA"/>
        </w:rPr>
        <w:tab/>
        <w:t xml:space="preserve">      </w:t>
      </w:r>
      <w:r>
        <w:rPr>
          <w:lang w:val="en-ZA"/>
        </w:rPr>
        <w:t xml:space="preserve">Technology (DST); and in the same period, more </w:t>
      </w:r>
      <w:r w:rsidR="008A3B45">
        <w:rPr>
          <w:lang w:val="en-ZA"/>
        </w:rPr>
        <w:t>than</w:t>
      </w:r>
      <w:r>
        <w:rPr>
          <w:lang w:val="en-ZA"/>
        </w:rPr>
        <w:t xml:space="preserve"> 4 billion was leveraged </w:t>
      </w:r>
      <w:r w:rsidR="00EB6472">
        <w:rPr>
          <w:lang w:val="en-ZA"/>
        </w:rPr>
        <w:tab/>
      </w:r>
      <w:r w:rsidR="00EB6472">
        <w:rPr>
          <w:lang w:val="en-ZA"/>
        </w:rPr>
        <w:tab/>
        <w:t xml:space="preserve">       </w:t>
      </w:r>
      <w:r>
        <w:rPr>
          <w:lang w:val="en-ZA"/>
        </w:rPr>
        <w:t xml:space="preserve">from other sources by the research chairs. The total cost of </w:t>
      </w:r>
      <w:proofErr w:type="spellStart"/>
      <w:r>
        <w:rPr>
          <w:lang w:val="en-ZA"/>
        </w:rPr>
        <w:t>SARChI</w:t>
      </w:r>
      <w:proofErr w:type="spellEnd"/>
      <w:r>
        <w:rPr>
          <w:lang w:val="en-ZA"/>
        </w:rPr>
        <w:t xml:space="preserve"> in each </w:t>
      </w:r>
      <w:r w:rsidR="00EB6472">
        <w:rPr>
          <w:lang w:val="en-ZA"/>
        </w:rPr>
        <w:tab/>
      </w:r>
      <w:r w:rsidR="00EB6472">
        <w:rPr>
          <w:lang w:val="en-ZA"/>
        </w:rPr>
        <w:tab/>
      </w:r>
      <w:r w:rsidR="00EB6472">
        <w:rPr>
          <w:lang w:val="en-ZA"/>
        </w:rPr>
        <w:tab/>
        <w:t xml:space="preserve">       </w:t>
      </w:r>
      <w:r>
        <w:rPr>
          <w:lang w:val="en-ZA"/>
        </w:rPr>
        <w:t>s</w:t>
      </w:r>
      <w:r w:rsidR="00EB6472">
        <w:rPr>
          <w:lang w:val="en-ZA"/>
        </w:rPr>
        <w:t xml:space="preserve">pecified </w:t>
      </w:r>
      <w:r>
        <w:rPr>
          <w:lang w:val="en-ZA"/>
        </w:rPr>
        <w:t>year is summarized in Table 1.</w:t>
      </w:r>
      <w:r w:rsidR="00C614CA">
        <w:rPr>
          <w:lang w:val="en-ZA"/>
        </w:rPr>
        <w:t xml:space="preserve"> </w:t>
      </w:r>
    </w:p>
    <w:p w:rsidR="008052E7" w:rsidRDefault="008052E7">
      <w:pPr>
        <w:rPr>
          <w:lang w:val="en-ZA"/>
        </w:rPr>
      </w:pPr>
    </w:p>
    <w:p w:rsidR="008052E7" w:rsidRDefault="008052E7">
      <w:pPr>
        <w:rPr>
          <w:lang w:val="en-ZA"/>
        </w:rPr>
      </w:pPr>
    </w:p>
    <w:p w:rsidR="008052E7" w:rsidRDefault="008052E7">
      <w:pPr>
        <w:rPr>
          <w:lang w:val="en-ZA"/>
        </w:rPr>
      </w:pPr>
    </w:p>
    <w:p w:rsidR="008052E7" w:rsidRDefault="008052E7">
      <w:pPr>
        <w:rPr>
          <w:lang w:val="en-ZA"/>
        </w:rPr>
      </w:pPr>
    </w:p>
    <w:p w:rsidR="008052E7" w:rsidRDefault="008052E7">
      <w:pPr>
        <w:rPr>
          <w:lang w:val="en-ZA"/>
        </w:rPr>
      </w:pPr>
    </w:p>
    <w:p w:rsidR="008052E7" w:rsidRDefault="008052E7">
      <w:pPr>
        <w:rPr>
          <w:lang w:val="en-ZA"/>
        </w:rPr>
      </w:pPr>
    </w:p>
    <w:p w:rsidR="008052E7" w:rsidRDefault="008052E7">
      <w:pPr>
        <w:rPr>
          <w:lang w:val="en-ZA"/>
        </w:rPr>
      </w:pPr>
    </w:p>
    <w:p w:rsidR="00EB6472" w:rsidRDefault="00EB6472">
      <w:pPr>
        <w:rPr>
          <w:lang w:val="en-ZA"/>
        </w:rPr>
      </w:pPr>
      <w:r>
        <w:rPr>
          <w:lang w:val="en-ZA"/>
        </w:rPr>
        <w:t xml:space="preserve">Table 1: </w:t>
      </w:r>
      <w:proofErr w:type="spellStart"/>
      <w:r>
        <w:rPr>
          <w:lang w:val="en-ZA"/>
        </w:rPr>
        <w:t>SARChI</w:t>
      </w:r>
      <w:proofErr w:type="spellEnd"/>
      <w:r>
        <w:rPr>
          <w:lang w:val="en-ZA"/>
        </w:rPr>
        <w:t xml:space="preserve"> investment over years</w:t>
      </w:r>
    </w:p>
    <w:tbl>
      <w:tblPr>
        <w:tblStyle w:val="TableGrid"/>
        <w:tblW w:w="7087" w:type="dxa"/>
        <w:tblInd w:w="1526" w:type="dxa"/>
        <w:tblLook w:val="04A0" w:firstRow="1" w:lastRow="0" w:firstColumn="1" w:lastColumn="0" w:noHBand="0" w:noVBand="1"/>
      </w:tblPr>
      <w:tblGrid>
        <w:gridCol w:w="870"/>
        <w:gridCol w:w="2281"/>
        <w:gridCol w:w="2282"/>
        <w:gridCol w:w="1654"/>
      </w:tblGrid>
      <w:tr w:rsidR="00EB6472" w:rsidTr="008052E7">
        <w:tc>
          <w:tcPr>
            <w:tcW w:w="856" w:type="dxa"/>
          </w:tcPr>
          <w:p w:rsidR="00EB6472" w:rsidRPr="008A3B45" w:rsidRDefault="00EB6472">
            <w:pPr>
              <w:rPr>
                <w:b/>
                <w:lang w:val="en-ZA"/>
              </w:rPr>
            </w:pPr>
            <w:r w:rsidRPr="008A3B45">
              <w:rPr>
                <w:b/>
                <w:lang w:val="en-ZA"/>
              </w:rPr>
              <w:t xml:space="preserve">Service Year </w:t>
            </w:r>
          </w:p>
        </w:tc>
        <w:tc>
          <w:tcPr>
            <w:tcW w:w="2287" w:type="dxa"/>
          </w:tcPr>
          <w:p w:rsidR="00EB6472" w:rsidRPr="008A3B45" w:rsidRDefault="00EB6472">
            <w:pPr>
              <w:rPr>
                <w:b/>
                <w:lang w:val="en-ZA"/>
              </w:rPr>
            </w:pPr>
            <w:r w:rsidRPr="008A3B45">
              <w:rPr>
                <w:b/>
                <w:lang w:val="en-ZA"/>
              </w:rPr>
              <w:t xml:space="preserve">Award Year </w:t>
            </w:r>
          </w:p>
        </w:tc>
        <w:tc>
          <w:tcPr>
            <w:tcW w:w="2287" w:type="dxa"/>
          </w:tcPr>
          <w:p w:rsidR="00EB6472" w:rsidRPr="008A3B45" w:rsidRDefault="00EB6472">
            <w:pPr>
              <w:rPr>
                <w:b/>
                <w:lang w:val="en-ZA"/>
              </w:rPr>
            </w:pPr>
            <w:r w:rsidRPr="008A3B45">
              <w:rPr>
                <w:b/>
                <w:lang w:val="en-ZA"/>
              </w:rPr>
              <w:t>Total  No. of Chairs</w:t>
            </w:r>
          </w:p>
        </w:tc>
        <w:tc>
          <w:tcPr>
            <w:tcW w:w="1657" w:type="dxa"/>
          </w:tcPr>
          <w:p w:rsidR="00EB6472" w:rsidRPr="008A3B45" w:rsidRDefault="00EB6472">
            <w:pPr>
              <w:rPr>
                <w:b/>
                <w:lang w:val="en-ZA"/>
              </w:rPr>
            </w:pPr>
            <w:r w:rsidRPr="008A3B45">
              <w:rPr>
                <w:b/>
                <w:lang w:val="en-ZA"/>
              </w:rPr>
              <w:t>Total (R '000)</w:t>
            </w:r>
          </w:p>
        </w:tc>
      </w:tr>
      <w:tr w:rsidR="00EB6472" w:rsidTr="008052E7">
        <w:tc>
          <w:tcPr>
            <w:tcW w:w="856" w:type="dxa"/>
          </w:tcPr>
          <w:p w:rsidR="00EB6472" w:rsidRDefault="00EB6472" w:rsidP="008052E7">
            <w:pPr>
              <w:jc w:val="right"/>
              <w:rPr>
                <w:lang w:val="en-ZA"/>
              </w:rPr>
            </w:pPr>
            <w:r>
              <w:rPr>
                <w:lang w:val="en-ZA"/>
              </w:rPr>
              <w:t>0</w:t>
            </w:r>
          </w:p>
        </w:tc>
        <w:tc>
          <w:tcPr>
            <w:tcW w:w="2287" w:type="dxa"/>
          </w:tcPr>
          <w:p w:rsidR="00EB6472" w:rsidRDefault="00EB6472" w:rsidP="008052E7">
            <w:pPr>
              <w:jc w:val="right"/>
              <w:rPr>
                <w:lang w:val="en-ZA"/>
              </w:rPr>
            </w:pPr>
            <w:r>
              <w:rPr>
                <w:lang w:val="en-ZA"/>
              </w:rPr>
              <w:t>2017</w:t>
            </w:r>
          </w:p>
        </w:tc>
        <w:tc>
          <w:tcPr>
            <w:tcW w:w="2287" w:type="dxa"/>
          </w:tcPr>
          <w:p w:rsidR="00EB6472" w:rsidRDefault="00EB6472" w:rsidP="008052E7">
            <w:pPr>
              <w:jc w:val="right"/>
              <w:rPr>
                <w:lang w:val="en-ZA"/>
              </w:rPr>
            </w:pPr>
            <w:r>
              <w:rPr>
                <w:lang w:val="en-ZA"/>
              </w:rPr>
              <w:t>195</w:t>
            </w:r>
          </w:p>
        </w:tc>
        <w:tc>
          <w:tcPr>
            <w:tcW w:w="1657" w:type="dxa"/>
          </w:tcPr>
          <w:p w:rsidR="00EB6472" w:rsidRDefault="00EB6472" w:rsidP="008052E7">
            <w:pPr>
              <w:jc w:val="right"/>
              <w:rPr>
                <w:lang w:val="en-ZA"/>
              </w:rPr>
            </w:pPr>
            <w:r>
              <w:rPr>
                <w:lang w:val="en-ZA"/>
              </w:rPr>
              <w:t>482 200</w:t>
            </w:r>
          </w:p>
        </w:tc>
      </w:tr>
      <w:tr w:rsidR="00EB6472" w:rsidTr="008052E7">
        <w:tc>
          <w:tcPr>
            <w:tcW w:w="856" w:type="dxa"/>
          </w:tcPr>
          <w:p w:rsidR="00EB6472" w:rsidRDefault="00EB6472" w:rsidP="008052E7">
            <w:pPr>
              <w:jc w:val="right"/>
              <w:rPr>
                <w:lang w:val="en-ZA"/>
              </w:rPr>
            </w:pPr>
            <w:r>
              <w:rPr>
                <w:lang w:val="en-ZA"/>
              </w:rPr>
              <w:t>1</w:t>
            </w:r>
          </w:p>
        </w:tc>
        <w:tc>
          <w:tcPr>
            <w:tcW w:w="2287" w:type="dxa"/>
          </w:tcPr>
          <w:p w:rsidR="00EB6472" w:rsidRDefault="00EB6472" w:rsidP="008052E7">
            <w:pPr>
              <w:jc w:val="right"/>
              <w:rPr>
                <w:lang w:val="en-ZA"/>
              </w:rPr>
            </w:pPr>
            <w:r>
              <w:rPr>
                <w:lang w:val="en-ZA"/>
              </w:rPr>
              <w:t>2016</w:t>
            </w:r>
          </w:p>
        </w:tc>
        <w:tc>
          <w:tcPr>
            <w:tcW w:w="2287" w:type="dxa"/>
          </w:tcPr>
          <w:p w:rsidR="00EB6472" w:rsidRDefault="00EB6472" w:rsidP="008052E7">
            <w:pPr>
              <w:jc w:val="right"/>
              <w:rPr>
                <w:lang w:val="en-ZA"/>
              </w:rPr>
            </w:pPr>
            <w:r>
              <w:rPr>
                <w:lang w:val="en-ZA"/>
              </w:rPr>
              <w:t>190</w:t>
            </w:r>
          </w:p>
        </w:tc>
        <w:tc>
          <w:tcPr>
            <w:tcW w:w="1657" w:type="dxa"/>
          </w:tcPr>
          <w:p w:rsidR="00EB6472" w:rsidRDefault="00EB6472" w:rsidP="008052E7">
            <w:pPr>
              <w:jc w:val="right"/>
              <w:rPr>
                <w:lang w:val="en-ZA"/>
              </w:rPr>
            </w:pPr>
            <w:r>
              <w:rPr>
                <w:lang w:val="en-ZA"/>
              </w:rPr>
              <w:t>471 500</w:t>
            </w:r>
          </w:p>
        </w:tc>
      </w:tr>
      <w:tr w:rsidR="00EB6472" w:rsidTr="008052E7">
        <w:tc>
          <w:tcPr>
            <w:tcW w:w="856" w:type="dxa"/>
          </w:tcPr>
          <w:p w:rsidR="00EB6472" w:rsidRDefault="00EB6472" w:rsidP="008052E7">
            <w:pPr>
              <w:jc w:val="right"/>
              <w:rPr>
                <w:lang w:val="en-ZA"/>
              </w:rPr>
            </w:pPr>
            <w:r>
              <w:rPr>
                <w:lang w:val="en-ZA"/>
              </w:rPr>
              <w:t>2</w:t>
            </w:r>
          </w:p>
        </w:tc>
        <w:tc>
          <w:tcPr>
            <w:tcW w:w="2287" w:type="dxa"/>
          </w:tcPr>
          <w:p w:rsidR="00EB6472" w:rsidRDefault="00EB6472" w:rsidP="008052E7">
            <w:pPr>
              <w:jc w:val="right"/>
              <w:rPr>
                <w:lang w:val="en-ZA"/>
              </w:rPr>
            </w:pPr>
            <w:r>
              <w:rPr>
                <w:lang w:val="en-ZA"/>
              </w:rPr>
              <w:t>2015</w:t>
            </w:r>
          </w:p>
        </w:tc>
        <w:tc>
          <w:tcPr>
            <w:tcW w:w="2287" w:type="dxa"/>
          </w:tcPr>
          <w:p w:rsidR="00EB6472" w:rsidRDefault="00EB6472" w:rsidP="008052E7">
            <w:pPr>
              <w:jc w:val="right"/>
              <w:rPr>
                <w:lang w:val="en-ZA"/>
              </w:rPr>
            </w:pPr>
            <w:r>
              <w:rPr>
                <w:lang w:val="en-ZA"/>
              </w:rPr>
              <w:t>149</w:t>
            </w:r>
          </w:p>
        </w:tc>
        <w:tc>
          <w:tcPr>
            <w:tcW w:w="1657" w:type="dxa"/>
          </w:tcPr>
          <w:p w:rsidR="00EB6472" w:rsidRDefault="00EB6472" w:rsidP="008052E7">
            <w:pPr>
              <w:jc w:val="right"/>
              <w:rPr>
                <w:lang w:val="en-ZA"/>
              </w:rPr>
            </w:pPr>
            <w:r>
              <w:rPr>
                <w:lang w:val="en-ZA"/>
              </w:rPr>
              <w:t>376 500</w:t>
            </w:r>
          </w:p>
        </w:tc>
      </w:tr>
      <w:tr w:rsidR="00EB6472" w:rsidTr="008052E7">
        <w:tc>
          <w:tcPr>
            <w:tcW w:w="856" w:type="dxa"/>
          </w:tcPr>
          <w:p w:rsidR="00EB6472" w:rsidRDefault="00EB6472" w:rsidP="008052E7">
            <w:pPr>
              <w:jc w:val="right"/>
              <w:rPr>
                <w:lang w:val="en-ZA"/>
              </w:rPr>
            </w:pPr>
            <w:r>
              <w:rPr>
                <w:lang w:val="en-ZA"/>
              </w:rPr>
              <w:t>3</w:t>
            </w:r>
          </w:p>
        </w:tc>
        <w:tc>
          <w:tcPr>
            <w:tcW w:w="2287" w:type="dxa"/>
          </w:tcPr>
          <w:p w:rsidR="00EB6472" w:rsidRDefault="00EB6472" w:rsidP="008052E7">
            <w:pPr>
              <w:jc w:val="right"/>
              <w:rPr>
                <w:lang w:val="en-ZA"/>
              </w:rPr>
            </w:pPr>
            <w:r>
              <w:rPr>
                <w:lang w:val="en-ZA"/>
              </w:rPr>
              <w:t>2014</w:t>
            </w:r>
          </w:p>
        </w:tc>
        <w:tc>
          <w:tcPr>
            <w:tcW w:w="2287" w:type="dxa"/>
          </w:tcPr>
          <w:p w:rsidR="00EB6472" w:rsidRDefault="00EB6472" w:rsidP="008052E7">
            <w:pPr>
              <w:jc w:val="right"/>
              <w:rPr>
                <w:lang w:val="en-ZA"/>
              </w:rPr>
            </w:pPr>
            <w:r>
              <w:rPr>
                <w:lang w:val="en-ZA"/>
              </w:rPr>
              <w:t>142</w:t>
            </w:r>
          </w:p>
        </w:tc>
        <w:tc>
          <w:tcPr>
            <w:tcW w:w="1657" w:type="dxa"/>
          </w:tcPr>
          <w:p w:rsidR="00EB6472" w:rsidRDefault="00EB6472" w:rsidP="008052E7">
            <w:pPr>
              <w:jc w:val="right"/>
              <w:rPr>
                <w:lang w:val="en-ZA"/>
              </w:rPr>
            </w:pPr>
            <w:r>
              <w:rPr>
                <w:lang w:val="en-ZA"/>
              </w:rPr>
              <w:t>350 400</w:t>
            </w:r>
          </w:p>
        </w:tc>
      </w:tr>
      <w:tr w:rsidR="00EB6472" w:rsidTr="008052E7">
        <w:tc>
          <w:tcPr>
            <w:tcW w:w="856" w:type="dxa"/>
          </w:tcPr>
          <w:p w:rsidR="00EB6472" w:rsidRDefault="00EB6472" w:rsidP="008052E7">
            <w:pPr>
              <w:jc w:val="right"/>
              <w:rPr>
                <w:lang w:val="en-ZA"/>
              </w:rPr>
            </w:pPr>
            <w:r>
              <w:rPr>
                <w:lang w:val="en-ZA"/>
              </w:rPr>
              <w:t>4</w:t>
            </w:r>
          </w:p>
        </w:tc>
        <w:tc>
          <w:tcPr>
            <w:tcW w:w="2287" w:type="dxa"/>
          </w:tcPr>
          <w:p w:rsidR="00EB6472" w:rsidRDefault="00EB6472" w:rsidP="008052E7">
            <w:pPr>
              <w:jc w:val="right"/>
              <w:rPr>
                <w:lang w:val="en-ZA"/>
              </w:rPr>
            </w:pPr>
            <w:r>
              <w:rPr>
                <w:lang w:val="en-ZA"/>
              </w:rPr>
              <w:t>2013</w:t>
            </w:r>
          </w:p>
        </w:tc>
        <w:tc>
          <w:tcPr>
            <w:tcW w:w="2287" w:type="dxa"/>
          </w:tcPr>
          <w:p w:rsidR="00EB6472" w:rsidRDefault="00EB6472" w:rsidP="008052E7">
            <w:pPr>
              <w:jc w:val="right"/>
              <w:rPr>
                <w:lang w:val="en-ZA"/>
              </w:rPr>
            </w:pPr>
            <w:r>
              <w:rPr>
                <w:lang w:val="en-ZA"/>
              </w:rPr>
              <w:t>124</w:t>
            </w:r>
          </w:p>
        </w:tc>
        <w:tc>
          <w:tcPr>
            <w:tcW w:w="1657" w:type="dxa"/>
          </w:tcPr>
          <w:p w:rsidR="00EB6472" w:rsidRDefault="00EB6472" w:rsidP="008052E7">
            <w:pPr>
              <w:jc w:val="right"/>
              <w:rPr>
                <w:lang w:val="en-ZA"/>
              </w:rPr>
            </w:pPr>
            <w:r>
              <w:rPr>
                <w:lang w:val="en-ZA"/>
              </w:rPr>
              <w:t>309 800</w:t>
            </w:r>
          </w:p>
        </w:tc>
      </w:tr>
      <w:tr w:rsidR="00EB6472" w:rsidTr="008052E7">
        <w:tc>
          <w:tcPr>
            <w:tcW w:w="856" w:type="dxa"/>
          </w:tcPr>
          <w:p w:rsidR="00EB6472" w:rsidRDefault="00EB6472" w:rsidP="008052E7">
            <w:pPr>
              <w:jc w:val="right"/>
              <w:rPr>
                <w:lang w:val="en-ZA"/>
              </w:rPr>
            </w:pPr>
            <w:r>
              <w:rPr>
                <w:lang w:val="en-ZA"/>
              </w:rPr>
              <w:t>5</w:t>
            </w:r>
          </w:p>
        </w:tc>
        <w:tc>
          <w:tcPr>
            <w:tcW w:w="2287" w:type="dxa"/>
          </w:tcPr>
          <w:p w:rsidR="00EB6472" w:rsidRDefault="00EB6472" w:rsidP="008052E7">
            <w:pPr>
              <w:jc w:val="right"/>
              <w:rPr>
                <w:lang w:val="en-ZA"/>
              </w:rPr>
            </w:pPr>
            <w:r>
              <w:rPr>
                <w:lang w:val="en-ZA"/>
              </w:rPr>
              <w:t>2012</w:t>
            </w:r>
          </w:p>
        </w:tc>
        <w:tc>
          <w:tcPr>
            <w:tcW w:w="2287" w:type="dxa"/>
          </w:tcPr>
          <w:p w:rsidR="00EB6472" w:rsidRDefault="00EB6472" w:rsidP="008052E7">
            <w:pPr>
              <w:jc w:val="right"/>
              <w:rPr>
                <w:lang w:val="en-ZA"/>
              </w:rPr>
            </w:pPr>
            <w:r>
              <w:rPr>
                <w:lang w:val="en-ZA"/>
              </w:rPr>
              <w:t>91</w:t>
            </w:r>
          </w:p>
        </w:tc>
        <w:tc>
          <w:tcPr>
            <w:tcW w:w="1657" w:type="dxa"/>
          </w:tcPr>
          <w:p w:rsidR="00EB6472" w:rsidRDefault="0057469D" w:rsidP="008052E7">
            <w:pPr>
              <w:jc w:val="right"/>
              <w:rPr>
                <w:lang w:val="en-ZA"/>
              </w:rPr>
            </w:pPr>
            <w:r>
              <w:rPr>
                <w:lang w:val="en-ZA"/>
              </w:rPr>
              <w:t>229 700</w:t>
            </w:r>
          </w:p>
        </w:tc>
      </w:tr>
      <w:tr w:rsidR="00EB6472" w:rsidTr="008052E7">
        <w:tc>
          <w:tcPr>
            <w:tcW w:w="856" w:type="dxa"/>
          </w:tcPr>
          <w:p w:rsidR="00EB6472" w:rsidRDefault="00EB6472" w:rsidP="008052E7">
            <w:pPr>
              <w:jc w:val="right"/>
              <w:rPr>
                <w:lang w:val="en-ZA"/>
              </w:rPr>
            </w:pPr>
            <w:r>
              <w:rPr>
                <w:lang w:val="en-ZA"/>
              </w:rPr>
              <w:t>6</w:t>
            </w:r>
          </w:p>
        </w:tc>
        <w:tc>
          <w:tcPr>
            <w:tcW w:w="2287" w:type="dxa"/>
          </w:tcPr>
          <w:p w:rsidR="00EB6472" w:rsidRDefault="00EB6472" w:rsidP="008052E7">
            <w:pPr>
              <w:jc w:val="right"/>
              <w:rPr>
                <w:lang w:val="en-ZA"/>
              </w:rPr>
            </w:pPr>
            <w:r>
              <w:rPr>
                <w:lang w:val="en-ZA"/>
              </w:rPr>
              <w:t>2011</w:t>
            </w:r>
          </w:p>
        </w:tc>
        <w:tc>
          <w:tcPr>
            <w:tcW w:w="2287" w:type="dxa"/>
          </w:tcPr>
          <w:p w:rsidR="00EB6472" w:rsidRDefault="00EB6472" w:rsidP="008052E7">
            <w:pPr>
              <w:jc w:val="right"/>
              <w:rPr>
                <w:lang w:val="en-ZA"/>
              </w:rPr>
            </w:pPr>
            <w:r>
              <w:rPr>
                <w:lang w:val="en-ZA"/>
              </w:rPr>
              <w:t>90</w:t>
            </w:r>
          </w:p>
        </w:tc>
        <w:tc>
          <w:tcPr>
            <w:tcW w:w="1657" w:type="dxa"/>
          </w:tcPr>
          <w:p w:rsidR="00EB6472" w:rsidRDefault="0057469D" w:rsidP="008052E7">
            <w:pPr>
              <w:jc w:val="right"/>
              <w:rPr>
                <w:lang w:val="en-ZA"/>
              </w:rPr>
            </w:pPr>
            <w:r>
              <w:rPr>
                <w:lang w:val="en-ZA"/>
              </w:rPr>
              <w:t>227 000</w:t>
            </w:r>
          </w:p>
        </w:tc>
      </w:tr>
      <w:tr w:rsidR="00EB6472" w:rsidTr="008052E7">
        <w:tc>
          <w:tcPr>
            <w:tcW w:w="856" w:type="dxa"/>
          </w:tcPr>
          <w:p w:rsidR="00EB6472" w:rsidRDefault="00EB6472" w:rsidP="008052E7">
            <w:pPr>
              <w:jc w:val="right"/>
              <w:rPr>
                <w:lang w:val="en-ZA"/>
              </w:rPr>
            </w:pPr>
            <w:r>
              <w:rPr>
                <w:lang w:val="en-ZA"/>
              </w:rPr>
              <w:t>7</w:t>
            </w:r>
          </w:p>
        </w:tc>
        <w:tc>
          <w:tcPr>
            <w:tcW w:w="2287" w:type="dxa"/>
          </w:tcPr>
          <w:p w:rsidR="00EB6472" w:rsidRDefault="00EB6472" w:rsidP="008052E7">
            <w:pPr>
              <w:jc w:val="right"/>
              <w:rPr>
                <w:lang w:val="en-ZA"/>
              </w:rPr>
            </w:pPr>
            <w:r>
              <w:rPr>
                <w:lang w:val="en-ZA"/>
              </w:rPr>
              <w:t>2010</w:t>
            </w:r>
          </w:p>
        </w:tc>
        <w:tc>
          <w:tcPr>
            <w:tcW w:w="2287" w:type="dxa"/>
          </w:tcPr>
          <w:p w:rsidR="00EB6472" w:rsidRDefault="00EB6472" w:rsidP="008052E7">
            <w:pPr>
              <w:jc w:val="right"/>
              <w:rPr>
                <w:lang w:val="en-ZA"/>
              </w:rPr>
            </w:pPr>
            <w:r>
              <w:rPr>
                <w:lang w:val="en-ZA"/>
              </w:rPr>
              <w:t>79</w:t>
            </w:r>
          </w:p>
        </w:tc>
        <w:tc>
          <w:tcPr>
            <w:tcW w:w="1657" w:type="dxa"/>
          </w:tcPr>
          <w:p w:rsidR="00EB6472" w:rsidRDefault="0057469D" w:rsidP="008052E7">
            <w:pPr>
              <w:jc w:val="right"/>
              <w:rPr>
                <w:lang w:val="en-ZA"/>
              </w:rPr>
            </w:pPr>
            <w:r>
              <w:rPr>
                <w:lang w:val="en-ZA"/>
              </w:rPr>
              <w:t>183 500</w:t>
            </w:r>
          </w:p>
        </w:tc>
      </w:tr>
      <w:tr w:rsidR="00EB6472" w:rsidTr="008052E7">
        <w:tc>
          <w:tcPr>
            <w:tcW w:w="856" w:type="dxa"/>
          </w:tcPr>
          <w:p w:rsidR="00EB6472" w:rsidRDefault="00EB6472" w:rsidP="008052E7">
            <w:pPr>
              <w:jc w:val="right"/>
              <w:rPr>
                <w:lang w:val="en-ZA"/>
              </w:rPr>
            </w:pPr>
            <w:r>
              <w:rPr>
                <w:lang w:val="en-ZA"/>
              </w:rPr>
              <w:t>8</w:t>
            </w:r>
          </w:p>
        </w:tc>
        <w:tc>
          <w:tcPr>
            <w:tcW w:w="2287" w:type="dxa"/>
          </w:tcPr>
          <w:p w:rsidR="00EB6472" w:rsidRDefault="00EB6472" w:rsidP="008052E7">
            <w:pPr>
              <w:jc w:val="right"/>
              <w:rPr>
                <w:lang w:val="en-ZA"/>
              </w:rPr>
            </w:pPr>
            <w:r>
              <w:rPr>
                <w:lang w:val="en-ZA"/>
              </w:rPr>
              <w:t>2009</w:t>
            </w:r>
          </w:p>
        </w:tc>
        <w:tc>
          <w:tcPr>
            <w:tcW w:w="2287" w:type="dxa"/>
          </w:tcPr>
          <w:p w:rsidR="00EB6472" w:rsidRDefault="00EB6472" w:rsidP="008052E7">
            <w:pPr>
              <w:jc w:val="right"/>
              <w:rPr>
                <w:lang w:val="en-ZA"/>
              </w:rPr>
            </w:pPr>
            <w:r>
              <w:rPr>
                <w:lang w:val="en-ZA"/>
              </w:rPr>
              <w:t>72</w:t>
            </w:r>
          </w:p>
        </w:tc>
        <w:tc>
          <w:tcPr>
            <w:tcW w:w="1657" w:type="dxa"/>
          </w:tcPr>
          <w:p w:rsidR="00EB6472" w:rsidRDefault="0057469D" w:rsidP="008052E7">
            <w:pPr>
              <w:jc w:val="right"/>
              <w:rPr>
                <w:lang w:val="en-ZA"/>
              </w:rPr>
            </w:pPr>
            <w:r>
              <w:rPr>
                <w:lang w:val="en-ZA"/>
              </w:rPr>
              <w:t>166 000</w:t>
            </w:r>
          </w:p>
        </w:tc>
      </w:tr>
      <w:tr w:rsidR="00EB6472" w:rsidTr="008052E7">
        <w:tc>
          <w:tcPr>
            <w:tcW w:w="856" w:type="dxa"/>
          </w:tcPr>
          <w:p w:rsidR="00EB6472" w:rsidRDefault="00EB6472" w:rsidP="008052E7">
            <w:pPr>
              <w:jc w:val="right"/>
              <w:rPr>
                <w:lang w:val="en-ZA"/>
              </w:rPr>
            </w:pPr>
            <w:r>
              <w:rPr>
                <w:lang w:val="en-ZA"/>
              </w:rPr>
              <w:t>9</w:t>
            </w:r>
          </w:p>
        </w:tc>
        <w:tc>
          <w:tcPr>
            <w:tcW w:w="2287" w:type="dxa"/>
          </w:tcPr>
          <w:p w:rsidR="00EB6472" w:rsidRDefault="00EB6472" w:rsidP="008052E7">
            <w:pPr>
              <w:jc w:val="right"/>
              <w:rPr>
                <w:lang w:val="en-ZA"/>
              </w:rPr>
            </w:pPr>
            <w:r>
              <w:rPr>
                <w:lang w:val="en-ZA"/>
              </w:rPr>
              <w:t>2008</w:t>
            </w:r>
          </w:p>
        </w:tc>
        <w:tc>
          <w:tcPr>
            <w:tcW w:w="2287" w:type="dxa"/>
          </w:tcPr>
          <w:p w:rsidR="00EB6472" w:rsidRDefault="00EB6472" w:rsidP="008052E7">
            <w:pPr>
              <w:jc w:val="right"/>
              <w:rPr>
                <w:lang w:val="en-ZA"/>
              </w:rPr>
            </w:pPr>
            <w:r>
              <w:rPr>
                <w:lang w:val="en-ZA"/>
              </w:rPr>
              <w:t>70</w:t>
            </w:r>
          </w:p>
        </w:tc>
        <w:tc>
          <w:tcPr>
            <w:tcW w:w="1657" w:type="dxa"/>
          </w:tcPr>
          <w:p w:rsidR="00EB6472" w:rsidRDefault="0057469D" w:rsidP="008052E7">
            <w:pPr>
              <w:jc w:val="right"/>
              <w:rPr>
                <w:lang w:val="en-ZA"/>
              </w:rPr>
            </w:pPr>
            <w:r>
              <w:rPr>
                <w:lang w:val="en-ZA"/>
              </w:rPr>
              <w:t>161 000</w:t>
            </w:r>
          </w:p>
        </w:tc>
      </w:tr>
      <w:tr w:rsidR="00EB6472" w:rsidTr="008052E7">
        <w:tc>
          <w:tcPr>
            <w:tcW w:w="856" w:type="dxa"/>
          </w:tcPr>
          <w:p w:rsidR="00EB6472" w:rsidRDefault="00EB6472" w:rsidP="008052E7">
            <w:pPr>
              <w:jc w:val="right"/>
              <w:rPr>
                <w:lang w:val="en-ZA"/>
              </w:rPr>
            </w:pPr>
            <w:r>
              <w:rPr>
                <w:lang w:val="en-ZA"/>
              </w:rPr>
              <w:t>10</w:t>
            </w:r>
          </w:p>
        </w:tc>
        <w:tc>
          <w:tcPr>
            <w:tcW w:w="2287" w:type="dxa"/>
          </w:tcPr>
          <w:p w:rsidR="00EB6472" w:rsidRDefault="00EB6472" w:rsidP="008052E7">
            <w:pPr>
              <w:jc w:val="right"/>
              <w:rPr>
                <w:lang w:val="en-ZA"/>
              </w:rPr>
            </w:pPr>
            <w:r>
              <w:rPr>
                <w:lang w:val="en-ZA"/>
              </w:rPr>
              <w:t>2007</w:t>
            </w:r>
          </w:p>
        </w:tc>
        <w:tc>
          <w:tcPr>
            <w:tcW w:w="2287" w:type="dxa"/>
          </w:tcPr>
          <w:p w:rsidR="00EB6472" w:rsidRDefault="00EB6472" w:rsidP="008052E7">
            <w:pPr>
              <w:jc w:val="right"/>
              <w:rPr>
                <w:lang w:val="en-ZA"/>
              </w:rPr>
            </w:pPr>
            <w:r>
              <w:rPr>
                <w:lang w:val="en-ZA"/>
              </w:rPr>
              <w:t>34</w:t>
            </w:r>
          </w:p>
        </w:tc>
        <w:tc>
          <w:tcPr>
            <w:tcW w:w="1657" w:type="dxa"/>
          </w:tcPr>
          <w:p w:rsidR="00EB6472" w:rsidRDefault="0057469D" w:rsidP="008052E7">
            <w:pPr>
              <w:jc w:val="right"/>
              <w:rPr>
                <w:lang w:val="en-ZA"/>
              </w:rPr>
            </w:pPr>
            <w:r>
              <w:rPr>
                <w:lang w:val="en-ZA"/>
              </w:rPr>
              <w:t>80 000</w:t>
            </w:r>
          </w:p>
        </w:tc>
      </w:tr>
      <w:tr w:rsidR="00EB6472" w:rsidTr="008052E7">
        <w:tc>
          <w:tcPr>
            <w:tcW w:w="856" w:type="dxa"/>
          </w:tcPr>
          <w:p w:rsidR="00EB6472" w:rsidRDefault="00EB6472" w:rsidP="008052E7">
            <w:pPr>
              <w:jc w:val="right"/>
              <w:rPr>
                <w:lang w:val="en-ZA"/>
              </w:rPr>
            </w:pPr>
            <w:r>
              <w:rPr>
                <w:lang w:val="en-ZA"/>
              </w:rPr>
              <w:t>11</w:t>
            </w:r>
          </w:p>
        </w:tc>
        <w:tc>
          <w:tcPr>
            <w:tcW w:w="2287" w:type="dxa"/>
          </w:tcPr>
          <w:p w:rsidR="00EB6472" w:rsidRDefault="00EB6472" w:rsidP="008052E7">
            <w:pPr>
              <w:jc w:val="right"/>
              <w:rPr>
                <w:lang w:val="en-ZA"/>
              </w:rPr>
            </w:pPr>
            <w:r>
              <w:rPr>
                <w:lang w:val="en-ZA"/>
              </w:rPr>
              <w:t>2006</w:t>
            </w:r>
          </w:p>
        </w:tc>
        <w:tc>
          <w:tcPr>
            <w:tcW w:w="2287" w:type="dxa"/>
          </w:tcPr>
          <w:p w:rsidR="00EB6472" w:rsidRDefault="00EB6472" w:rsidP="008052E7">
            <w:pPr>
              <w:jc w:val="right"/>
              <w:rPr>
                <w:lang w:val="en-ZA"/>
              </w:rPr>
            </w:pPr>
            <w:r>
              <w:rPr>
                <w:lang w:val="en-ZA"/>
              </w:rPr>
              <w:t>3</w:t>
            </w:r>
          </w:p>
        </w:tc>
        <w:tc>
          <w:tcPr>
            <w:tcW w:w="1657" w:type="dxa"/>
          </w:tcPr>
          <w:p w:rsidR="00EB6472" w:rsidRDefault="0057469D" w:rsidP="008052E7">
            <w:pPr>
              <w:jc w:val="right"/>
              <w:rPr>
                <w:lang w:val="en-ZA"/>
              </w:rPr>
            </w:pPr>
            <w:r>
              <w:rPr>
                <w:lang w:val="en-ZA"/>
              </w:rPr>
              <w:t>7500</w:t>
            </w:r>
          </w:p>
        </w:tc>
      </w:tr>
    </w:tbl>
    <w:p w:rsidR="008052E7" w:rsidRDefault="008052E7" w:rsidP="008052E7">
      <w:pPr>
        <w:jc w:val="both"/>
        <w:rPr>
          <w:lang w:val="en-ZA"/>
        </w:rPr>
      </w:pPr>
    </w:p>
    <w:p w:rsidR="008052E7" w:rsidRDefault="008052E7" w:rsidP="008052E7">
      <w:pPr>
        <w:jc w:val="both"/>
        <w:rPr>
          <w:lang w:val="en-ZA"/>
        </w:rPr>
      </w:pPr>
    </w:p>
    <w:p w:rsidR="0057469D" w:rsidRDefault="0057469D" w:rsidP="008052E7">
      <w:pPr>
        <w:jc w:val="both"/>
        <w:rPr>
          <w:lang w:val="en-ZA"/>
        </w:rPr>
      </w:pPr>
      <w:r>
        <w:rPr>
          <w:lang w:val="en-ZA"/>
        </w:rPr>
        <w:t>2.</w:t>
      </w:r>
      <w:r>
        <w:rPr>
          <w:lang w:val="en-ZA"/>
        </w:rPr>
        <w:tab/>
        <w:t xml:space="preserve">(a) All research chairs that underwent the first </w:t>
      </w:r>
      <w:r w:rsidR="00E018FB">
        <w:rPr>
          <w:lang w:val="en-ZA"/>
        </w:rPr>
        <w:t>five-year</w:t>
      </w:r>
      <w:r>
        <w:rPr>
          <w:lang w:val="en-ZA"/>
        </w:rPr>
        <w:t xml:space="preserve"> review cycle were renewed. In </w:t>
      </w:r>
      <w:r w:rsidR="008052E7">
        <w:rPr>
          <w:lang w:val="en-ZA"/>
        </w:rPr>
        <w:tab/>
        <w:t xml:space="preserve">    </w:t>
      </w:r>
      <w:r w:rsidR="008052E7">
        <w:rPr>
          <w:lang w:val="en-ZA"/>
        </w:rPr>
        <w:tab/>
        <w:t xml:space="preserve">     </w:t>
      </w:r>
      <w:r>
        <w:rPr>
          <w:lang w:val="en-ZA"/>
        </w:rPr>
        <w:t xml:space="preserve">2015/16 financial year, a research chair in indigenous Knowledge Systems that was held </w:t>
      </w:r>
      <w:r w:rsidR="008052E7">
        <w:rPr>
          <w:lang w:val="en-ZA"/>
        </w:rPr>
        <w:tab/>
        <w:t xml:space="preserve">     </w:t>
      </w:r>
      <w:r>
        <w:rPr>
          <w:lang w:val="en-ZA"/>
        </w:rPr>
        <w:t xml:space="preserve">by Prof. NI </w:t>
      </w:r>
      <w:proofErr w:type="spellStart"/>
      <w:r>
        <w:rPr>
          <w:lang w:val="en-ZA"/>
        </w:rPr>
        <w:t>Goduka</w:t>
      </w:r>
      <w:proofErr w:type="spellEnd"/>
      <w:r>
        <w:rPr>
          <w:lang w:val="en-ZA"/>
        </w:rPr>
        <w:t xml:space="preserve"> at the Walter-</w:t>
      </w:r>
      <w:proofErr w:type="spellStart"/>
      <w:r>
        <w:rPr>
          <w:lang w:val="en-ZA"/>
        </w:rPr>
        <w:t>Sisulu</w:t>
      </w:r>
      <w:proofErr w:type="spellEnd"/>
      <w:r>
        <w:rPr>
          <w:lang w:val="en-ZA"/>
        </w:rPr>
        <w:t xml:space="preserve"> University (WSU) was rescinded due to internal </w:t>
      </w:r>
      <w:r w:rsidR="008052E7">
        <w:rPr>
          <w:lang w:val="en-ZA"/>
        </w:rPr>
        <w:tab/>
        <w:t xml:space="preserve">     </w:t>
      </w:r>
      <w:r>
        <w:rPr>
          <w:lang w:val="en-ZA"/>
        </w:rPr>
        <w:t>institutional issue which led to lack of performance by chair.</w:t>
      </w:r>
    </w:p>
    <w:p w:rsidR="00EB6472" w:rsidRPr="003B6614" w:rsidRDefault="008052E7" w:rsidP="008052E7">
      <w:pPr>
        <w:jc w:val="both"/>
        <w:rPr>
          <w:lang w:val="en-ZA"/>
        </w:rPr>
      </w:pPr>
      <w:r>
        <w:rPr>
          <w:lang w:val="en-ZA"/>
        </w:rPr>
        <w:tab/>
      </w:r>
      <w:r w:rsidR="0057469D">
        <w:rPr>
          <w:lang w:val="en-ZA"/>
        </w:rPr>
        <w:t xml:space="preserve">(b) During the last quarter of the 2016/17 financial year, a second five-year review process </w:t>
      </w:r>
      <w:r>
        <w:rPr>
          <w:lang w:val="en-ZA"/>
        </w:rPr>
        <w:tab/>
        <w:t xml:space="preserve">      </w:t>
      </w:r>
      <w:r w:rsidR="0057469D">
        <w:rPr>
          <w:lang w:val="en-ZA"/>
        </w:rPr>
        <w:t xml:space="preserve">was initiated for a total of 70 research chairs that were established between 2005 and </w:t>
      </w:r>
      <w:r>
        <w:rPr>
          <w:lang w:val="en-ZA"/>
        </w:rPr>
        <w:t xml:space="preserve">            </w:t>
      </w:r>
      <w:r>
        <w:rPr>
          <w:lang w:val="en-ZA"/>
        </w:rPr>
        <w:tab/>
        <w:t xml:space="preserve">      </w:t>
      </w:r>
      <w:r w:rsidR="0057469D">
        <w:rPr>
          <w:lang w:val="en-ZA"/>
        </w:rPr>
        <w:t xml:space="preserve">2008. This process is still underway. A comprehensive report with reasons </w:t>
      </w:r>
      <w:r>
        <w:rPr>
          <w:lang w:val="en-ZA"/>
        </w:rPr>
        <w:t xml:space="preserve">for not </w:t>
      </w:r>
      <w:r>
        <w:rPr>
          <w:lang w:val="en-ZA"/>
        </w:rPr>
        <w:tab/>
        <w:t xml:space="preserve">    </w:t>
      </w:r>
      <w:r>
        <w:rPr>
          <w:lang w:val="en-ZA"/>
        </w:rPr>
        <w:tab/>
        <w:t xml:space="preserve">      renewing some research chairs will be made available before the end of the 2017/18 </w:t>
      </w:r>
      <w:r>
        <w:rPr>
          <w:lang w:val="en-ZA"/>
        </w:rPr>
        <w:tab/>
        <w:t xml:space="preserve">      financial year.</w:t>
      </w:r>
      <w:r w:rsidR="0057469D">
        <w:rPr>
          <w:lang w:val="en-ZA"/>
        </w:rPr>
        <w:t xml:space="preserve"> </w:t>
      </w:r>
    </w:p>
    <w:sectPr w:rsidR="00EB6472" w:rsidRPr="003B6614" w:rsidSect="003665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8590F"/>
    <w:multiLevelType w:val="hybridMultilevel"/>
    <w:tmpl w:val="763E961C"/>
    <w:lvl w:ilvl="0" w:tplc="7F8EE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14"/>
    <w:rsid w:val="00185174"/>
    <w:rsid w:val="003665D2"/>
    <w:rsid w:val="003A7FC9"/>
    <w:rsid w:val="003B6614"/>
    <w:rsid w:val="004D11F0"/>
    <w:rsid w:val="0057469D"/>
    <w:rsid w:val="005D2EAE"/>
    <w:rsid w:val="008052E7"/>
    <w:rsid w:val="008A3B45"/>
    <w:rsid w:val="00C614CA"/>
    <w:rsid w:val="00E018FB"/>
    <w:rsid w:val="00EB6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C94A"/>
  <w15:docId w15:val="{90793044-00FE-41A7-8AB4-06189501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4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01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leonards</dc:creator>
  <cp:lastModifiedBy>Luyanda Frans</cp:lastModifiedBy>
  <cp:revision>2</cp:revision>
  <dcterms:created xsi:type="dcterms:W3CDTF">2017-10-10T12:24:00Z</dcterms:created>
  <dcterms:modified xsi:type="dcterms:W3CDTF">2017-10-10T12:24:00Z</dcterms:modified>
</cp:coreProperties>
</file>