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24B05">
        <w:rPr>
          <w:rFonts w:ascii="Times New Roman" w:hAnsi="Times New Roman" w:cs="Times New Roman"/>
          <w:b/>
          <w:sz w:val="24"/>
          <w:szCs w:val="24"/>
        </w:rPr>
        <w:t xml:space="preserve"> 2226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A24B05" w:rsidRPr="00A24B05" w:rsidRDefault="00A24B05" w:rsidP="00A24B05">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A24B05">
        <w:rPr>
          <w:rFonts w:ascii="Times New Roman" w:eastAsia="Calibri" w:hAnsi="Times New Roman" w:cs="Times New Roman"/>
          <w:b/>
          <w:noProof/>
          <w:color w:val="000000"/>
          <w:sz w:val="24"/>
          <w:szCs w:val="24"/>
          <w:lang w:val="af-ZA"/>
        </w:rPr>
        <w:t>2226.</w:t>
      </w:r>
      <w:r w:rsidRPr="00A24B05">
        <w:rPr>
          <w:rFonts w:ascii="Times New Roman" w:eastAsia="Calibri" w:hAnsi="Times New Roman" w:cs="Times New Roman"/>
          <w:b/>
          <w:noProof/>
          <w:color w:val="000000"/>
          <w:sz w:val="24"/>
          <w:szCs w:val="24"/>
          <w:lang w:val="af-ZA"/>
        </w:rPr>
        <w:tab/>
        <w:t>Ms N I Tarabella Marchesi (DA) to ask the Minister of Basic Education:</w:t>
      </w:r>
    </w:p>
    <w:p w:rsidR="00A24B05" w:rsidRPr="00A24B05" w:rsidRDefault="00A24B05" w:rsidP="00A24B05">
      <w:pPr>
        <w:spacing w:before="100" w:beforeAutospacing="1" w:after="100" w:afterAutospacing="1" w:line="240" w:lineRule="auto"/>
        <w:ind w:left="851"/>
        <w:jc w:val="both"/>
        <w:rPr>
          <w:rFonts w:ascii="Times New Roman" w:eastAsia="Calibri" w:hAnsi="Times New Roman" w:cs="Times New Roman"/>
          <w:b/>
          <w:noProof/>
          <w:color w:val="000000"/>
          <w:sz w:val="24"/>
          <w:szCs w:val="24"/>
          <w:lang w:val="af-ZA"/>
        </w:rPr>
      </w:pPr>
      <w:r w:rsidRPr="00A24B05">
        <w:rPr>
          <w:rFonts w:ascii="Times New Roman" w:eastAsia="Calibri" w:hAnsi="Times New Roman" w:cs="Times New Roman"/>
          <w:sz w:val="24"/>
          <w:szCs w:val="24"/>
        </w:rPr>
        <w:t xml:space="preserve">Whether, with reference to her reply to question 880 on 4 May 2017, she has received the requested </w:t>
      </w:r>
      <w:r w:rsidRPr="00A24B05">
        <w:rPr>
          <w:rFonts w:ascii="Times New Roman" w:eastAsia="Calibri" w:hAnsi="Times New Roman" w:cs="Times New Roman"/>
          <w:noProof/>
          <w:sz w:val="24"/>
          <w:szCs w:val="24"/>
          <w:lang w:val="af-ZA"/>
        </w:rPr>
        <w:t>information</w:t>
      </w:r>
      <w:r w:rsidRPr="00A24B05">
        <w:rPr>
          <w:rFonts w:ascii="Times New Roman" w:eastAsia="Calibri" w:hAnsi="Times New Roman" w:cs="Times New Roman"/>
          <w:sz w:val="24"/>
          <w:szCs w:val="24"/>
        </w:rPr>
        <w:t xml:space="preserve"> from the provincial education departments</w:t>
      </w:r>
      <w:r w:rsidRPr="00A24B05">
        <w:rPr>
          <w:rFonts w:ascii="Times New Roman" w:eastAsia="Calibri" w:hAnsi="Times New Roman" w:cs="Times New Roman"/>
          <w:noProof/>
          <w:sz w:val="24"/>
          <w:szCs w:val="24"/>
          <w:lang w:val="af-ZA"/>
        </w:rPr>
        <w:t>?</w:t>
      </w:r>
      <w:r w:rsidRPr="00A24B05">
        <w:rPr>
          <w:rFonts w:ascii="Times New Roman" w:eastAsia="Calibri" w:hAnsi="Times New Roman" w:cs="Times New Roman"/>
          <w:noProof/>
          <w:sz w:val="24"/>
          <w:szCs w:val="24"/>
          <w:lang w:val="af-ZA"/>
        </w:rPr>
        <w:tab/>
      </w:r>
      <w:r w:rsidRPr="00A24B05">
        <w:rPr>
          <w:rFonts w:ascii="Times New Roman" w:eastAsia="Calibri" w:hAnsi="Times New Roman" w:cs="Times New Roman"/>
          <w:noProof/>
          <w:sz w:val="20"/>
          <w:szCs w:val="20"/>
          <w:lang w:val="af-ZA"/>
        </w:rPr>
        <w:t>NW2458E</w:t>
      </w:r>
    </w:p>
    <w:p w:rsidR="006D7B63" w:rsidRPr="006D7B63" w:rsidRDefault="006D7B63">
      <w:pPr>
        <w:rPr>
          <w:rFonts w:ascii="Times New Roman" w:hAnsi="Times New Roman" w:cs="Times New Roman"/>
          <w:sz w:val="28"/>
          <w:szCs w:val="28"/>
        </w:rPr>
      </w:pPr>
    </w:p>
    <w:p w:rsidR="00F24728" w:rsidRPr="007B0386" w:rsidRDefault="00F24728" w:rsidP="00F24728">
      <w:pPr>
        <w:spacing w:after="0" w:line="360" w:lineRule="auto"/>
        <w:rPr>
          <w:rFonts w:ascii="Times New Roman" w:hAnsi="Times New Roman" w:cs="Times New Roman"/>
          <w:b/>
          <w:sz w:val="24"/>
          <w:szCs w:val="24"/>
        </w:rPr>
      </w:pPr>
      <w:r w:rsidRPr="007B0386">
        <w:rPr>
          <w:rFonts w:ascii="Times New Roman" w:hAnsi="Times New Roman" w:cs="Times New Roman"/>
          <w:b/>
          <w:sz w:val="24"/>
          <w:szCs w:val="24"/>
        </w:rPr>
        <w:t>RESPONSE:</w:t>
      </w:r>
    </w:p>
    <w:p w:rsidR="00F24728" w:rsidRDefault="00F24728" w:rsidP="00F24728">
      <w:pPr>
        <w:spacing w:after="0" w:line="360" w:lineRule="auto"/>
        <w:rPr>
          <w:rFonts w:ascii="Times New Roman" w:hAnsi="Times New Roman" w:cs="Times New Roman"/>
          <w:sz w:val="24"/>
          <w:szCs w:val="24"/>
        </w:rPr>
        <w:sectPr w:rsidR="00F24728" w:rsidSect="001630C9">
          <w:pgSz w:w="11906" w:h="16838"/>
          <w:pgMar w:top="1440" w:right="1440" w:bottom="1440" w:left="1440" w:header="708" w:footer="708" w:gutter="0"/>
          <w:cols w:space="708"/>
          <w:docGrid w:linePitch="360"/>
        </w:sectPr>
      </w:pPr>
      <w:r w:rsidRPr="00072818">
        <w:rPr>
          <w:rFonts w:ascii="Times New Roman" w:hAnsi="Times New Roman" w:cs="Times New Roman"/>
          <w:sz w:val="24"/>
          <w:szCs w:val="24"/>
        </w:rPr>
        <w:t xml:space="preserve">The </w:t>
      </w:r>
      <w:r>
        <w:rPr>
          <w:rFonts w:ascii="Times New Roman" w:hAnsi="Times New Roman" w:cs="Times New Roman"/>
          <w:sz w:val="24"/>
          <w:szCs w:val="24"/>
        </w:rPr>
        <w:t>D</w:t>
      </w:r>
      <w:r w:rsidRPr="00072818">
        <w:rPr>
          <w:rFonts w:ascii="Times New Roman" w:hAnsi="Times New Roman" w:cs="Times New Roman"/>
          <w:sz w:val="24"/>
          <w:szCs w:val="24"/>
        </w:rPr>
        <w:t>epartment ha</w:t>
      </w:r>
      <w:r>
        <w:rPr>
          <w:rFonts w:ascii="Times New Roman" w:hAnsi="Times New Roman" w:cs="Times New Roman"/>
          <w:sz w:val="24"/>
          <w:szCs w:val="24"/>
        </w:rPr>
        <w:t>s</w:t>
      </w:r>
      <w:r w:rsidRPr="00072818">
        <w:rPr>
          <w:rFonts w:ascii="Times New Roman" w:hAnsi="Times New Roman" w:cs="Times New Roman"/>
          <w:sz w:val="24"/>
          <w:szCs w:val="24"/>
        </w:rPr>
        <w:t xml:space="preserve"> forwarded the question to the P</w:t>
      </w:r>
      <w:r>
        <w:rPr>
          <w:rFonts w:ascii="Times New Roman" w:hAnsi="Times New Roman" w:cs="Times New Roman"/>
          <w:sz w:val="24"/>
          <w:szCs w:val="24"/>
        </w:rPr>
        <w:t xml:space="preserve">rovincial Education Departments </w:t>
      </w:r>
      <w:r w:rsidRPr="00072818">
        <w:rPr>
          <w:rFonts w:ascii="Times New Roman" w:hAnsi="Times New Roman" w:cs="Times New Roman"/>
          <w:sz w:val="24"/>
          <w:szCs w:val="24"/>
        </w:rPr>
        <w:t xml:space="preserve">and </w:t>
      </w:r>
      <w:r>
        <w:rPr>
          <w:rFonts w:ascii="Times New Roman" w:hAnsi="Times New Roman" w:cs="Times New Roman"/>
          <w:sz w:val="24"/>
          <w:szCs w:val="24"/>
        </w:rPr>
        <w:t>responses were received from eight PEDs</w:t>
      </w:r>
      <w:r w:rsidRPr="00072818">
        <w:rPr>
          <w:rFonts w:ascii="Times New Roman" w:hAnsi="Times New Roman" w:cs="Times New Roman"/>
          <w:sz w:val="24"/>
          <w:szCs w:val="24"/>
        </w:rPr>
        <w:t xml:space="preserve">.  The </w:t>
      </w:r>
      <w:r>
        <w:rPr>
          <w:rFonts w:ascii="Times New Roman" w:hAnsi="Times New Roman" w:cs="Times New Roman"/>
          <w:sz w:val="24"/>
          <w:szCs w:val="24"/>
        </w:rPr>
        <w:t xml:space="preserve">Eastern Cape Department of Education’s response in this regard is still outstanding. A follow-up letter was sent to the ECDoE on 24 July 2017. The table below contains a summary of responses. </w:t>
      </w:r>
    </w:p>
    <w:p w:rsidR="00F24728" w:rsidRDefault="00F24728" w:rsidP="00F24728">
      <w:pPr>
        <w:spacing w:after="0" w:line="360" w:lineRule="auto"/>
      </w:pPr>
    </w:p>
    <w:tbl>
      <w:tblPr>
        <w:tblStyle w:val="TableGrid"/>
        <w:tblW w:w="15452" w:type="dxa"/>
        <w:tblInd w:w="-743" w:type="dxa"/>
        <w:tblLayout w:type="fixed"/>
        <w:tblLook w:val="04A0" w:firstRow="1" w:lastRow="0" w:firstColumn="1" w:lastColumn="0" w:noHBand="0" w:noVBand="1"/>
      </w:tblPr>
      <w:tblGrid>
        <w:gridCol w:w="999"/>
        <w:gridCol w:w="1412"/>
        <w:gridCol w:w="1396"/>
        <w:gridCol w:w="1979"/>
        <w:gridCol w:w="1302"/>
        <w:gridCol w:w="1418"/>
        <w:gridCol w:w="1344"/>
        <w:gridCol w:w="1587"/>
        <w:gridCol w:w="4015"/>
      </w:tblGrid>
      <w:tr w:rsidR="00F24728" w:rsidRPr="00E53CFB" w:rsidTr="0098534B">
        <w:trPr>
          <w:trHeight w:val="1320"/>
          <w:tblHeader/>
        </w:trPr>
        <w:tc>
          <w:tcPr>
            <w:tcW w:w="999" w:type="dxa"/>
            <w:hideMark/>
          </w:tcPr>
          <w:p w:rsidR="00F24728" w:rsidRPr="00E53CFB" w:rsidRDefault="00F24728" w:rsidP="0098534B">
            <w:pPr>
              <w:spacing w:line="360" w:lineRule="auto"/>
              <w:rPr>
                <w:rFonts w:ascii="Arial Narrow" w:hAnsi="Arial Narrow"/>
                <w:b/>
                <w:bCs/>
                <w:i/>
                <w:iCs/>
              </w:rPr>
            </w:pPr>
            <w:r w:rsidRPr="00E53CFB">
              <w:rPr>
                <w:rFonts w:ascii="Arial Narrow" w:hAnsi="Arial Narrow"/>
                <w:b/>
                <w:bCs/>
                <w:i/>
                <w:iCs/>
              </w:rPr>
              <w:t xml:space="preserve">Province </w:t>
            </w:r>
          </w:p>
        </w:tc>
        <w:tc>
          <w:tcPr>
            <w:tcW w:w="1412" w:type="dxa"/>
            <w:hideMark/>
          </w:tcPr>
          <w:p w:rsidR="00F24728" w:rsidRPr="00E53CFB" w:rsidRDefault="00F24728" w:rsidP="0098534B">
            <w:pPr>
              <w:spacing w:line="360" w:lineRule="auto"/>
              <w:rPr>
                <w:rFonts w:ascii="Arial Narrow" w:hAnsi="Arial Narrow"/>
                <w:b/>
                <w:bCs/>
                <w:i/>
                <w:iCs/>
              </w:rPr>
            </w:pPr>
            <w:r w:rsidRPr="00E53CFB">
              <w:rPr>
                <w:rFonts w:ascii="Arial Narrow" w:hAnsi="Arial Narrow"/>
                <w:b/>
                <w:bCs/>
                <w:i/>
                <w:iCs/>
              </w:rPr>
              <w:t>No. schools to be closed/ merged (a) (i) and (ii)</w:t>
            </w:r>
          </w:p>
        </w:tc>
        <w:tc>
          <w:tcPr>
            <w:tcW w:w="1396" w:type="dxa"/>
            <w:hideMark/>
          </w:tcPr>
          <w:p w:rsidR="00F24728" w:rsidRPr="00E53CFB" w:rsidRDefault="00F24728" w:rsidP="0098534B">
            <w:pPr>
              <w:spacing w:line="360" w:lineRule="auto"/>
              <w:rPr>
                <w:rFonts w:ascii="Arial Narrow" w:hAnsi="Arial Narrow"/>
                <w:b/>
                <w:bCs/>
                <w:i/>
                <w:iCs/>
              </w:rPr>
            </w:pPr>
            <w:r w:rsidRPr="00E53CFB">
              <w:rPr>
                <w:rFonts w:ascii="Arial Narrow" w:hAnsi="Arial Narrow"/>
                <w:b/>
                <w:bCs/>
                <w:i/>
                <w:iCs/>
              </w:rPr>
              <w:t>Name of  school (b)</w:t>
            </w:r>
          </w:p>
        </w:tc>
        <w:tc>
          <w:tcPr>
            <w:tcW w:w="1979" w:type="dxa"/>
            <w:hideMark/>
          </w:tcPr>
          <w:p w:rsidR="00F24728" w:rsidRPr="00E53CFB" w:rsidRDefault="00F24728" w:rsidP="0098534B">
            <w:pPr>
              <w:spacing w:line="360" w:lineRule="auto"/>
              <w:rPr>
                <w:rFonts w:ascii="Arial Narrow" w:hAnsi="Arial Narrow"/>
                <w:b/>
                <w:bCs/>
                <w:i/>
                <w:iCs/>
              </w:rPr>
            </w:pPr>
            <w:r w:rsidRPr="00E53CFB">
              <w:rPr>
                <w:rFonts w:ascii="Arial Narrow" w:hAnsi="Arial Narrow"/>
                <w:b/>
                <w:bCs/>
                <w:i/>
                <w:iCs/>
              </w:rPr>
              <w:t xml:space="preserve">Reason for closure (c ) </w:t>
            </w:r>
          </w:p>
        </w:tc>
        <w:tc>
          <w:tcPr>
            <w:tcW w:w="1302" w:type="dxa"/>
            <w:hideMark/>
          </w:tcPr>
          <w:p w:rsidR="00F24728" w:rsidRPr="00E53CFB" w:rsidRDefault="00F24728" w:rsidP="0098534B">
            <w:pPr>
              <w:spacing w:line="360" w:lineRule="auto"/>
              <w:rPr>
                <w:rFonts w:ascii="Arial Narrow" w:hAnsi="Arial Narrow"/>
                <w:b/>
                <w:bCs/>
                <w:i/>
                <w:iCs/>
              </w:rPr>
            </w:pPr>
            <w:r w:rsidRPr="00E53CFB">
              <w:rPr>
                <w:rFonts w:ascii="Arial Narrow" w:hAnsi="Arial Narrow"/>
                <w:b/>
                <w:bCs/>
                <w:i/>
                <w:iCs/>
              </w:rPr>
              <w:t xml:space="preserve">Host schools (d) </w:t>
            </w:r>
          </w:p>
        </w:tc>
        <w:tc>
          <w:tcPr>
            <w:tcW w:w="1418" w:type="dxa"/>
            <w:hideMark/>
          </w:tcPr>
          <w:p w:rsidR="00F24728" w:rsidRPr="00E53CFB" w:rsidRDefault="00F24728" w:rsidP="0098534B">
            <w:pPr>
              <w:spacing w:line="360" w:lineRule="auto"/>
              <w:rPr>
                <w:rFonts w:ascii="Arial Narrow" w:hAnsi="Arial Narrow"/>
                <w:b/>
                <w:bCs/>
                <w:i/>
                <w:iCs/>
              </w:rPr>
            </w:pPr>
            <w:r w:rsidRPr="00E53CFB">
              <w:rPr>
                <w:rFonts w:ascii="Arial Narrow" w:hAnsi="Arial Narrow"/>
                <w:b/>
                <w:bCs/>
                <w:i/>
                <w:iCs/>
              </w:rPr>
              <w:t xml:space="preserve">Timelines (e) </w:t>
            </w:r>
          </w:p>
        </w:tc>
        <w:tc>
          <w:tcPr>
            <w:tcW w:w="1344" w:type="dxa"/>
            <w:hideMark/>
          </w:tcPr>
          <w:p w:rsidR="00F24728" w:rsidRPr="00E53CFB" w:rsidRDefault="00F24728" w:rsidP="0098534B">
            <w:pPr>
              <w:spacing w:line="360" w:lineRule="auto"/>
              <w:rPr>
                <w:rFonts w:ascii="Arial Narrow" w:hAnsi="Arial Narrow"/>
                <w:b/>
                <w:bCs/>
                <w:i/>
                <w:iCs/>
              </w:rPr>
            </w:pPr>
            <w:r w:rsidRPr="00E53CFB">
              <w:rPr>
                <w:rFonts w:ascii="Arial Narrow" w:hAnsi="Arial Narrow"/>
                <w:b/>
                <w:bCs/>
                <w:i/>
                <w:iCs/>
              </w:rPr>
              <w:t xml:space="preserve">Transport arrangement (f) </w:t>
            </w:r>
          </w:p>
        </w:tc>
        <w:tc>
          <w:tcPr>
            <w:tcW w:w="1587" w:type="dxa"/>
            <w:hideMark/>
          </w:tcPr>
          <w:p w:rsidR="00F24728" w:rsidRPr="00E53CFB" w:rsidRDefault="00F24728" w:rsidP="0098534B">
            <w:pPr>
              <w:spacing w:line="360" w:lineRule="auto"/>
              <w:rPr>
                <w:rFonts w:ascii="Arial Narrow" w:hAnsi="Arial Narrow"/>
                <w:b/>
                <w:bCs/>
                <w:i/>
                <w:iCs/>
              </w:rPr>
            </w:pPr>
            <w:r w:rsidRPr="00E53CFB">
              <w:rPr>
                <w:rFonts w:ascii="Arial Narrow" w:hAnsi="Arial Narrow"/>
                <w:b/>
                <w:bCs/>
                <w:i/>
                <w:iCs/>
              </w:rPr>
              <w:t xml:space="preserve">Additional resources required (g) </w:t>
            </w:r>
          </w:p>
        </w:tc>
        <w:tc>
          <w:tcPr>
            <w:tcW w:w="4015" w:type="dxa"/>
            <w:hideMark/>
          </w:tcPr>
          <w:p w:rsidR="00F24728" w:rsidRPr="00E53CFB" w:rsidRDefault="00F24728" w:rsidP="0098534B">
            <w:pPr>
              <w:spacing w:line="360" w:lineRule="auto"/>
              <w:rPr>
                <w:rFonts w:ascii="Arial Narrow" w:hAnsi="Arial Narrow"/>
                <w:b/>
                <w:bCs/>
                <w:i/>
                <w:iCs/>
              </w:rPr>
            </w:pPr>
            <w:r w:rsidRPr="00E53CFB">
              <w:rPr>
                <w:rFonts w:ascii="Arial Narrow" w:hAnsi="Arial Narrow"/>
                <w:b/>
                <w:bCs/>
                <w:i/>
                <w:iCs/>
              </w:rPr>
              <w:t>Consultation (2)</w:t>
            </w:r>
          </w:p>
        </w:tc>
      </w:tr>
      <w:tr w:rsidR="00F24728" w:rsidRPr="00E53CFB" w:rsidTr="0098534B">
        <w:trPr>
          <w:trHeight w:val="330"/>
        </w:trPr>
        <w:tc>
          <w:tcPr>
            <w:tcW w:w="999" w:type="dxa"/>
            <w:hideMark/>
          </w:tcPr>
          <w:p w:rsidR="00F24728" w:rsidRPr="00E53CFB" w:rsidRDefault="00F24728" w:rsidP="0098534B">
            <w:pPr>
              <w:spacing w:line="360" w:lineRule="auto"/>
              <w:rPr>
                <w:rFonts w:ascii="Arial Narrow" w:hAnsi="Arial Narrow"/>
              </w:rPr>
            </w:pPr>
            <w:r w:rsidRPr="00E53CFB">
              <w:rPr>
                <w:rFonts w:ascii="Arial Narrow" w:hAnsi="Arial Narrow"/>
              </w:rPr>
              <w:t>EC</w:t>
            </w:r>
          </w:p>
        </w:tc>
        <w:tc>
          <w:tcPr>
            <w:tcW w:w="14453" w:type="dxa"/>
            <w:gridSpan w:val="8"/>
            <w:noWrap/>
            <w:hideMark/>
          </w:tcPr>
          <w:p w:rsidR="00F24728" w:rsidRPr="00E53CFB" w:rsidRDefault="00F24728" w:rsidP="0098534B">
            <w:pPr>
              <w:spacing w:line="360" w:lineRule="auto"/>
              <w:rPr>
                <w:rFonts w:ascii="Arial Narrow" w:hAnsi="Arial Narrow"/>
              </w:rPr>
            </w:pPr>
            <w:r>
              <w:rPr>
                <w:rFonts w:ascii="Arial Narrow" w:hAnsi="Arial Narrow"/>
              </w:rPr>
              <w:t xml:space="preserve">                                                                                                          </w:t>
            </w:r>
            <w:r w:rsidRPr="00E53CFB">
              <w:rPr>
                <w:rFonts w:ascii="Arial Narrow" w:hAnsi="Arial Narrow"/>
              </w:rPr>
              <w:t xml:space="preserve">NO RESPONSE </w:t>
            </w:r>
          </w:p>
        </w:tc>
      </w:tr>
      <w:tr w:rsidR="00F24728" w:rsidRPr="00E53CFB" w:rsidTr="0098534B">
        <w:trPr>
          <w:trHeight w:val="1620"/>
        </w:trPr>
        <w:tc>
          <w:tcPr>
            <w:tcW w:w="999" w:type="dxa"/>
            <w:hideMark/>
          </w:tcPr>
          <w:p w:rsidR="00F24728" w:rsidRPr="00E53CFB" w:rsidRDefault="00F24728" w:rsidP="0098534B">
            <w:pPr>
              <w:spacing w:line="360" w:lineRule="auto"/>
              <w:rPr>
                <w:rFonts w:ascii="Arial Narrow" w:hAnsi="Arial Narrow"/>
              </w:rPr>
            </w:pPr>
            <w:r w:rsidRPr="00E53CFB">
              <w:rPr>
                <w:rFonts w:ascii="Arial Narrow" w:hAnsi="Arial Narrow"/>
              </w:rPr>
              <w:t>FS</w:t>
            </w:r>
          </w:p>
        </w:tc>
        <w:tc>
          <w:tcPr>
            <w:tcW w:w="1412" w:type="dxa"/>
            <w:hideMark/>
          </w:tcPr>
          <w:p w:rsidR="00F24728" w:rsidRPr="00E53CFB" w:rsidRDefault="00F24728" w:rsidP="0098534B">
            <w:pPr>
              <w:spacing w:line="360" w:lineRule="auto"/>
              <w:rPr>
                <w:rFonts w:ascii="Arial Narrow" w:hAnsi="Arial Narrow"/>
              </w:rPr>
            </w:pPr>
            <w:r w:rsidRPr="00E53CFB">
              <w:rPr>
                <w:rFonts w:ascii="Arial Narrow" w:hAnsi="Arial Narrow"/>
              </w:rPr>
              <w:t>90</w:t>
            </w:r>
          </w:p>
        </w:tc>
        <w:tc>
          <w:tcPr>
            <w:tcW w:w="1396"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979" w:type="dxa"/>
            <w:hideMark/>
          </w:tcPr>
          <w:p w:rsidR="00F24728" w:rsidRPr="00E53CFB" w:rsidRDefault="00F24728" w:rsidP="0098534B">
            <w:pPr>
              <w:spacing w:line="360" w:lineRule="auto"/>
              <w:rPr>
                <w:rFonts w:ascii="Arial Narrow" w:hAnsi="Arial Narrow"/>
              </w:rPr>
            </w:pPr>
            <w:r w:rsidRPr="00E53CFB">
              <w:rPr>
                <w:rFonts w:ascii="Arial Narrow" w:hAnsi="Arial Narrow"/>
              </w:rPr>
              <w:t xml:space="preserve">non-viable </w:t>
            </w:r>
          </w:p>
        </w:tc>
        <w:tc>
          <w:tcPr>
            <w:tcW w:w="1302"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418" w:type="dxa"/>
            <w:hideMark/>
          </w:tcPr>
          <w:p w:rsidR="00F24728" w:rsidRPr="00E53CFB" w:rsidRDefault="00F24728" w:rsidP="0098534B">
            <w:pPr>
              <w:spacing w:line="360" w:lineRule="auto"/>
              <w:rPr>
                <w:rFonts w:ascii="Arial Narrow" w:hAnsi="Arial Narrow"/>
              </w:rPr>
            </w:pPr>
            <w:r w:rsidRPr="00E53CFB">
              <w:rPr>
                <w:rFonts w:ascii="Arial Narrow" w:hAnsi="Arial Narrow"/>
              </w:rPr>
              <w:t xml:space="preserve">between June and December 2017 </w:t>
            </w:r>
          </w:p>
        </w:tc>
        <w:tc>
          <w:tcPr>
            <w:tcW w:w="1344" w:type="dxa"/>
            <w:hideMark/>
          </w:tcPr>
          <w:p w:rsidR="00F24728" w:rsidRPr="00E53CFB" w:rsidRDefault="00F24728" w:rsidP="0098534B">
            <w:pPr>
              <w:spacing w:line="360" w:lineRule="auto"/>
              <w:rPr>
                <w:rFonts w:ascii="Arial Narrow" w:hAnsi="Arial Narrow"/>
              </w:rPr>
            </w:pPr>
            <w:r w:rsidRPr="00E53CFB">
              <w:rPr>
                <w:rFonts w:ascii="Arial Narrow" w:hAnsi="Arial Narrow"/>
              </w:rPr>
              <w:t>not required</w:t>
            </w:r>
          </w:p>
        </w:tc>
        <w:tc>
          <w:tcPr>
            <w:tcW w:w="1587" w:type="dxa"/>
            <w:hideMark/>
          </w:tcPr>
          <w:p w:rsidR="00F24728" w:rsidRPr="00E53CFB" w:rsidRDefault="00F24728" w:rsidP="0098534B">
            <w:pPr>
              <w:spacing w:line="360" w:lineRule="auto"/>
              <w:rPr>
                <w:rFonts w:ascii="Arial Narrow" w:hAnsi="Arial Narrow"/>
              </w:rPr>
            </w:pPr>
            <w:r w:rsidRPr="00E53CFB">
              <w:rPr>
                <w:rFonts w:ascii="Arial Narrow" w:hAnsi="Arial Narrow"/>
              </w:rPr>
              <w:t>none</w:t>
            </w:r>
          </w:p>
        </w:tc>
        <w:tc>
          <w:tcPr>
            <w:tcW w:w="4015" w:type="dxa"/>
            <w:hideMark/>
          </w:tcPr>
          <w:p w:rsidR="00F24728" w:rsidRPr="00E53CFB" w:rsidRDefault="00F24728" w:rsidP="0098534B">
            <w:pPr>
              <w:spacing w:line="360" w:lineRule="auto"/>
              <w:rPr>
                <w:rFonts w:ascii="Arial Narrow" w:hAnsi="Arial Narrow"/>
              </w:rPr>
            </w:pPr>
            <w:r w:rsidRPr="00E53CFB">
              <w:rPr>
                <w:rFonts w:ascii="Arial Narrow" w:hAnsi="Arial Narrow"/>
              </w:rPr>
              <w:t>Consultation Meetings took place at some of these schools however, where the residents have already left the farms, it was difficult to conduct them and a declaration form has been completed to that effect by the relevant Circuit Manager.</w:t>
            </w:r>
          </w:p>
        </w:tc>
      </w:tr>
      <w:tr w:rsidR="00F24728" w:rsidRPr="00E53CFB" w:rsidTr="0098534B">
        <w:trPr>
          <w:trHeight w:val="660"/>
        </w:trPr>
        <w:tc>
          <w:tcPr>
            <w:tcW w:w="999" w:type="dxa"/>
            <w:hideMark/>
          </w:tcPr>
          <w:p w:rsidR="00F24728" w:rsidRPr="00E53CFB" w:rsidRDefault="00F24728" w:rsidP="0098534B">
            <w:pPr>
              <w:spacing w:line="360" w:lineRule="auto"/>
              <w:rPr>
                <w:rFonts w:ascii="Arial Narrow" w:hAnsi="Arial Narrow"/>
              </w:rPr>
            </w:pPr>
            <w:r w:rsidRPr="00E53CFB">
              <w:rPr>
                <w:rFonts w:ascii="Arial Narrow" w:hAnsi="Arial Narrow"/>
              </w:rPr>
              <w:t>GP</w:t>
            </w:r>
          </w:p>
        </w:tc>
        <w:tc>
          <w:tcPr>
            <w:tcW w:w="1412" w:type="dxa"/>
            <w:hideMark/>
          </w:tcPr>
          <w:p w:rsidR="00F24728" w:rsidRPr="00E53CFB" w:rsidRDefault="00F24728" w:rsidP="0098534B">
            <w:pPr>
              <w:spacing w:line="360" w:lineRule="auto"/>
              <w:rPr>
                <w:rFonts w:ascii="Arial Narrow" w:hAnsi="Arial Narrow"/>
              </w:rPr>
            </w:pPr>
            <w:r w:rsidRPr="00E53CFB">
              <w:rPr>
                <w:rFonts w:ascii="Arial Narrow" w:hAnsi="Arial Narrow"/>
              </w:rPr>
              <w:t>14</w:t>
            </w:r>
          </w:p>
        </w:tc>
        <w:tc>
          <w:tcPr>
            <w:tcW w:w="1396"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979" w:type="dxa"/>
            <w:hideMark/>
          </w:tcPr>
          <w:p w:rsidR="00F24728" w:rsidRPr="00E53CFB" w:rsidRDefault="00F24728" w:rsidP="0098534B">
            <w:pPr>
              <w:spacing w:line="360" w:lineRule="auto"/>
              <w:rPr>
                <w:rFonts w:ascii="Arial Narrow" w:hAnsi="Arial Narrow"/>
              </w:rPr>
            </w:pPr>
            <w:r>
              <w:rPr>
                <w:rFonts w:ascii="Arial Narrow" w:hAnsi="Arial Narrow"/>
              </w:rPr>
              <w:t>Small and non-viable</w:t>
            </w:r>
          </w:p>
        </w:tc>
        <w:tc>
          <w:tcPr>
            <w:tcW w:w="1302"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418" w:type="dxa"/>
            <w:hideMark/>
          </w:tcPr>
          <w:p w:rsidR="00F24728" w:rsidRPr="00E53CFB" w:rsidRDefault="00F24728" w:rsidP="0098534B">
            <w:pPr>
              <w:spacing w:line="360" w:lineRule="auto"/>
              <w:rPr>
                <w:rFonts w:ascii="Arial Narrow" w:hAnsi="Arial Narrow"/>
              </w:rPr>
            </w:pPr>
            <w:r w:rsidRPr="00E53CFB">
              <w:rPr>
                <w:rFonts w:ascii="Arial Narrow" w:hAnsi="Arial Narrow"/>
              </w:rPr>
              <w:t> </w:t>
            </w:r>
          </w:p>
        </w:tc>
        <w:tc>
          <w:tcPr>
            <w:tcW w:w="1344" w:type="dxa"/>
            <w:hideMark/>
          </w:tcPr>
          <w:p w:rsidR="00F24728" w:rsidRPr="00E53CFB" w:rsidRDefault="00F24728" w:rsidP="0098534B">
            <w:pPr>
              <w:spacing w:line="360" w:lineRule="auto"/>
              <w:rPr>
                <w:rFonts w:ascii="Arial Narrow" w:hAnsi="Arial Narrow"/>
              </w:rPr>
            </w:pPr>
            <w:r w:rsidRPr="00E53CFB">
              <w:rPr>
                <w:rFonts w:ascii="Arial Narrow" w:hAnsi="Arial Narrow"/>
              </w:rPr>
              <w:t>Provided where necessary</w:t>
            </w:r>
          </w:p>
        </w:tc>
        <w:tc>
          <w:tcPr>
            <w:tcW w:w="1587" w:type="dxa"/>
            <w:hideMark/>
          </w:tcPr>
          <w:p w:rsidR="00F24728" w:rsidRPr="00E53CFB" w:rsidRDefault="00F24728" w:rsidP="0098534B">
            <w:pPr>
              <w:spacing w:line="360" w:lineRule="auto"/>
              <w:rPr>
                <w:rFonts w:ascii="Arial Narrow" w:hAnsi="Arial Narrow"/>
              </w:rPr>
            </w:pPr>
            <w:r w:rsidRPr="00E53CFB">
              <w:rPr>
                <w:rFonts w:ascii="Arial Narrow" w:hAnsi="Arial Narrow"/>
              </w:rPr>
              <w:t>resources follow learners</w:t>
            </w:r>
          </w:p>
        </w:tc>
        <w:tc>
          <w:tcPr>
            <w:tcW w:w="4015"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F</w:t>
            </w:r>
          </w:p>
        </w:tc>
      </w:tr>
      <w:tr w:rsidR="00F24728" w:rsidRPr="00E53CFB" w:rsidTr="0098534B">
        <w:trPr>
          <w:trHeight w:val="330"/>
        </w:trPr>
        <w:tc>
          <w:tcPr>
            <w:tcW w:w="999" w:type="dxa"/>
            <w:hideMark/>
          </w:tcPr>
          <w:p w:rsidR="00F24728" w:rsidRPr="00E53CFB" w:rsidRDefault="00F24728" w:rsidP="0098534B">
            <w:pPr>
              <w:spacing w:line="360" w:lineRule="auto"/>
              <w:rPr>
                <w:rFonts w:ascii="Arial Narrow" w:hAnsi="Arial Narrow"/>
              </w:rPr>
            </w:pPr>
            <w:r w:rsidRPr="00E53CFB">
              <w:rPr>
                <w:rFonts w:ascii="Arial Narrow" w:hAnsi="Arial Narrow"/>
              </w:rPr>
              <w:t>KZN</w:t>
            </w:r>
          </w:p>
        </w:tc>
        <w:tc>
          <w:tcPr>
            <w:tcW w:w="1412" w:type="dxa"/>
            <w:hideMark/>
          </w:tcPr>
          <w:p w:rsidR="00F24728" w:rsidRPr="00E53CFB" w:rsidRDefault="00F24728" w:rsidP="0098534B">
            <w:pPr>
              <w:spacing w:line="360" w:lineRule="auto"/>
              <w:rPr>
                <w:rFonts w:ascii="Arial Narrow" w:hAnsi="Arial Narrow"/>
              </w:rPr>
            </w:pPr>
            <w:r w:rsidRPr="00E53CFB">
              <w:rPr>
                <w:rFonts w:ascii="Arial Narrow" w:hAnsi="Arial Narrow"/>
              </w:rPr>
              <w:t>865</w:t>
            </w:r>
          </w:p>
        </w:tc>
        <w:tc>
          <w:tcPr>
            <w:tcW w:w="1396"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979" w:type="dxa"/>
            <w:hideMark/>
          </w:tcPr>
          <w:p w:rsidR="00F24728" w:rsidRPr="00E53CFB" w:rsidRDefault="00F24728" w:rsidP="0098534B">
            <w:pPr>
              <w:spacing w:line="360" w:lineRule="auto"/>
              <w:rPr>
                <w:rFonts w:ascii="Arial Narrow" w:hAnsi="Arial Narrow"/>
              </w:rPr>
            </w:pPr>
            <w:r w:rsidRPr="00E53CFB">
              <w:rPr>
                <w:rFonts w:ascii="Arial Narrow" w:hAnsi="Arial Narrow"/>
              </w:rPr>
              <w:t>small and non-viable</w:t>
            </w:r>
          </w:p>
        </w:tc>
        <w:tc>
          <w:tcPr>
            <w:tcW w:w="1302" w:type="dxa"/>
            <w:hideMark/>
          </w:tcPr>
          <w:p w:rsidR="00F24728" w:rsidRPr="00E53CFB" w:rsidRDefault="00F24728" w:rsidP="0098534B">
            <w:pPr>
              <w:spacing w:line="360" w:lineRule="auto"/>
              <w:rPr>
                <w:rFonts w:ascii="Arial Narrow" w:hAnsi="Arial Narrow"/>
              </w:rPr>
            </w:pPr>
            <w:r>
              <w:rPr>
                <w:rFonts w:ascii="Arial Narrow" w:hAnsi="Arial Narrow"/>
              </w:rPr>
              <w:t>Annexure A</w:t>
            </w:r>
          </w:p>
        </w:tc>
        <w:tc>
          <w:tcPr>
            <w:tcW w:w="1418"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C</w:t>
            </w:r>
          </w:p>
        </w:tc>
        <w:tc>
          <w:tcPr>
            <w:tcW w:w="1344" w:type="dxa"/>
            <w:hideMark/>
          </w:tcPr>
          <w:p w:rsidR="00F24728" w:rsidRPr="00E53CFB" w:rsidRDefault="00F24728" w:rsidP="0098534B">
            <w:pPr>
              <w:spacing w:line="360" w:lineRule="auto"/>
              <w:rPr>
                <w:rFonts w:ascii="Arial Narrow" w:hAnsi="Arial Narrow"/>
              </w:rPr>
            </w:pPr>
            <w:r w:rsidRPr="00E53CFB">
              <w:rPr>
                <w:rFonts w:ascii="Arial Narrow" w:hAnsi="Arial Narrow"/>
              </w:rPr>
              <w:t> </w:t>
            </w:r>
            <w:r>
              <w:rPr>
                <w:rFonts w:ascii="Arial Narrow" w:hAnsi="Arial Narrow"/>
              </w:rPr>
              <w:t xml:space="preserve">Not indicated </w:t>
            </w:r>
          </w:p>
        </w:tc>
        <w:tc>
          <w:tcPr>
            <w:tcW w:w="1587" w:type="dxa"/>
            <w:hideMark/>
          </w:tcPr>
          <w:p w:rsidR="00F24728" w:rsidRDefault="00F24728" w:rsidP="0098534B">
            <w:r w:rsidRPr="004A5A42">
              <w:rPr>
                <w:rFonts w:ascii="Arial Narrow" w:hAnsi="Arial Narrow"/>
              </w:rPr>
              <w:t xml:space="preserve">Not indicated </w:t>
            </w:r>
          </w:p>
        </w:tc>
        <w:tc>
          <w:tcPr>
            <w:tcW w:w="4015" w:type="dxa"/>
            <w:noWrap/>
            <w:hideMark/>
          </w:tcPr>
          <w:p w:rsidR="00F24728" w:rsidRDefault="00F24728" w:rsidP="0098534B">
            <w:r w:rsidRPr="004A5A42">
              <w:rPr>
                <w:rFonts w:ascii="Arial Narrow" w:hAnsi="Arial Narrow"/>
              </w:rPr>
              <w:t xml:space="preserve">Not indicated </w:t>
            </w:r>
          </w:p>
        </w:tc>
      </w:tr>
      <w:tr w:rsidR="00F24728" w:rsidRPr="00E53CFB" w:rsidTr="0098534B">
        <w:trPr>
          <w:trHeight w:val="1080"/>
        </w:trPr>
        <w:tc>
          <w:tcPr>
            <w:tcW w:w="999" w:type="dxa"/>
            <w:hideMark/>
          </w:tcPr>
          <w:p w:rsidR="00F24728" w:rsidRPr="00E53CFB" w:rsidRDefault="00F24728" w:rsidP="0098534B">
            <w:pPr>
              <w:spacing w:line="360" w:lineRule="auto"/>
              <w:rPr>
                <w:rFonts w:ascii="Arial Narrow" w:hAnsi="Arial Narrow"/>
              </w:rPr>
            </w:pPr>
            <w:r w:rsidRPr="00E53CFB">
              <w:rPr>
                <w:rFonts w:ascii="Arial Narrow" w:hAnsi="Arial Narrow"/>
              </w:rPr>
              <w:t>LP</w:t>
            </w:r>
          </w:p>
        </w:tc>
        <w:tc>
          <w:tcPr>
            <w:tcW w:w="1412" w:type="dxa"/>
            <w:hideMark/>
          </w:tcPr>
          <w:p w:rsidR="00F24728" w:rsidRPr="00E53CFB" w:rsidRDefault="00F24728" w:rsidP="0098534B">
            <w:pPr>
              <w:spacing w:line="360" w:lineRule="auto"/>
              <w:rPr>
                <w:rFonts w:ascii="Arial Narrow" w:hAnsi="Arial Narrow"/>
              </w:rPr>
            </w:pPr>
            <w:r w:rsidRPr="00E53CFB">
              <w:rPr>
                <w:rFonts w:ascii="Arial Narrow" w:hAnsi="Arial Narrow"/>
              </w:rPr>
              <w:t>476</w:t>
            </w:r>
          </w:p>
        </w:tc>
        <w:tc>
          <w:tcPr>
            <w:tcW w:w="1396"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979" w:type="dxa"/>
            <w:hideMark/>
          </w:tcPr>
          <w:p w:rsidR="00F24728" w:rsidRPr="00E53CFB" w:rsidRDefault="00F24728" w:rsidP="0098534B">
            <w:pPr>
              <w:spacing w:line="360" w:lineRule="auto"/>
              <w:rPr>
                <w:rFonts w:ascii="Arial Narrow" w:hAnsi="Arial Narrow"/>
              </w:rPr>
            </w:pPr>
            <w:r w:rsidRPr="00E53CFB">
              <w:rPr>
                <w:rFonts w:ascii="Arial Narrow" w:hAnsi="Arial Narrow"/>
              </w:rPr>
              <w:t>small and non-viable</w:t>
            </w:r>
          </w:p>
        </w:tc>
        <w:tc>
          <w:tcPr>
            <w:tcW w:w="1302"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418" w:type="dxa"/>
            <w:hideMark/>
          </w:tcPr>
          <w:p w:rsidR="00F24728" w:rsidRPr="00E53CFB" w:rsidRDefault="00F24728" w:rsidP="0098534B">
            <w:pPr>
              <w:spacing w:line="360" w:lineRule="auto"/>
              <w:rPr>
                <w:rFonts w:ascii="Arial Narrow" w:hAnsi="Arial Narrow"/>
              </w:rPr>
            </w:pPr>
            <w:r w:rsidRPr="00E53CFB">
              <w:rPr>
                <w:rFonts w:ascii="Arial Narrow" w:hAnsi="Arial Narrow"/>
              </w:rPr>
              <w:t> </w:t>
            </w:r>
          </w:p>
        </w:tc>
        <w:tc>
          <w:tcPr>
            <w:tcW w:w="1344" w:type="dxa"/>
            <w:hideMark/>
          </w:tcPr>
          <w:p w:rsidR="00F24728" w:rsidRPr="00E53CFB" w:rsidRDefault="00F24728" w:rsidP="0098534B">
            <w:pPr>
              <w:spacing w:line="360" w:lineRule="auto"/>
              <w:rPr>
                <w:rFonts w:ascii="Arial Narrow" w:hAnsi="Arial Narrow"/>
              </w:rPr>
            </w:pPr>
            <w:r w:rsidRPr="00E53CFB">
              <w:rPr>
                <w:rFonts w:ascii="Arial Narrow" w:hAnsi="Arial Narrow"/>
              </w:rPr>
              <w:t>provision for 42 out of 68 schools have been made</w:t>
            </w:r>
          </w:p>
        </w:tc>
        <w:tc>
          <w:tcPr>
            <w:tcW w:w="1587" w:type="dxa"/>
            <w:hideMark/>
          </w:tcPr>
          <w:p w:rsidR="00F24728" w:rsidRPr="00E53CFB" w:rsidRDefault="00F24728" w:rsidP="0098534B">
            <w:pPr>
              <w:spacing w:line="360" w:lineRule="auto"/>
              <w:rPr>
                <w:rFonts w:ascii="Arial Narrow" w:hAnsi="Arial Narrow"/>
              </w:rPr>
            </w:pPr>
            <w:r w:rsidRPr="00E53CFB">
              <w:rPr>
                <w:rFonts w:ascii="Arial Narrow" w:hAnsi="Arial Narrow"/>
              </w:rPr>
              <w:t>142 mobile classrooms are required</w:t>
            </w:r>
          </w:p>
        </w:tc>
        <w:tc>
          <w:tcPr>
            <w:tcW w:w="4015" w:type="dxa"/>
            <w:noWrap/>
            <w:hideMark/>
          </w:tcPr>
          <w:p w:rsidR="00F24728" w:rsidRPr="00E53CFB" w:rsidRDefault="00F24728" w:rsidP="0098534B">
            <w:pPr>
              <w:spacing w:line="360" w:lineRule="auto"/>
              <w:rPr>
                <w:rFonts w:ascii="Arial Narrow" w:hAnsi="Arial Narrow"/>
              </w:rPr>
            </w:pPr>
            <w:r w:rsidRPr="00E53CFB">
              <w:rPr>
                <w:rFonts w:ascii="Arial Narrow" w:hAnsi="Arial Narrow"/>
              </w:rPr>
              <w:t> </w:t>
            </w:r>
            <w:r w:rsidRPr="000E0320">
              <w:rPr>
                <w:rFonts w:ascii="Arial Narrow" w:hAnsi="Arial Narrow"/>
                <w:lang w:val="en-US"/>
              </w:rPr>
              <w:t>All schools were consulted accordingly. They furthermore received MEC’s letters for merging. The notice was advertised in the local newspapers. MEC’s also consulted all relevant stakeholders in their respective Districts. There was also a media briefing to that effect.</w:t>
            </w:r>
            <w:r>
              <w:rPr>
                <w:rFonts w:ascii="Arial Narrow" w:hAnsi="Arial Narrow"/>
                <w:lang w:val="en-US"/>
              </w:rPr>
              <w:t xml:space="preserve"> See also Annexure G</w:t>
            </w:r>
          </w:p>
        </w:tc>
      </w:tr>
      <w:tr w:rsidR="00F24728" w:rsidRPr="00E53CFB" w:rsidTr="0098534B">
        <w:trPr>
          <w:trHeight w:val="1095"/>
        </w:trPr>
        <w:tc>
          <w:tcPr>
            <w:tcW w:w="999" w:type="dxa"/>
            <w:hideMark/>
          </w:tcPr>
          <w:p w:rsidR="00F24728" w:rsidRPr="00E53CFB" w:rsidRDefault="00F24728" w:rsidP="0098534B">
            <w:pPr>
              <w:spacing w:line="360" w:lineRule="auto"/>
              <w:rPr>
                <w:rFonts w:ascii="Arial Narrow" w:hAnsi="Arial Narrow"/>
              </w:rPr>
            </w:pPr>
            <w:r w:rsidRPr="00E53CFB">
              <w:rPr>
                <w:rFonts w:ascii="Arial Narrow" w:hAnsi="Arial Narrow"/>
              </w:rPr>
              <w:lastRenderedPageBreak/>
              <w:t>MP</w:t>
            </w:r>
          </w:p>
        </w:tc>
        <w:tc>
          <w:tcPr>
            <w:tcW w:w="1412" w:type="dxa"/>
            <w:hideMark/>
          </w:tcPr>
          <w:p w:rsidR="00F24728" w:rsidRPr="00E53CFB" w:rsidRDefault="00F24728" w:rsidP="0098534B">
            <w:pPr>
              <w:spacing w:line="360" w:lineRule="auto"/>
              <w:rPr>
                <w:rFonts w:ascii="Arial Narrow" w:hAnsi="Arial Narrow"/>
              </w:rPr>
            </w:pPr>
            <w:r w:rsidRPr="00E53CFB">
              <w:rPr>
                <w:rFonts w:ascii="Arial Narrow" w:hAnsi="Arial Narrow"/>
              </w:rPr>
              <w:t>8</w:t>
            </w:r>
          </w:p>
        </w:tc>
        <w:tc>
          <w:tcPr>
            <w:tcW w:w="1396"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979" w:type="dxa"/>
            <w:hideMark/>
          </w:tcPr>
          <w:p w:rsidR="00F24728" w:rsidRDefault="00F24728" w:rsidP="0098534B">
            <w:pPr>
              <w:spacing w:line="360" w:lineRule="auto"/>
              <w:rPr>
                <w:rFonts w:ascii="Arial Narrow" w:hAnsi="Arial Narrow"/>
              </w:rPr>
            </w:pPr>
            <w:r>
              <w:rPr>
                <w:rFonts w:ascii="Arial Narrow" w:hAnsi="Arial Narrow"/>
              </w:rPr>
              <w:t>Small and non-viable</w:t>
            </w:r>
          </w:p>
          <w:p w:rsidR="00F24728" w:rsidRDefault="00F24728" w:rsidP="0098534B">
            <w:pPr>
              <w:spacing w:line="360" w:lineRule="auto"/>
              <w:rPr>
                <w:rFonts w:ascii="Arial Narrow" w:hAnsi="Arial Narrow"/>
              </w:rPr>
            </w:pPr>
            <w:r>
              <w:rPr>
                <w:rFonts w:ascii="Arial Narrow" w:hAnsi="Arial Narrow"/>
              </w:rPr>
              <w:t>Schools on private property with unsafe buildings</w:t>
            </w:r>
          </w:p>
          <w:p w:rsidR="00F24728" w:rsidRDefault="00F24728" w:rsidP="0098534B">
            <w:pPr>
              <w:spacing w:line="360" w:lineRule="auto"/>
              <w:rPr>
                <w:rFonts w:ascii="Arial Narrow" w:hAnsi="Arial Narrow"/>
              </w:rPr>
            </w:pPr>
            <w:r>
              <w:rPr>
                <w:rFonts w:ascii="Arial Narrow" w:hAnsi="Arial Narrow"/>
              </w:rPr>
              <w:t xml:space="preserve">Save on rentals </w:t>
            </w:r>
          </w:p>
          <w:p w:rsidR="00F24728" w:rsidRPr="00E53CFB" w:rsidRDefault="00F24728" w:rsidP="0098534B">
            <w:pPr>
              <w:spacing w:line="360" w:lineRule="auto"/>
              <w:rPr>
                <w:rFonts w:ascii="Arial Narrow" w:hAnsi="Arial Narrow"/>
              </w:rPr>
            </w:pPr>
            <w:r>
              <w:rPr>
                <w:rFonts w:ascii="Arial Narrow" w:hAnsi="Arial Narrow"/>
              </w:rPr>
              <w:t xml:space="preserve">See Annexure B </w:t>
            </w:r>
          </w:p>
        </w:tc>
        <w:tc>
          <w:tcPr>
            <w:tcW w:w="1302" w:type="dxa"/>
            <w:hideMark/>
          </w:tcPr>
          <w:p w:rsidR="00F24728" w:rsidRPr="00E53CFB" w:rsidRDefault="00F24728" w:rsidP="0098534B">
            <w:pPr>
              <w:spacing w:line="360" w:lineRule="auto"/>
              <w:rPr>
                <w:rFonts w:ascii="Arial Narrow" w:hAnsi="Arial Narrow"/>
              </w:rPr>
            </w:pPr>
            <w:r w:rsidRPr="00E53CFB">
              <w:rPr>
                <w:rFonts w:ascii="Arial Narrow" w:hAnsi="Arial Narrow"/>
              </w:rPr>
              <w:t>boarding school</w:t>
            </w:r>
          </w:p>
        </w:tc>
        <w:tc>
          <w:tcPr>
            <w:tcW w:w="1418" w:type="dxa"/>
            <w:hideMark/>
          </w:tcPr>
          <w:p w:rsidR="00F24728" w:rsidRPr="00E53CFB" w:rsidRDefault="00F24728" w:rsidP="0098534B">
            <w:pPr>
              <w:spacing w:line="360" w:lineRule="auto"/>
              <w:rPr>
                <w:rFonts w:ascii="Arial Narrow" w:hAnsi="Arial Narrow"/>
              </w:rPr>
            </w:pPr>
            <w:r w:rsidRPr="00E53CFB">
              <w:rPr>
                <w:rFonts w:ascii="Arial Narrow" w:hAnsi="Arial Narrow"/>
              </w:rPr>
              <w:t>2017/18 financial year</w:t>
            </w:r>
          </w:p>
        </w:tc>
        <w:tc>
          <w:tcPr>
            <w:tcW w:w="1344" w:type="dxa"/>
            <w:hideMark/>
          </w:tcPr>
          <w:p w:rsidR="00F24728" w:rsidRPr="00E53CFB" w:rsidRDefault="00F24728" w:rsidP="0098534B">
            <w:pPr>
              <w:spacing w:line="360" w:lineRule="auto"/>
              <w:rPr>
                <w:rFonts w:ascii="Arial Narrow" w:hAnsi="Arial Narrow"/>
              </w:rPr>
            </w:pPr>
            <w:r w:rsidRPr="00E53CFB">
              <w:rPr>
                <w:rFonts w:ascii="Arial Narrow" w:hAnsi="Arial Narrow"/>
              </w:rPr>
              <w:t> </w:t>
            </w:r>
            <w:r>
              <w:rPr>
                <w:rFonts w:ascii="Arial Narrow" w:hAnsi="Arial Narrow"/>
              </w:rPr>
              <w:t xml:space="preserve">Not indicated </w:t>
            </w:r>
          </w:p>
        </w:tc>
        <w:tc>
          <w:tcPr>
            <w:tcW w:w="1587" w:type="dxa"/>
            <w:hideMark/>
          </w:tcPr>
          <w:p w:rsidR="00F24728" w:rsidRPr="00E53CFB" w:rsidRDefault="00F24728" w:rsidP="0098534B">
            <w:pPr>
              <w:spacing w:line="360" w:lineRule="auto"/>
              <w:rPr>
                <w:rFonts w:ascii="Arial Narrow" w:hAnsi="Arial Narrow"/>
              </w:rPr>
            </w:pPr>
            <w:r w:rsidRPr="00E53CFB">
              <w:rPr>
                <w:rFonts w:ascii="Arial Narrow" w:hAnsi="Arial Narrow"/>
              </w:rPr>
              <w:t>resources follow learners</w:t>
            </w:r>
          </w:p>
        </w:tc>
        <w:tc>
          <w:tcPr>
            <w:tcW w:w="4015" w:type="dxa"/>
            <w:hideMark/>
          </w:tcPr>
          <w:p w:rsidR="00F24728" w:rsidRPr="00E53CFB" w:rsidRDefault="00F24728" w:rsidP="0098534B">
            <w:pPr>
              <w:spacing w:line="360" w:lineRule="auto"/>
              <w:rPr>
                <w:rFonts w:ascii="Arial Narrow" w:hAnsi="Arial Narrow"/>
              </w:rPr>
            </w:pPr>
            <w:r w:rsidRPr="00E53CFB">
              <w:rPr>
                <w:rFonts w:ascii="Arial Narrow" w:hAnsi="Arial Narrow"/>
                <w:lang w:val="en-US"/>
              </w:rPr>
              <w:t>The process of consultation for the closure of the schools has not commenced. It will commence as the building of the boarding school commences</w:t>
            </w:r>
          </w:p>
        </w:tc>
      </w:tr>
      <w:tr w:rsidR="00F24728" w:rsidRPr="00E53CFB" w:rsidTr="0098534B">
        <w:trPr>
          <w:trHeight w:val="1425"/>
        </w:trPr>
        <w:tc>
          <w:tcPr>
            <w:tcW w:w="999" w:type="dxa"/>
            <w:hideMark/>
          </w:tcPr>
          <w:p w:rsidR="00F24728" w:rsidRPr="00E53CFB" w:rsidRDefault="00F24728" w:rsidP="0098534B">
            <w:pPr>
              <w:spacing w:line="360" w:lineRule="auto"/>
              <w:rPr>
                <w:rFonts w:ascii="Arial Narrow" w:hAnsi="Arial Narrow"/>
              </w:rPr>
            </w:pPr>
            <w:r w:rsidRPr="00E53CFB">
              <w:rPr>
                <w:rFonts w:ascii="Arial Narrow" w:hAnsi="Arial Narrow"/>
              </w:rPr>
              <w:t>NC</w:t>
            </w:r>
          </w:p>
        </w:tc>
        <w:tc>
          <w:tcPr>
            <w:tcW w:w="1412" w:type="dxa"/>
            <w:hideMark/>
          </w:tcPr>
          <w:p w:rsidR="00F24728" w:rsidRPr="00E53CFB" w:rsidRDefault="00F24728" w:rsidP="0098534B">
            <w:pPr>
              <w:spacing w:line="360" w:lineRule="auto"/>
              <w:rPr>
                <w:rFonts w:ascii="Arial Narrow" w:hAnsi="Arial Narrow"/>
              </w:rPr>
            </w:pPr>
            <w:r w:rsidRPr="00E53CFB">
              <w:rPr>
                <w:rFonts w:ascii="Arial Narrow" w:hAnsi="Arial Narrow"/>
              </w:rPr>
              <w:t>8</w:t>
            </w:r>
          </w:p>
        </w:tc>
        <w:tc>
          <w:tcPr>
            <w:tcW w:w="1396"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979" w:type="dxa"/>
            <w:hideMark/>
          </w:tcPr>
          <w:p w:rsidR="00F24728" w:rsidRPr="00E53CFB" w:rsidRDefault="00F24728" w:rsidP="0098534B">
            <w:pPr>
              <w:spacing w:line="360" w:lineRule="auto"/>
              <w:rPr>
                <w:rFonts w:ascii="Arial Narrow" w:hAnsi="Arial Narrow"/>
              </w:rPr>
            </w:pPr>
            <w:r w:rsidRPr="00E53CFB">
              <w:rPr>
                <w:rFonts w:ascii="Arial Narrow" w:hAnsi="Arial Narrow"/>
              </w:rPr>
              <w:t>low learner enrolment and realignment of middle schools</w:t>
            </w:r>
          </w:p>
        </w:tc>
        <w:tc>
          <w:tcPr>
            <w:tcW w:w="1302"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418" w:type="dxa"/>
            <w:hideMark/>
          </w:tcPr>
          <w:p w:rsidR="00F24728" w:rsidRDefault="00F24728" w:rsidP="0098534B">
            <w:pPr>
              <w:spacing w:line="360" w:lineRule="auto"/>
              <w:rPr>
                <w:rFonts w:ascii="Arial Narrow" w:hAnsi="Arial Narrow"/>
              </w:rPr>
            </w:pPr>
            <w:r>
              <w:rPr>
                <w:rFonts w:ascii="Arial Narrow" w:hAnsi="Arial Narrow"/>
              </w:rPr>
              <w:t>March 2017 to September 2018</w:t>
            </w:r>
          </w:p>
          <w:p w:rsidR="00F24728" w:rsidRPr="00E53CFB" w:rsidRDefault="00F24728" w:rsidP="0098534B">
            <w:pPr>
              <w:spacing w:line="360" w:lineRule="auto"/>
              <w:rPr>
                <w:rFonts w:ascii="Arial Narrow" w:hAnsi="Arial Narrow"/>
              </w:rPr>
            </w:pPr>
            <w:r w:rsidRPr="00E53CFB">
              <w:rPr>
                <w:rFonts w:ascii="Arial Narrow" w:hAnsi="Arial Narrow"/>
              </w:rPr>
              <w:t>Annexure C</w:t>
            </w:r>
          </w:p>
        </w:tc>
        <w:tc>
          <w:tcPr>
            <w:tcW w:w="1344"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D</w:t>
            </w:r>
          </w:p>
        </w:tc>
        <w:tc>
          <w:tcPr>
            <w:tcW w:w="1587"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E</w:t>
            </w:r>
          </w:p>
        </w:tc>
        <w:tc>
          <w:tcPr>
            <w:tcW w:w="4015" w:type="dxa"/>
            <w:hideMark/>
          </w:tcPr>
          <w:p w:rsidR="00F24728" w:rsidRPr="00E53CFB" w:rsidRDefault="00F24728" w:rsidP="0098534B">
            <w:pPr>
              <w:spacing w:line="360" w:lineRule="auto"/>
              <w:rPr>
                <w:rFonts w:ascii="Arial Narrow" w:hAnsi="Arial Narrow"/>
              </w:rPr>
            </w:pPr>
            <w:r w:rsidRPr="00E53CFB">
              <w:rPr>
                <w:rFonts w:ascii="Arial Narrow" w:hAnsi="Arial Narrow"/>
              </w:rPr>
              <w:t>District management teams already started with initial consultations in all instances, and public hearings will commence in the next quarter with provision being made for written comments as well</w:t>
            </w:r>
          </w:p>
        </w:tc>
      </w:tr>
      <w:tr w:rsidR="00F24728" w:rsidRPr="00E53CFB" w:rsidTr="0098534B">
        <w:trPr>
          <w:trHeight w:val="825"/>
        </w:trPr>
        <w:tc>
          <w:tcPr>
            <w:tcW w:w="999" w:type="dxa"/>
            <w:hideMark/>
          </w:tcPr>
          <w:p w:rsidR="00F24728" w:rsidRPr="00E53CFB" w:rsidRDefault="00F24728" w:rsidP="0098534B">
            <w:pPr>
              <w:spacing w:line="360" w:lineRule="auto"/>
              <w:rPr>
                <w:rFonts w:ascii="Arial Narrow" w:hAnsi="Arial Narrow"/>
              </w:rPr>
            </w:pPr>
            <w:r w:rsidRPr="00E53CFB">
              <w:rPr>
                <w:rFonts w:ascii="Arial Narrow" w:hAnsi="Arial Narrow"/>
              </w:rPr>
              <w:t>NW</w:t>
            </w:r>
          </w:p>
        </w:tc>
        <w:tc>
          <w:tcPr>
            <w:tcW w:w="1412" w:type="dxa"/>
            <w:hideMark/>
          </w:tcPr>
          <w:p w:rsidR="00F24728" w:rsidRPr="00E53CFB" w:rsidRDefault="00F24728" w:rsidP="0098534B">
            <w:pPr>
              <w:spacing w:line="360" w:lineRule="auto"/>
              <w:rPr>
                <w:rFonts w:ascii="Arial Narrow" w:hAnsi="Arial Narrow"/>
              </w:rPr>
            </w:pPr>
            <w:r w:rsidRPr="00E53CFB">
              <w:rPr>
                <w:rFonts w:ascii="Arial Narrow" w:hAnsi="Arial Narrow"/>
              </w:rPr>
              <w:t>24</w:t>
            </w:r>
          </w:p>
        </w:tc>
        <w:tc>
          <w:tcPr>
            <w:tcW w:w="1396"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979" w:type="dxa"/>
            <w:hideMark/>
          </w:tcPr>
          <w:p w:rsidR="00F24728" w:rsidRPr="00E53CFB" w:rsidRDefault="00F24728" w:rsidP="0098534B">
            <w:pPr>
              <w:spacing w:line="360" w:lineRule="auto"/>
              <w:rPr>
                <w:rFonts w:ascii="Arial Narrow" w:hAnsi="Arial Narrow"/>
              </w:rPr>
            </w:pPr>
            <w:r w:rsidRPr="00E53CFB">
              <w:rPr>
                <w:rFonts w:ascii="Arial Narrow" w:hAnsi="Arial Narrow"/>
              </w:rPr>
              <w:t>small schools</w:t>
            </w:r>
          </w:p>
        </w:tc>
        <w:tc>
          <w:tcPr>
            <w:tcW w:w="1302"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A</w:t>
            </w:r>
          </w:p>
        </w:tc>
        <w:tc>
          <w:tcPr>
            <w:tcW w:w="1418" w:type="dxa"/>
            <w:hideMark/>
          </w:tcPr>
          <w:p w:rsidR="00F24728" w:rsidRDefault="00F24728" w:rsidP="0098534B">
            <w:pPr>
              <w:spacing w:line="360" w:lineRule="auto"/>
              <w:rPr>
                <w:rFonts w:ascii="Arial Narrow" w:hAnsi="Arial Narrow"/>
              </w:rPr>
            </w:pPr>
            <w:r>
              <w:rPr>
                <w:rFonts w:ascii="Arial Narrow" w:hAnsi="Arial Narrow"/>
              </w:rPr>
              <w:t xml:space="preserve">2017/2018 financial year </w:t>
            </w:r>
          </w:p>
          <w:p w:rsidR="00F24728" w:rsidRPr="00E53CFB" w:rsidRDefault="00F24728" w:rsidP="0098534B">
            <w:pPr>
              <w:spacing w:line="360" w:lineRule="auto"/>
              <w:rPr>
                <w:rFonts w:ascii="Arial Narrow" w:hAnsi="Arial Narrow"/>
              </w:rPr>
            </w:pPr>
            <w:r w:rsidRPr="00E53CFB">
              <w:rPr>
                <w:rFonts w:ascii="Arial Narrow" w:hAnsi="Arial Narrow"/>
              </w:rPr>
              <w:t>Annexure C</w:t>
            </w:r>
          </w:p>
        </w:tc>
        <w:tc>
          <w:tcPr>
            <w:tcW w:w="1344" w:type="dxa"/>
            <w:hideMark/>
          </w:tcPr>
          <w:p w:rsidR="00F24728" w:rsidRPr="00E53CFB" w:rsidRDefault="00F24728" w:rsidP="0098534B">
            <w:pPr>
              <w:spacing w:line="360" w:lineRule="auto"/>
              <w:rPr>
                <w:rFonts w:ascii="Arial Narrow" w:hAnsi="Arial Narrow"/>
              </w:rPr>
            </w:pPr>
            <w:r w:rsidRPr="00E53CFB">
              <w:rPr>
                <w:rFonts w:ascii="Arial Narrow" w:hAnsi="Arial Narrow"/>
              </w:rPr>
              <w:t>Annexure D</w:t>
            </w:r>
          </w:p>
        </w:tc>
        <w:tc>
          <w:tcPr>
            <w:tcW w:w="1587" w:type="dxa"/>
            <w:hideMark/>
          </w:tcPr>
          <w:p w:rsidR="00F24728" w:rsidRPr="00E53CFB" w:rsidRDefault="00F24728" w:rsidP="0098534B">
            <w:pPr>
              <w:spacing w:line="360" w:lineRule="auto"/>
              <w:rPr>
                <w:rFonts w:ascii="Arial Narrow" w:hAnsi="Arial Narrow"/>
              </w:rPr>
            </w:pPr>
            <w:r w:rsidRPr="00E53CFB">
              <w:rPr>
                <w:rFonts w:ascii="Arial Narrow" w:hAnsi="Arial Narrow"/>
              </w:rPr>
              <w:t>resources follow learners</w:t>
            </w:r>
          </w:p>
        </w:tc>
        <w:tc>
          <w:tcPr>
            <w:tcW w:w="4015" w:type="dxa"/>
            <w:hideMark/>
          </w:tcPr>
          <w:p w:rsidR="00F24728" w:rsidRPr="00E53CFB" w:rsidRDefault="00F24728" w:rsidP="0098534B">
            <w:pPr>
              <w:spacing w:line="360" w:lineRule="auto"/>
              <w:rPr>
                <w:rFonts w:ascii="Arial Narrow" w:hAnsi="Arial Narrow"/>
              </w:rPr>
            </w:pPr>
            <w:r w:rsidRPr="00E53CFB">
              <w:rPr>
                <w:rFonts w:ascii="Arial Narrow" w:hAnsi="Arial Narrow"/>
              </w:rPr>
              <w:t>Thorough consultation with affected and relevant stakeholders is done for the smooth running of the process</w:t>
            </w:r>
          </w:p>
        </w:tc>
      </w:tr>
      <w:tr w:rsidR="00F24728" w:rsidRPr="00E53CFB" w:rsidTr="0098534B">
        <w:trPr>
          <w:trHeight w:val="330"/>
        </w:trPr>
        <w:tc>
          <w:tcPr>
            <w:tcW w:w="999" w:type="dxa"/>
            <w:hideMark/>
          </w:tcPr>
          <w:p w:rsidR="00F24728" w:rsidRPr="00E53CFB" w:rsidRDefault="00F24728" w:rsidP="0098534B">
            <w:pPr>
              <w:spacing w:line="360" w:lineRule="auto"/>
              <w:rPr>
                <w:rFonts w:ascii="Arial Narrow" w:hAnsi="Arial Narrow"/>
              </w:rPr>
            </w:pPr>
            <w:r w:rsidRPr="00E53CFB">
              <w:rPr>
                <w:rFonts w:ascii="Arial Narrow" w:hAnsi="Arial Narrow"/>
              </w:rPr>
              <w:t>WC</w:t>
            </w:r>
          </w:p>
        </w:tc>
        <w:tc>
          <w:tcPr>
            <w:tcW w:w="1412" w:type="dxa"/>
            <w:hideMark/>
          </w:tcPr>
          <w:p w:rsidR="00F24728" w:rsidRPr="00E53CFB" w:rsidRDefault="00F24728" w:rsidP="0098534B">
            <w:pPr>
              <w:spacing w:line="360" w:lineRule="auto"/>
              <w:rPr>
                <w:rFonts w:ascii="Arial Narrow" w:hAnsi="Arial Narrow"/>
              </w:rPr>
            </w:pPr>
            <w:r w:rsidRPr="00E53CFB">
              <w:rPr>
                <w:rFonts w:ascii="Arial Narrow" w:hAnsi="Arial Narrow"/>
              </w:rPr>
              <w:t>0</w:t>
            </w:r>
          </w:p>
        </w:tc>
        <w:tc>
          <w:tcPr>
            <w:tcW w:w="1396" w:type="dxa"/>
            <w:hideMark/>
          </w:tcPr>
          <w:p w:rsidR="00F24728" w:rsidRPr="00E53CFB" w:rsidRDefault="00F24728" w:rsidP="0098534B">
            <w:pPr>
              <w:spacing w:line="360" w:lineRule="auto"/>
              <w:rPr>
                <w:rFonts w:ascii="Arial Narrow" w:hAnsi="Arial Narrow"/>
              </w:rPr>
            </w:pPr>
            <w:r w:rsidRPr="00E53CFB">
              <w:rPr>
                <w:rFonts w:ascii="Arial Narrow" w:hAnsi="Arial Narrow"/>
              </w:rPr>
              <w:t>N/A</w:t>
            </w:r>
          </w:p>
        </w:tc>
        <w:tc>
          <w:tcPr>
            <w:tcW w:w="1979" w:type="dxa"/>
            <w:hideMark/>
          </w:tcPr>
          <w:p w:rsidR="00F24728" w:rsidRPr="00E53CFB" w:rsidRDefault="00F24728" w:rsidP="0098534B">
            <w:pPr>
              <w:spacing w:line="360" w:lineRule="auto"/>
              <w:rPr>
                <w:rFonts w:ascii="Arial Narrow" w:hAnsi="Arial Narrow"/>
              </w:rPr>
            </w:pPr>
            <w:r w:rsidRPr="00E53CFB">
              <w:rPr>
                <w:rFonts w:ascii="Arial Narrow" w:hAnsi="Arial Narrow"/>
              </w:rPr>
              <w:t>N/A</w:t>
            </w:r>
          </w:p>
        </w:tc>
        <w:tc>
          <w:tcPr>
            <w:tcW w:w="1302" w:type="dxa"/>
            <w:hideMark/>
          </w:tcPr>
          <w:p w:rsidR="00F24728" w:rsidRPr="00E53CFB" w:rsidRDefault="00F24728" w:rsidP="0098534B">
            <w:pPr>
              <w:spacing w:line="360" w:lineRule="auto"/>
              <w:rPr>
                <w:rFonts w:ascii="Arial Narrow" w:hAnsi="Arial Narrow"/>
              </w:rPr>
            </w:pPr>
            <w:r w:rsidRPr="00E53CFB">
              <w:rPr>
                <w:rFonts w:ascii="Arial Narrow" w:hAnsi="Arial Narrow"/>
              </w:rPr>
              <w:t>N/A</w:t>
            </w:r>
          </w:p>
        </w:tc>
        <w:tc>
          <w:tcPr>
            <w:tcW w:w="1418" w:type="dxa"/>
            <w:hideMark/>
          </w:tcPr>
          <w:p w:rsidR="00F24728" w:rsidRPr="00E53CFB" w:rsidRDefault="00F24728" w:rsidP="0098534B">
            <w:pPr>
              <w:spacing w:line="360" w:lineRule="auto"/>
              <w:rPr>
                <w:rFonts w:ascii="Arial Narrow" w:hAnsi="Arial Narrow"/>
              </w:rPr>
            </w:pPr>
            <w:r w:rsidRPr="00E53CFB">
              <w:rPr>
                <w:rFonts w:ascii="Arial Narrow" w:hAnsi="Arial Narrow"/>
              </w:rPr>
              <w:t>N/A</w:t>
            </w:r>
          </w:p>
        </w:tc>
        <w:tc>
          <w:tcPr>
            <w:tcW w:w="1344" w:type="dxa"/>
            <w:hideMark/>
          </w:tcPr>
          <w:p w:rsidR="00F24728" w:rsidRPr="00E53CFB" w:rsidRDefault="00F24728" w:rsidP="0098534B">
            <w:pPr>
              <w:spacing w:line="360" w:lineRule="auto"/>
              <w:rPr>
                <w:rFonts w:ascii="Arial Narrow" w:hAnsi="Arial Narrow"/>
              </w:rPr>
            </w:pPr>
            <w:r w:rsidRPr="00E53CFB">
              <w:rPr>
                <w:rFonts w:ascii="Arial Narrow" w:hAnsi="Arial Narrow"/>
              </w:rPr>
              <w:t>N/A</w:t>
            </w:r>
          </w:p>
        </w:tc>
        <w:tc>
          <w:tcPr>
            <w:tcW w:w="1587" w:type="dxa"/>
            <w:hideMark/>
          </w:tcPr>
          <w:p w:rsidR="00F24728" w:rsidRPr="00E53CFB" w:rsidRDefault="00F24728" w:rsidP="0098534B">
            <w:pPr>
              <w:spacing w:line="360" w:lineRule="auto"/>
              <w:rPr>
                <w:rFonts w:ascii="Arial Narrow" w:hAnsi="Arial Narrow"/>
              </w:rPr>
            </w:pPr>
            <w:r w:rsidRPr="00E53CFB">
              <w:rPr>
                <w:rFonts w:ascii="Arial Narrow" w:hAnsi="Arial Narrow"/>
              </w:rPr>
              <w:t>N/A</w:t>
            </w:r>
          </w:p>
        </w:tc>
        <w:tc>
          <w:tcPr>
            <w:tcW w:w="4015" w:type="dxa"/>
            <w:hideMark/>
          </w:tcPr>
          <w:p w:rsidR="00F24728" w:rsidRPr="00E53CFB" w:rsidRDefault="00F24728" w:rsidP="0098534B">
            <w:pPr>
              <w:spacing w:line="360" w:lineRule="auto"/>
              <w:rPr>
                <w:rFonts w:ascii="Arial Narrow" w:hAnsi="Arial Narrow"/>
              </w:rPr>
            </w:pPr>
            <w:r w:rsidRPr="00E53CFB">
              <w:rPr>
                <w:rFonts w:ascii="Arial Narrow" w:hAnsi="Arial Narrow"/>
              </w:rPr>
              <w:t>N/A</w:t>
            </w:r>
          </w:p>
        </w:tc>
      </w:tr>
    </w:tbl>
    <w:p w:rsidR="00F24728" w:rsidRDefault="00F24728" w:rsidP="00F24728">
      <w:pPr>
        <w:spacing w:after="0" w:line="360" w:lineRule="auto"/>
      </w:pPr>
    </w:p>
    <w:p w:rsidR="00F24728" w:rsidRDefault="00F24728" w:rsidP="00F24728">
      <w:pPr>
        <w:spacing w:after="0" w:line="360" w:lineRule="auto"/>
      </w:pPr>
    </w:p>
    <w:p w:rsidR="00F24728" w:rsidRDefault="00F24728" w:rsidP="00F24728">
      <w:pPr>
        <w:spacing w:after="0" w:line="360" w:lineRule="auto"/>
        <w:sectPr w:rsidR="00F24728" w:rsidSect="00E53CFB">
          <w:pgSz w:w="16838" w:h="11906" w:orient="landscape"/>
          <w:pgMar w:top="1440" w:right="1440" w:bottom="1440" w:left="1440" w:header="708" w:footer="708" w:gutter="0"/>
          <w:cols w:space="708"/>
          <w:docGrid w:linePitch="360"/>
        </w:sectPr>
      </w:pPr>
      <w:bookmarkStart w:id="0" w:name="_GoBack"/>
      <w:bookmarkEnd w:id="0"/>
    </w:p>
    <w:p w:rsidR="006D7B63" w:rsidRPr="00F24728" w:rsidRDefault="006D7B63" w:rsidP="00F24728">
      <w:pPr>
        <w:spacing w:after="0" w:line="360" w:lineRule="auto"/>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70990"/>
    <w:rsid w:val="00183BCF"/>
    <w:rsid w:val="0020126E"/>
    <w:rsid w:val="00226801"/>
    <w:rsid w:val="00236728"/>
    <w:rsid w:val="0025587B"/>
    <w:rsid w:val="0027063B"/>
    <w:rsid w:val="00281D19"/>
    <w:rsid w:val="002C32A6"/>
    <w:rsid w:val="00310F5F"/>
    <w:rsid w:val="00341226"/>
    <w:rsid w:val="00343876"/>
    <w:rsid w:val="00360E26"/>
    <w:rsid w:val="0037043F"/>
    <w:rsid w:val="003B39A7"/>
    <w:rsid w:val="003F26D9"/>
    <w:rsid w:val="00400D7D"/>
    <w:rsid w:val="00405587"/>
    <w:rsid w:val="00445162"/>
    <w:rsid w:val="00445915"/>
    <w:rsid w:val="004532C0"/>
    <w:rsid w:val="004A2F02"/>
    <w:rsid w:val="004B34AC"/>
    <w:rsid w:val="004E39FB"/>
    <w:rsid w:val="005676F7"/>
    <w:rsid w:val="00570560"/>
    <w:rsid w:val="005827AF"/>
    <w:rsid w:val="0059663A"/>
    <w:rsid w:val="005C4AB6"/>
    <w:rsid w:val="00607436"/>
    <w:rsid w:val="00613299"/>
    <w:rsid w:val="00613631"/>
    <w:rsid w:val="00615A3B"/>
    <w:rsid w:val="00666324"/>
    <w:rsid w:val="00667A76"/>
    <w:rsid w:val="00692B11"/>
    <w:rsid w:val="006C1F10"/>
    <w:rsid w:val="006D7B63"/>
    <w:rsid w:val="006F297B"/>
    <w:rsid w:val="00720CC4"/>
    <w:rsid w:val="007A4190"/>
    <w:rsid w:val="007F25CB"/>
    <w:rsid w:val="00830D56"/>
    <w:rsid w:val="00830FC7"/>
    <w:rsid w:val="00836FDD"/>
    <w:rsid w:val="00857A1D"/>
    <w:rsid w:val="008E742B"/>
    <w:rsid w:val="009434F5"/>
    <w:rsid w:val="00975403"/>
    <w:rsid w:val="009B6115"/>
    <w:rsid w:val="009C2773"/>
    <w:rsid w:val="009D302C"/>
    <w:rsid w:val="00A20079"/>
    <w:rsid w:val="00A24B05"/>
    <w:rsid w:val="00A451EB"/>
    <w:rsid w:val="00A603D7"/>
    <w:rsid w:val="00A62005"/>
    <w:rsid w:val="00A666AB"/>
    <w:rsid w:val="00AE1828"/>
    <w:rsid w:val="00B6783D"/>
    <w:rsid w:val="00B81D4D"/>
    <w:rsid w:val="00C00DC4"/>
    <w:rsid w:val="00C90C8F"/>
    <w:rsid w:val="00CE34C8"/>
    <w:rsid w:val="00D13D42"/>
    <w:rsid w:val="00D34C31"/>
    <w:rsid w:val="00D6328E"/>
    <w:rsid w:val="00D713FC"/>
    <w:rsid w:val="00D9276C"/>
    <w:rsid w:val="00D927EA"/>
    <w:rsid w:val="00D94B1F"/>
    <w:rsid w:val="00D97E99"/>
    <w:rsid w:val="00E34908"/>
    <w:rsid w:val="00E67F6F"/>
    <w:rsid w:val="00EA485B"/>
    <w:rsid w:val="00F11816"/>
    <w:rsid w:val="00F24728"/>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2017-08-07T04:44:00Z</dcterms:created>
  <dcterms:modified xsi:type="dcterms:W3CDTF">2017-08-21T14:23:00Z</dcterms:modified>
</cp:coreProperties>
</file>